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rPr>
          <w:rFonts w:hint="default" w:ascii="黑体" w:eastAsia="黑体"/>
          <w:sz w:val="32"/>
        </w:rPr>
      </w:pPr>
      <w:r>
        <w:rPr>
          <w:rFonts w:ascii="黑体" w:eastAsia="黑体"/>
          <w:sz w:val="32"/>
        </w:rPr>
        <w:t>附件2</w:t>
      </w: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pStyle w:val="6"/>
        <w:rPr>
          <w:rFonts w:hint="default"/>
          <w:b/>
          <w:sz w:val="44"/>
        </w:rPr>
      </w:pPr>
    </w:p>
    <w:p>
      <w:pPr>
        <w:spacing w:line="540" w:lineRule="exact"/>
        <w:jc w:val="center"/>
        <w:rPr>
          <w:rFonts w:hint="default" w:ascii="宋体" w:hAnsi="宋体"/>
          <w:b/>
          <w:sz w:val="52"/>
          <w:szCs w:val="52"/>
        </w:rPr>
      </w:pPr>
      <w:r>
        <w:rPr>
          <w:rFonts w:ascii="宋体" w:hAnsi="宋体"/>
          <w:b/>
          <w:sz w:val="52"/>
          <w:szCs w:val="52"/>
        </w:rPr>
        <w:t>沈阳市浑南高级中学</w:t>
      </w:r>
    </w:p>
    <w:p>
      <w:pPr>
        <w:spacing w:line="540" w:lineRule="exact"/>
        <w:jc w:val="center"/>
        <w:rPr>
          <w:rFonts w:hint="default" w:ascii="宋体" w:hAnsi="宋体"/>
          <w:b/>
          <w:sz w:val="52"/>
          <w:szCs w:val="52"/>
        </w:rPr>
      </w:pPr>
      <w:r>
        <w:rPr>
          <w:rFonts w:ascii="宋体" w:hAnsi="宋体"/>
          <w:b/>
          <w:sz w:val="52"/>
          <w:szCs w:val="52"/>
        </w:rPr>
        <w:t>2021年度决算说明</w:t>
      </w:r>
    </w:p>
    <w:p>
      <w:pPr>
        <w:spacing w:line="540" w:lineRule="exact"/>
        <w:jc w:val="center"/>
        <w:rPr>
          <w:rFonts w:hint="default" w:ascii="宋体" w:hAnsi="宋体"/>
          <w:b/>
          <w:color w:val="FF0000"/>
          <w:sz w:val="52"/>
          <w:szCs w:val="52"/>
        </w:rPr>
      </w:pP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仿宋_GB2312" w:eastAsia="仿宋_GB2312"/>
          <w:b/>
          <w:sz w:val="52"/>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jc w:val="center"/>
        <w:rPr>
          <w:rFonts w:hint="default" w:ascii="Times New Roman" w:eastAsia="Times New Roman"/>
          <w:b/>
          <w:sz w:val="44"/>
          <w:u w:val="single"/>
        </w:rPr>
      </w:pPr>
    </w:p>
    <w:p>
      <w:pPr>
        <w:pStyle w:val="6"/>
        <w:spacing w:line="560" w:lineRule="exact"/>
        <w:jc w:val="center"/>
        <w:rPr>
          <w:rFonts w:hint="default" w:ascii="Times New Roman" w:eastAsia="Times New Roman"/>
          <w:b/>
          <w:sz w:val="44"/>
        </w:rPr>
      </w:pPr>
      <w:r>
        <w:rPr>
          <w:b/>
          <w:sz w:val="44"/>
        </w:rPr>
        <w:t>目</w:t>
      </w:r>
      <w:r>
        <w:rPr>
          <w:rFonts w:hint="default" w:ascii="Times New Roman" w:hAnsi="Times New Roman"/>
          <w:b/>
          <w:sz w:val="44"/>
        </w:rPr>
        <w:t xml:space="preserve">    </w:t>
      </w:r>
      <w:r>
        <w:rPr>
          <w:b/>
          <w:sz w:val="44"/>
        </w:rPr>
        <w:t>录</w:t>
      </w:r>
    </w:p>
    <w:p>
      <w:pPr>
        <w:pStyle w:val="6"/>
        <w:spacing w:line="560" w:lineRule="exact"/>
        <w:rPr>
          <w:rFonts w:hint="default" w:ascii="Times New Roman" w:eastAsia="Times New Roman"/>
          <w:b/>
          <w:sz w:val="44"/>
          <w:u w:val="single"/>
        </w:rPr>
      </w:pPr>
    </w:p>
    <w:p>
      <w:pPr>
        <w:pStyle w:val="6"/>
        <w:spacing w:line="560" w:lineRule="exact"/>
        <w:rPr>
          <w:rFonts w:hint="default" w:ascii="黑体" w:eastAsia="黑体"/>
          <w:sz w:val="32"/>
        </w:rPr>
      </w:pPr>
      <w:r>
        <w:rPr>
          <w:rFonts w:ascii="黑体" w:eastAsia="黑体"/>
          <w:sz w:val="32"/>
        </w:rPr>
        <w:t>第一部分   沈阳市浑南高级中学概况</w:t>
      </w:r>
    </w:p>
    <w:p>
      <w:pPr>
        <w:pStyle w:val="6"/>
        <w:spacing w:line="560" w:lineRule="exact"/>
        <w:ind w:left="720" w:hanging="720"/>
        <w:rPr>
          <w:rFonts w:hint="default" w:ascii="仿宋_GB2312" w:eastAsia="仿宋_GB2312"/>
          <w:sz w:val="32"/>
        </w:rPr>
      </w:pPr>
      <w:r>
        <w:rPr>
          <w:rFonts w:ascii="Times New Roman" w:hAnsi="Times New Roman"/>
          <w:sz w:val="32"/>
        </w:rPr>
        <w:t>一、</w:t>
      </w:r>
      <w:r>
        <w:rPr>
          <w:rFonts w:ascii="仿宋_GB2312" w:eastAsia="仿宋_GB2312"/>
          <w:sz w:val="32"/>
        </w:rPr>
        <w:t>主要职责</w:t>
      </w:r>
    </w:p>
    <w:p>
      <w:pPr>
        <w:pStyle w:val="6"/>
        <w:spacing w:line="560" w:lineRule="exact"/>
        <w:rPr>
          <w:rFonts w:hint="default" w:ascii="仿宋_GB2312" w:eastAsia="仿宋_GB2312"/>
          <w:sz w:val="32"/>
        </w:rPr>
      </w:pPr>
      <w:r>
        <w:rPr>
          <w:rFonts w:ascii="仿宋_GB2312" w:eastAsia="仿宋_GB2312"/>
          <w:sz w:val="32"/>
        </w:rPr>
        <w:t>二、决算单位构成</w:t>
      </w:r>
    </w:p>
    <w:p>
      <w:pPr>
        <w:pStyle w:val="6"/>
        <w:spacing w:line="560" w:lineRule="exact"/>
        <w:rPr>
          <w:rFonts w:hint="default" w:ascii="黑体" w:eastAsia="黑体"/>
          <w:sz w:val="32"/>
        </w:rPr>
      </w:pPr>
      <w:r>
        <w:rPr>
          <w:rFonts w:ascii="黑体" w:eastAsia="黑体"/>
          <w:sz w:val="32"/>
        </w:rPr>
        <w:t xml:space="preserve">第二部分  </w:t>
      </w:r>
      <w:r>
        <w:rPr>
          <w:rFonts w:hint="default" w:ascii="黑体" w:eastAsia="黑体"/>
          <w:sz w:val="32"/>
        </w:rPr>
        <w:t xml:space="preserve"> </w:t>
      </w:r>
      <w:r>
        <w:rPr>
          <w:rFonts w:ascii="黑体" w:eastAsia="黑体"/>
          <w:sz w:val="32"/>
        </w:rPr>
        <w:t>沈阳市浑南高级中学2021年决算情况说明</w:t>
      </w:r>
    </w:p>
    <w:p>
      <w:pPr>
        <w:pStyle w:val="6"/>
        <w:spacing w:line="560" w:lineRule="exact"/>
        <w:rPr>
          <w:rFonts w:hint="default" w:ascii="仿宋_GB2312" w:eastAsia="仿宋_GB2312"/>
          <w:sz w:val="32"/>
        </w:rPr>
      </w:pPr>
      <w:r>
        <w:rPr>
          <w:rFonts w:ascii="仿宋_GB2312" w:eastAsia="仿宋_GB2312"/>
          <w:sz w:val="32"/>
        </w:rPr>
        <w:t>一、收入支出决算总体情况说明</w:t>
      </w:r>
    </w:p>
    <w:p>
      <w:pPr>
        <w:pStyle w:val="6"/>
        <w:spacing w:line="560" w:lineRule="exact"/>
        <w:rPr>
          <w:rFonts w:hint="default" w:ascii="仿宋_GB2312" w:eastAsia="仿宋_GB2312"/>
          <w:sz w:val="32"/>
        </w:rPr>
      </w:pPr>
      <w:r>
        <w:rPr>
          <w:rFonts w:ascii="仿宋_GB2312" w:eastAsia="仿宋_GB2312"/>
          <w:sz w:val="32"/>
        </w:rPr>
        <w:t>二、财政拨款收入支出决算情况说明</w:t>
      </w:r>
    </w:p>
    <w:p>
      <w:pPr>
        <w:pStyle w:val="6"/>
        <w:spacing w:line="560" w:lineRule="exact"/>
        <w:rPr>
          <w:rFonts w:hint="default" w:ascii="仿宋_GB2312" w:eastAsia="仿宋_GB2312"/>
          <w:sz w:val="32"/>
        </w:rPr>
      </w:pPr>
      <w:r>
        <w:rPr>
          <w:rFonts w:ascii="仿宋_GB2312" w:eastAsia="仿宋_GB2312"/>
          <w:sz w:val="32"/>
        </w:rPr>
        <w:t>三、一般公共预算财政拨款“三公”经费支出决算情况说明</w:t>
      </w:r>
    </w:p>
    <w:p>
      <w:pPr>
        <w:pStyle w:val="6"/>
        <w:spacing w:line="560" w:lineRule="exact"/>
        <w:rPr>
          <w:rFonts w:hint="default" w:ascii="仿宋_GB2312" w:eastAsia="仿宋_GB2312"/>
          <w:sz w:val="32"/>
        </w:rPr>
      </w:pPr>
      <w:r>
        <w:rPr>
          <w:rFonts w:ascii="仿宋_GB2312" w:eastAsia="仿宋_GB2312"/>
          <w:sz w:val="32"/>
        </w:rPr>
        <w:t>四、一般公共预算财政拨款基本支出决算情况说明</w:t>
      </w:r>
    </w:p>
    <w:p>
      <w:pPr>
        <w:pStyle w:val="6"/>
        <w:spacing w:line="560" w:lineRule="exact"/>
        <w:rPr>
          <w:rFonts w:hint="default" w:ascii="黑体" w:eastAsia="黑体"/>
          <w:sz w:val="32"/>
        </w:rPr>
      </w:pPr>
      <w:r>
        <w:rPr>
          <w:rFonts w:ascii="仿宋_GB2312" w:eastAsia="仿宋_GB2312"/>
          <w:sz w:val="32"/>
        </w:rPr>
        <w:t>五、其他重要事项的情况说明</w:t>
      </w:r>
    </w:p>
    <w:p>
      <w:pPr>
        <w:pStyle w:val="6"/>
        <w:spacing w:line="560" w:lineRule="exact"/>
        <w:rPr>
          <w:rFonts w:hint="default" w:ascii="黑体" w:eastAsia="黑体"/>
          <w:sz w:val="32"/>
        </w:rPr>
      </w:pPr>
      <w:r>
        <w:rPr>
          <w:rFonts w:ascii="黑体" w:eastAsia="黑体"/>
          <w:sz w:val="32"/>
        </w:rPr>
        <w:t>第三部分    名词解释</w:t>
      </w:r>
    </w:p>
    <w:p>
      <w:pPr>
        <w:pStyle w:val="6"/>
        <w:spacing w:line="560" w:lineRule="exact"/>
        <w:rPr>
          <w:rFonts w:hint="default" w:ascii="黑体" w:eastAsia="黑体"/>
          <w:sz w:val="32"/>
        </w:rPr>
      </w:pPr>
      <w:r>
        <w:rPr>
          <w:rFonts w:ascii="黑体" w:eastAsia="黑体"/>
          <w:sz w:val="32"/>
        </w:rPr>
        <w:t>第四部分    沈阳市浑南高级中学2021年决算报表</w:t>
      </w:r>
    </w:p>
    <w:p>
      <w:pPr>
        <w:pStyle w:val="6"/>
        <w:spacing w:line="560" w:lineRule="exact"/>
        <w:rPr>
          <w:rFonts w:hint="default" w:ascii="仿宋_GB2312" w:eastAsia="仿宋_GB2312"/>
          <w:sz w:val="32"/>
        </w:rPr>
      </w:pPr>
      <w:r>
        <w:rPr>
          <w:rFonts w:ascii="仿宋_GB2312" w:eastAsia="仿宋_GB2312"/>
          <w:sz w:val="32"/>
        </w:rPr>
        <w:t>一、2021年度收入支出决算总表</w:t>
      </w:r>
    </w:p>
    <w:p>
      <w:pPr>
        <w:pStyle w:val="6"/>
        <w:spacing w:line="560" w:lineRule="exact"/>
        <w:rPr>
          <w:rFonts w:hint="default" w:ascii="仿宋_GB2312" w:eastAsia="仿宋_GB2312"/>
          <w:sz w:val="32"/>
        </w:rPr>
      </w:pPr>
      <w:r>
        <w:rPr>
          <w:rFonts w:ascii="仿宋_GB2312" w:eastAsia="仿宋_GB2312"/>
          <w:sz w:val="32"/>
        </w:rPr>
        <w:t>二、2021年度收入决算表</w:t>
      </w:r>
    </w:p>
    <w:p>
      <w:pPr>
        <w:pStyle w:val="6"/>
        <w:spacing w:line="560" w:lineRule="exact"/>
        <w:rPr>
          <w:rFonts w:hint="default" w:ascii="仿宋_GB2312" w:eastAsia="仿宋_GB2312"/>
          <w:sz w:val="32"/>
        </w:rPr>
      </w:pPr>
      <w:r>
        <w:rPr>
          <w:rFonts w:ascii="仿宋_GB2312" w:eastAsia="仿宋_GB2312"/>
          <w:sz w:val="32"/>
        </w:rPr>
        <w:t>三、2021年度支出决算表</w:t>
      </w:r>
    </w:p>
    <w:p>
      <w:pPr>
        <w:pStyle w:val="6"/>
        <w:spacing w:line="560" w:lineRule="exact"/>
        <w:rPr>
          <w:rFonts w:hint="default" w:ascii="仿宋_GB2312" w:eastAsia="仿宋_GB2312"/>
          <w:sz w:val="32"/>
        </w:rPr>
      </w:pPr>
      <w:r>
        <w:rPr>
          <w:rFonts w:ascii="仿宋_GB2312" w:eastAsia="仿宋_GB2312"/>
          <w:sz w:val="32"/>
        </w:rPr>
        <w:t>四、2021年度财政拨款收入支出决算总表</w:t>
      </w:r>
    </w:p>
    <w:p>
      <w:pPr>
        <w:pStyle w:val="6"/>
        <w:spacing w:line="560" w:lineRule="exact"/>
        <w:rPr>
          <w:rFonts w:hint="default" w:ascii="仿宋_GB2312" w:eastAsia="仿宋_GB2312"/>
          <w:sz w:val="32"/>
        </w:rPr>
      </w:pPr>
      <w:r>
        <w:rPr>
          <w:rFonts w:ascii="仿宋_GB2312" w:eastAsia="仿宋_GB2312"/>
          <w:sz w:val="32"/>
        </w:rPr>
        <w:t>五、2021年度一般公共预算财政拨款支出决算表</w:t>
      </w:r>
    </w:p>
    <w:p>
      <w:pPr>
        <w:pStyle w:val="6"/>
        <w:spacing w:line="560" w:lineRule="exact"/>
        <w:rPr>
          <w:rFonts w:hint="default" w:ascii="仿宋_GB2312" w:eastAsia="仿宋_GB2312"/>
          <w:sz w:val="32"/>
        </w:rPr>
      </w:pPr>
      <w:r>
        <w:rPr>
          <w:rFonts w:ascii="仿宋_GB2312" w:eastAsia="仿宋_GB2312"/>
          <w:sz w:val="32"/>
        </w:rPr>
        <w:t>六、2021年度一般公共预算财政拨款基本支出决算表</w:t>
      </w:r>
    </w:p>
    <w:p>
      <w:pPr>
        <w:pStyle w:val="6"/>
        <w:spacing w:line="560" w:lineRule="exact"/>
        <w:rPr>
          <w:rFonts w:hint="default" w:ascii="仿宋_GB2312" w:eastAsia="仿宋_GB2312"/>
          <w:sz w:val="32"/>
        </w:rPr>
      </w:pPr>
      <w:r>
        <w:rPr>
          <w:rFonts w:ascii="仿宋_GB2312" w:eastAsia="仿宋_GB2312"/>
          <w:sz w:val="32"/>
        </w:rPr>
        <w:t>七、2021年度政府性基金预算财政拨款收入支出决算表</w:t>
      </w:r>
    </w:p>
    <w:p>
      <w:pPr>
        <w:pStyle w:val="6"/>
        <w:spacing w:line="560" w:lineRule="exact"/>
        <w:rPr>
          <w:rFonts w:hint="default" w:ascii="仿宋_GB2312" w:eastAsia="仿宋_GB2312"/>
          <w:sz w:val="32"/>
        </w:rPr>
      </w:pPr>
      <w:r>
        <w:rPr>
          <w:rFonts w:ascii="仿宋_GB2312" w:eastAsia="仿宋_GB2312"/>
          <w:sz w:val="32"/>
        </w:rPr>
        <w:t>八、2021年度一般公共预算财政拨款“三公”经费支出决算表</w:t>
      </w:r>
    </w:p>
    <w:p>
      <w:pPr>
        <w:pStyle w:val="6"/>
        <w:spacing w:line="560" w:lineRule="exact"/>
        <w:rPr>
          <w:rFonts w:hint="default" w:ascii="仿宋_GB2312" w:eastAsia="仿宋_GB2312"/>
          <w:sz w:val="32"/>
        </w:rPr>
      </w:pPr>
      <w:r>
        <w:rPr>
          <w:rFonts w:ascii="仿宋_GB2312" w:eastAsia="仿宋_GB2312"/>
          <w:sz w:val="32"/>
        </w:rPr>
        <w:t>九、2021年度国有资本经营预算财政拨款支出决算表</w:t>
      </w:r>
    </w:p>
    <w:p>
      <w:pPr>
        <w:pStyle w:val="6"/>
        <w:spacing w:line="560" w:lineRule="exact"/>
        <w:jc w:val="center"/>
        <w:rPr>
          <w:rFonts w:hint="default"/>
          <w:b/>
          <w:sz w:val="36"/>
        </w:rPr>
      </w:pPr>
    </w:p>
    <w:p>
      <w:pPr>
        <w:pStyle w:val="6"/>
        <w:spacing w:line="560" w:lineRule="exact"/>
        <w:jc w:val="center"/>
        <w:rPr>
          <w:rFonts w:hint="default"/>
          <w:b/>
          <w:sz w:val="36"/>
        </w:rPr>
      </w:pPr>
      <w:r>
        <w:rPr>
          <w:b/>
          <w:sz w:val="36"/>
        </w:rPr>
        <w:t xml:space="preserve">第一部分 </w:t>
      </w:r>
      <w:r>
        <w:rPr>
          <w:rFonts w:asciiTheme="minorEastAsia" w:hAnsiTheme="minorEastAsia" w:eastAsiaTheme="minorEastAsia"/>
          <w:b/>
          <w:bCs/>
          <w:sz w:val="36"/>
          <w:szCs w:val="36"/>
        </w:rPr>
        <w:t>沈阳市浑南高级中学</w:t>
      </w:r>
      <w:r>
        <w:rPr>
          <w:b/>
          <w:sz w:val="36"/>
        </w:rPr>
        <w:t>概况</w:t>
      </w:r>
    </w:p>
    <w:p>
      <w:pPr>
        <w:pStyle w:val="6"/>
        <w:spacing w:line="560" w:lineRule="exact"/>
        <w:ind w:firstLine="640"/>
        <w:rPr>
          <w:rFonts w:hint="default" w:ascii="黑体" w:eastAsia="黑体"/>
          <w:sz w:val="32"/>
        </w:rPr>
      </w:pPr>
    </w:p>
    <w:p>
      <w:pPr>
        <w:pStyle w:val="6"/>
        <w:spacing w:line="560" w:lineRule="exact"/>
        <w:ind w:firstLine="640"/>
        <w:rPr>
          <w:rFonts w:hint="default" w:ascii="黑体" w:eastAsia="黑体"/>
          <w:sz w:val="32"/>
        </w:rPr>
      </w:pPr>
      <w:r>
        <w:rPr>
          <w:rFonts w:ascii="黑体" w:eastAsia="黑体"/>
          <w:sz w:val="32"/>
        </w:rPr>
        <w:t>一、主要职责</w:t>
      </w:r>
    </w:p>
    <w:p>
      <w:pPr>
        <w:spacing w:line="360" w:lineRule="auto"/>
        <w:ind w:firstLine="640" w:firstLineChars="200"/>
        <w:jc w:val="left"/>
        <w:rPr>
          <w:rStyle w:val="10"/>
          <w:rFonts w:eastAsia="仿宋_GB2312" w:cs="宋体"/>
          <w:bCs/>
          <w:kern w:val="0"/>
          <w:sz w:val="32"/>
          <w:szCs w:val="32"/>
        </w:rPr>
      </w:pPr>
      <w:r>
        <w:rPr>
          <w:rStyle w:val="10"/>
          <w:rFonts w:eastAsia="仿宋_GB2312" w:cs="宋体"/>
          <w:bCs/>
          <w:kern w:val="0"/>
          <w:sz w:val="32"/>
          <w:szCs w:val="32"/>
        </w:rPr>
        <w:t>（一）组织教育教学、科学研究活动，保证教育教学质量。维护教职工利益，保障教职工合法权益，以教职工和学生的人生幸福和生命质量作为重点。</w:t>
      </w:r>
    </w:p>
    <w:p>
      <w:pPr>
        <w:spacing w:line="360" w:lineRule="auto"/>
        <w:ind w:firstLine="640" w:firstLineChars="200"/>
        <w:jc w:val="left"/>
        <w:rPr>
          <w:rStyle w:val="10"/>
          <w:rFonts w:eastAsia="仿宋_GB2312" w:cs="宋体"/>
          <w:bCs/>
          <w:kern w:val="0"/>
          <w:sz w:val="32"/>
          <w:szCs w:val="32"/>
        </w:rPr>
      </w:pPr>
      <w:r>
        <w:rPr>
          <w:rStyle w:val="10"/>
          <w:rFonts w:eastAsia="仿宋_GB2312" w:cs="宋体"/>
          <w:bCs/>
          <w:kern w:val="0"/>
          <w:sz w:val="32"/>
          <w:szCs w:val="32"/>
        </w:rPr>
        <w:t>（二）制定学校发展规划，并抓好组织实施和落实情况。</w:t>
      </w:r>
    </w:p>
    <w:p>
      <w:pPr>
        <w:spacing w:line="360" w:lineRule="auto"/>
        <w:ind w:firstLine="640" w:firstLineChars="200"/>
        <w:jc w:val="left"/>
        <w:rPr>
          <w:rStyle w:val="10"/>
          <w:rFonts w:eastAsia="仿宋_GB2312" w:cs="宋体"/>
          <w:bCs/>
          <w:kern w:val="0"/>
          <w:sz w:val="32"/>
          <w:szCs w:val="32"/>
        </w:rPr>
      </w:pPr>
      <w:r>
        <w:rPr>
          <w:rStyle w:val="10"/>
          <w:rFonts w:eastAsia="仿宋_GB2312" w:cs="宋体"/>
          <w:bCs/>
          <w:kern w:val="0"/>
          <w:sz w:val="32"/>
          <w:szCs w:val="32"/>
        </w:rPr>
        <w:t>（三）科学管理、合理使用学校的设施和经费，并积极筹措办学资金，改善办学条件。</w:t>
      </w:r>
    </w:p>
    <w:p>
      <w:pPr>
        <w:pStyle w:val="11"/>
        <w:spacing w:line="560" w:lineRule="atLeast"/>
        <w:ind w:firstLine="640"/>
        <w:rPr>
          <w:rStyle w:val="10"/>
          <w:rFonts w:ascii="黑体" w:eastAsia="黑体"/>
          <w:sz w:val="32"/>
          <w:szCs w:val="32"/>
        </w:rPr>
      </w:pPr>
      <w:r>
        <w:rPr>
          <w:rStyle w:val="10"/>
          <w:rFonts w:eastAsia="仿宋_GB2312" w:cs="宋体"/>
          <w:bCs/>
          <w:sz w:val="32"/>
          <w:szCs w:val="32"/>
        </w:rPr>
        <w:t>（四）依法接受各级教育行政部门的检查指导和人民群众的监督。</w:t>
      </w:r>
    </w:p>
    <w:p>
      <w:pPr>
        <w:shd w:val="clear"/>
        <w:ind w:left="359" w:leftChars="171" w:firstLine="313" w:firstLineChars="98"/>
        <w:rPr>
          <w:rStyle w:val="10"/>
          <w:rFonts w:eastAsia="仿宋_GB2312" w:cs="宋体"/>
          <w:bCs/>
          <w:kern w:val="0"/>
          <w:sz w:val="32"/>
          <w:szCs w:val="32"/>
        </w:rPr>
      </w:pPr>
      <w:r>
        <w:rPr>
          <w:rStyle w:val="10"/>
          <w:rFonts w:eastAsia="仿宋_GB2312" w:cs="宋体"/>
          <w:bCs/>
          <w:kern w:val="0"/>
          <w:sz w:val="32"/>
          <w:szCs w:val="32"/>
        </w:rPr>
        <w:t>（五）财务管理方面：</w:t>
      </w:r>
    </w:p>
    <w:p>
      <w:pPr>
        <w:shd w:val="clear"/>
        <w:spacing w:line="400" w:lineRule="atLeast"/>
        <w:ind w:firstLine="627" w:firstLineChars="196"/>
        <w:jc w:val="left"/>
        <w:rPr>
          <w:rStyle w:val="10"/>
          <w:rFonts w:ascii="宋体" w:hAnsi="宋体" w:eastAsia="仿宋_GB2312" w:cs="宋体"/>
          <w:bCs/>
          <w:kern w:val="0"/>
          <w:sz w:val="32"/>
          <w:szCs w:val="32"/>
        </w:rPr>
      </w:pPr>
      <w:r>
        <w:rPr>
          <w:rStyle w:val="10"/>
          <w:rFonts w:ascii="宋体" w:hAnsi="宋体" w:eastAsia="仿宋_GB2312" w:cs="宋体"/>
          <w:bCs/>
          <w:kern w:val="0"/>
          <w:sz w:val="32"/>
          <w:szCs w:val="32"/>
        </w:rPr>
        <w:t>1、严格执行国家的收费规定，依法组织各项收入，收取的各项预算外资金必须执行收支两条线管理，及时、足额上缴财政专户，不得缓交、截留或擅自坐支应交款项，更不得隐匿不报。严格遵守《沈阳市行政事业性收费票据管理试行办法》保证行政事业性收费有序地进行，全部收入纳入学校的统一管理。规范学校收费行为，完善监督管理措施，增加学校收费透明度，治理乱收费，严格按照国家计委、财政部、教育部的要求，特制定学校教育收费公示制度，本单位的一切收费行为须做到有章可循，有据可依，所有收入都要开列合法的收据，禁止一切乱收费。</w:t>
      </w:r>
    </w:p>
    <w:p>
      <w:pPr>
        <w:ind w:firstLine="560"/>
        <w:jc w:val="left"/>
        <w:rPr>
          <w:rStyle w:val="10"/>
          <w:rFonts w:ascii="黑体" w:eastAsia="黑体"/>
          <w:sz w:val="32"/>
        </w:rPr>
      </w:pPr>
      <w:r>
        <w:rPr>
          <w:rStyle w:val="10"/>
          <w:rFonts w:eastAsia="仿宋_GB2312" w:cs="宋体"/>
          <w:bCs/>
          <w:kern w:val="0"/>
          <w:sz w:val="32"/>
          <w:szCs w:val="32"/>
        </w:rPr>
        <w:t>2、严格执行国家有关法律、法规和财务规章制度，厉行节约，制止奢侈浪费；量入为出，保证重点，兼顾一般，注重资金的使用效益；增大教职工民主管理、监督学校财务工作的力度，激发群众当家理财的积极性；改变奖励在封闭和半封闭状态下操作的方式，提高使用透明度，及使发现和纠正财务管理弊端；从源头上预防和遏止不正之风，提高干部廉洁自律的自觉性，密切干群关系，促进行风建设，维护学校良好形象。规范学校财务行为，加强学校财务管理，对学校财务活动进行有效地控制和监督，进一步提高教育经费的使用效益，保障教育事业的健康发展。</w:t>
      </w:r>
    </w:p>
    <w:p>
      <w:pPr>
        <w:pStyle w:val="6"/>
        <w:spacing w:line="560" w:lineRule="exact"/>
        <w:ind w:firstLine="640"/>
        <w:rPr>
          <w:rFonts w:hint="default" w:ascii="仿宋_GB2312" w:hAnsi="仿宋_GB2312" w:eastAsia="仿宋_GB2312" w:cs="仿宋_GB2312"/>
          <w:b/>
          <w:bCs/>
          <w:color w:val="FF0000"/>
          <w:sz w:val="32"/>
          <w:szCs w:val="32"/>
        </w:rPr>
      </w:pPr>
      <w:r>
        <w:rPr>
          <w:rFonts w:ascii="黑体" w:eastAsia="黑体"/>
          <w:sz w:val="32"/>
        </w:rPr>
        <w:t>二、决算单位构成</w:t>
      </w:r>
    </w:p>
    <w:p>
      <w:pPr>
        <w:spacing w:line="540" w:lineRule="exact"/>
        <w:ind w:firstLine="640" w:firstLineChars="200"/>
        <w:jc w:val="left"/>
        <w:rPr>
          <w:rFonts w:ascii="仿宋_GB2312" w:hAnsi="宋体" w:eastAsia="仿宋_GB2312"/>
          <w:sz w:val="32"/>
          <w:szCs w:val="32"/>
        </w:rPr>
      </w:pPr>
      <w:r>
        <w:rPr>
          <w:rFonts w:ascii="仿宋_GB2312" w:hAnsi="宋体" w:eastAsia="仿宋_GB2312"/>
          <w:sz w:val="32"/>
          <w:szCs w:val="32"/>
        </w:rPr>
        <w:t>本单位是纳入浑南区教育局202</w:t>
      </w:r>
      <w:r>
        <w:rPr>
          <w:rFonts w:hint="default" w:ascii="仿宋_GB2312" w:hAnsi="宋体" w:eastAsia="仿宋_GB2312"/>
          <w:sz w:val="32"/>
          <w:szCs w:val="32"/>
        </w:rPr>
        <w:t>1</w:t>
      </w:r>
      <w:r>
        <w:rPr>
          <w:rFonts w:ascii="仿宋_GB2312" w:hAnsi="宋体" w:eastAsia="仿宋_GB2312"/>
          <w:sz w:val="32"/>
          <w:szCs w:val="32"/>
        </w:rPr>
        <w:t>年度决算编制范围的二级预算单位，本单位无下设机构。</w:t>
      </w:r>
    </w:p>
    <w:p>
      <w:pPr>
        <w:pStyle w:val="6"/>
        <w:spacing w:line="560" w:lineRule="exact"/>
        <w:ind w:firstLine="640"/>
        <w:rPr>
          <w:rFonts w:ascii="黑体" w:eastAsia="黑体"/>
          <w:sz w:val="32"/>
        </w:rPr>
      </w:pPr>
    </w:p>
    <w:p>
      <w:pPr>
        <w:pStyle w:val="6"/>
        <w:spacing w:line="560" w:lineRule="exact"/>
        <w:jc w:val="center"/>
        <w:rPr>
          <w:rFonts w:hint="default"/>
          <w:b/>
          <w:sz w:val="36"/>
        </w:rPr>
      </w:pPr>
      <w:r>
        <w:rPr>
          <w:b/>
          <w:sz w:val="36"/>
        </w:rPr>
        <w:t>第二部分</w:t>
      </w:r>
      <w:r>
        <w:rPr>
          <w:rFonts w:asciiTheme="minorEastAsia" w:hAnsiTheme="minorEastAsia" w:eastAsiaTheme="minorEastAsia"/>
          <w:b/>
          <w:bCs/>
          <w:sz w:val="36"/>
          <w:szCs w:val="36"/>
        </w:rPr>
        <w:t>沈阳市浑南高级中学</w:t>
      </w:r>
      <w:r>
        <w:rPr>
          <w:b/>
          <w:sz w:val="36"/>
        </w:rPr>
        <w:t>2021年决算情况说明</w:t>
      </w:r>
    </w:p>
    <w:p>
      <w:pPr>
        <w:pStyle w:val="6"/>
        <w:spacing w:line="560" w:lineRule="exact"/>
        <w:ind w:firstLine="640" w:firstLineChars="200"/>
        <w:rPr>
          <w:rFonts w:hint="default" w:ascii="黑体" w:eastAsia="黑体"/>
          <w:sz w:val="32"/>
        </w:rPr>
      </w:pPr>
    </w:p>
    <w:p>
      <w:pPr>
        <w:spacing w:line="540" w:lineRule="exact"/>
        <w:ind w:firstLine="627" w:firstLineChars="196"/>
        <w:rPr>
          <w:rFonts w:hint="default" w:ascii="黑体" w:hAnsi="黑体" w:eastAsia="黑体"/>
          <w:b/>
          <w:bCs/>
          <w:color w:val="FF0000"/>
          <w:sz w:val="32"/>
          <w:szCs w:val="32"/>
        </w:rPr>
      </w:pPr>
      <w:r>
        <w:rPr>
          <w:rFonts w:ascii="黑体" w:eastAsia="黑体"/>
          <w:sz w:val="32"/>
        </w:rPr>
        <w:t>一、收入支出决算总体情况说明</w:t>
      </w:r>
    </w:p>
    <w:p>
      <w:pPr>
        <w:spacing w:line="540" w:lineRule="exact"/>
        <w:ind w:firstLine="630" w:firstLineChars="196"/>
        <w:rPr>
          <w:rFonts w:hint="default" w:ascii="楷体_GB2312" w:eastAsia="楷体_GB2312"/>
          <w:b/>
          <w:sz w:val="32"/>
        </w:rPr>
      </w:pPr>
      <w:r>
        <w:rPr>
          <w:rFonts w:ascii="楷体_GB2312" w:eastAsia="楷体_GB2312"/>
          <w:b/>
          <w:sz w:val="32"/>
        </w:rPr>
        <w:t>（一）收入总计</w:t>
      </w:r>
      <w:r>
        <w:rPr>
          <w:rFonts w:hint="default" w:ascii="楷体_GB2312" w:eastAsia="楷体_GB2312"/>
          <w:b/>
          <w:sz w:val="32"/>
        </w:rPr>
        <w:t>1347.90</w:t>
      </w:r>
      <w:r>
        <w:rPr>
          <w:rFonts w:ascii="楷体_GB2312" w:eastAsia="楷体_GB2312"/>
          <w:b/>
          <w:sz w:val="32"/>
        </w:rPr>
        <w:t>万元，包括：</w:t>
      </w:r>
    </w:p>
    <w:p>
      <w:pPr>
        <w:pStyle w:val="6"/>
        <w:spacing w:line="560" w:lineRule="exact"/>
        <w:ind w:firstLine="660"/>
        <w:rPr>
          <w:rFonts w:hint="default" w:ascii="仿宋_GB2312" w:eastAsia="仿宋_GB2312"/>
          <w:sz w:val="32"/>
        </w:rPr>
      </w:pPr>
      <w:r>
        <w:rPr>
          <w:rFonts w:ascii="仿宋_GB2312" w:eastAsia="仿宋_GB2312"/>
          <w:sz w:val="32"/>
        </w:rPr>
        <w:t>1.财政拨款收入</w:t>
      </w:r>
      <w:r>
        <w:rPr>
          <w:rFonts w:hint="default" w:ascii="仿宋_GB2312" w:eastAsia="仿宋_GB2312"/>
          <w:sz w:val="32"/>
        </w:rPr>
        <w:t>1101.75</w:t>
      </w:r>
      <w:r>
        <w:rPr>
          <w:rFonts w:ascii="仿宋_GB2312" w:eastAsia="仿宋_GB2312"/>
          <w:sz w:val="32"/>
        </w:rPr>
        <w:t>万元，占收入总计的</w:t>
      </w:r>
      <w:r>
        <w:rPr>
          <w:rFonts w:hint="default" w:ascii="仿宋_GB2312" w:eastAsia="仿宋_GB2312"/>
          <w:sz w:val="32"/>
        </w:rPr>
        <w:t>81.74</w:t>
      </w:r>
      <w:r>
        <w:rPr>
          <w:rFonts w:ascii="仿宋_GB2312" w:eastAsia="仿宋_GB2312"/>
          <w:sz w:val="32"/>
        </w:rPr>
        <w:t>%。其中：一般公共预算财政拨款收入</w:t>
      </w:r>
      <w:r>
        <w:rPr>
          <w:rFonts w:hint="default" w:ascii="仿宋_GB2312" w:eastAsia="仿宋_GB2312"/>
          <w:sz w:val="32"/>
        </w:rPr>
        <w:t>1101.75</w:t>
      </w:r>
      <w:r>
        <w:rPr>
          <w:rFonts w:ascii="仿宋_GB2312" w:eastAsia="仿宋_GB2312"/>
          <w:sz w:val="32"/>
        </w:rPr>
        <w:t>万元，政府性基金收入</w:t>
      </w:r>
      <w:r>
        <w:rPr>
          <w:rFonts w:hint="default" w:ascii="仿宋_GB2312" w:eastAsia="仿宋_GB2312"/>
          <w:sz w:val="32"/>
        </w:rPr>
        <w:t>0</w:t>
      </w:r>
      <w:r>
        <w:rPr>
          <w:rFonts w:ascii="仿宋_GB2312" w:eastAsia="仿宋_GB2312"/>
          <w:sz w:val="32"/>
        </w:rPr>
        <w:t>万元，国有资本经营预算财政拨款收入</w:t>
      </w:r>
      <w:r>
        <w:rPr>
          <w:rFonts w:hint="default" w:ascii="仿宋_GB2312" w:eastAsia="仿宋_GB2312"/>
          <w:sz w:val="32"/>
        </w:rPr>
        <w:t>0</w:t>
      </w:r>
      <w:r>
        <w:rPr>
          <w:rFonts w:ascii="仿宋_GB2312" w:eastAsia="仿宋_GB2312"/>
          <w:sz w:val="32"/>
        </w:rPr>
        <w:t>万元。</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2</w:t>
      </w:r>
      <w:r>
        <w:rPr>
          <w:rFonts w:ascii="仿宋_GB2312" w:eastAsia="仿宋_GB2312"/>
          <w:sz w:val="32"/>
        </w:rPr>
        <w:t>.事业收入</w:t>
      </w:r>
      <w:r>
        <w:rPr>
          <w:rFonts w:hint="default" w:ascii="仿宋_GB2312" w:eastAsia="仿宋_GB2312"/>
          <w:sz w:val="32"/>
        </w:rPr>
        <w:t>47.85</w:t>
      </w:r>
      <w:r>
        <w:rPr>
          <w:rFonts w:ascii="仿宋_GB2312" w:eastAsia="仿宋_GB2312"/>
          <w:sz w:val="32"/>
        </w:rPr>
        <w:t>万元，占收入总计的3</w:t>
      </w:r>
      <w:r>
        <w:rPr>
          <w:rFonts w:hint="default" w:ascii="仿宋_GB2312" w:eastAsia="仿宋_GB2312"/>
          <w:sz w:val="32"/>
        </w:rPr>
        <w:t>.55</w:t>
      </w:r>
      <w:r>
        <w:rPr>
          <w:rFonts w:ascii="仿宋_GB2312" w:eastAsia="仿宋_GB2312"/>
          <w:sz w:val="32"/>
        </w:rPr>
        <w:t>%。主要是财政专户拨入物业费等收入。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3</w:t>
      </w:r>
      <w:r>
        <w:rPr>
          <w:rFonts w:ascii="仿宋_GB2312" w:eastAsia="仿宋_GB2312"/>
          <w:sz w:val="32"/>
        </w:rPr>
        <w:t>.其他收入</w:t>
      </w:r>
      <w:r>
        <w:rPr>
          <w:rFonts w:hint="default" w:ascii="仿宋_GB2312" w:eastAsia="仿宋_GB2312"/>
          <w:sz w:val="32"/>
        </w:rPr>
        <w:t>38.73</w:t>
      </w:r>
      <w:r>
        <w:rPr>
          <w:rFonts w:ascii="仿宋_GB2312" w:eastAsia="仿宋_GB2312"/>
          <w:sz w:val="32"/>
        </w:rPr>
        <w:t>万元，占收入总计的</w:t>
      </w:r>
      <w:r>
        <w:rPr>
          <w:rFonts w:hint="default" w:ascii="仿宋_GB2312" w:eastAsia="仿宋_GB2312"/>
          <w:sz w:val="32"/>
        </w:rPr>
        <w:t>2.87</w:t>
      </w:r>
      <w:r>
        <w:rPr>
          <w:rFonts w:ascii="仿宋_GB2312" w:eastAsia="仿宋_GB2312"/>
          <w:sz w:val="32"/>
        </w:rPr>
        <w:t>%。主要是教育局拨2020年绩效工资收入。</w:t>
      </w:r>
    </w:p>
    <w:p>
      <w:pPr>
        <w:pStyle w:val="6"/>
        <w:spacing w:line="560" w:lineRule="exact"/>
        <w:ind w:firstLine="660"/>
        <w:rPr>
          <w:rFonts w:hint="default" w:ascii="仿宋_GB2312" w:eastAsia="仿宋_GB2312"/>
          <w:sz w:val="32"/>
        </w:rPr>
      </w:pPr>
      <w:r>
        <w:rPr>
          <w:rFonts w:hint="eastAsia" w:ascii="仿宋_GB2312" w:eastAsia="仿宋_GB2312"/>
          <w:sz w:val="32"/>
          <w:lang w:val="en-US" w:eastAsia="zh-CN"/>
        </w:rPr>
        <w:t>4</w:t>
      </w:r>
      <w:r>
        <w:rPr>
          <w:rFonts w:ascii="仿宋_GB2312" w:eastAsia="仿宋_GB2312"/>
          <w:sz w:val="32"/>
        </w:rPr>
        <w:t>.上年结转和结余</w:t>
      </w:r>
      <w:r>
        <w:rPr>
          <w:rFonts w:hint="default" w:ascii="仿宋_GB2312" w:eastAsia="仿宋_GB2312"/>
          <w:sz w:val="32"/>
        </w:rPr>
        <w:t>159.57</w:t>
      </w:r>
      <w:r>
        <w:rPr>
          <w:rFonts w:ascii="仿宋_GB2312" w:eastAsia="仿宋_GB2312"/>
          <w:sz w:val="32"/>
        </w:rPr>
        <w:t>万元，占收入总计的</w:t>
      </w:r>
      <w:r>
        <w:rPr>
          <w:rFonts w:hint="default" w:ascii="仿宋_GB2312" w:eastAsia="仿宋_GB2312"/>
          <w:sz w:val="32"/>
        </w:rPr>
        <w:t>11.84</w:t>
      </w:r>
      <w:r>
        <w:rPr>
          <w:rFonts w:ascii="仿宋_GB2312" w:eastAsia="仿宋_GB2312"/>
          <w:sz w:val="32"/>
        </w:rPr>
        <w:t>%。主要是食堂、宿舍空调设备采购资金、以前年度事业基金、2019年10月-2020年11月弹性离校资金等。</w:t>
      </w:r>
    </w:p>
    <w:p>
      <w:pPr>
        <w:pStyle w:val="6"/>
        <w:spacing w:line="560" w:lineRule="exact"/>
        <w:ind w:firstLine="660"/>
        <w:rPr>
          <w:rFonts w:hint="default" w:ascii="仿宋_GB2312" w:eastAsia="仿宋_GB2312"/>
          <w:sz w:val="32"/>
          <w:szCs w:val="32"/>
        </w:rPr>
      </w:pPr>
      <w:r>
        <w:rPr>
          <w:rFonts w:ascii="仿宋_GB2312" w:eastAsia="仿宋_GB2312"/>
          <w:sz w:val="32"/>
        </w:rPr>
        <w:t>与上年相比，今年收入增加</w:t>
      </w:r>
      <w:r>
        <w:rPr>
          <w:rFonts w:hint="default" w:ascii="仿宋_GB2312" w:eastAsia="仿宋_GB2312"/>
          <w:sz w:val="32"/>
        </w:rPr>
        <w:t>378.43</w:t>
      </w:r>
      <w:r>
        <w:rPr>
          <w:rFonts w:ascii="仿宋_GB2312" w:eastAsia="仿宋_GB2312"/>
          <w:sz w:val="32"/>
        </w:rPr>
        <w:t>万元，增长</w:t>
      </w:r>
      <w:r>
        <w:rPr>
          <w:rFonts w:hint="default" w:ascii="仿宋_GB2312" w:eastAsia="仿宋_GB2312"/>
          <w:sz w:val="32"/>
        </w:rPr>
        <w:t>36.35</w:t>
      </w:r>
      <w:r>
        <w:rPr>
          <w:rFonts w:ascii="仿宋_GB2312" w:eastAsia="仿宋_GB2312"/>
          <w:sz w:val="32"/>
        </w:rPr>
        <w:t>%，主要原因：</w:t>
      </w:r>
      <w:r>
        <w:rPr>
          <w:rFonts w:ascii="仿宋_GB2312" w:eastAsia="仿宋_GB2312"/>
          <w:sz w:val="32"/>
          <w:szCs w:val="32"/>
        </w:rPr>
        <w:t>学校规模扩大，一是招聘了大批老师，人员经费增加。二是学生增多，生均经费增加。</w:t>
      </w:r>
    </w:p>
    <w:p>
      <w:pPr>
        <w:pStyle w:val="6"/>
        <w:spacing w:line="560" w:lineRule="exact"/>
        <w:ind w:firstLine="660"/>
        <w:rPr>
          <w:rFonts w:hint="default" w:ascii="楷体_GB2312" w:eastAsia="楷体_GB2312"/>
          <w:b/>
          <w:bCs/>
          <w:sz w:val="32"/>
        </w:rPr>
      </w:pPr>
      <w:r>
        <w:rPr>
          <w:rFonts w:ascii="仿宋_GB2312" w:eastAsia="仿宋_GB2312"/>
          <w:b/>
          <w:bCs/>
          <w:sz w:val="32"/>
          <w:szCs w:val="32"/>
        </w:rPr>
        <w:t>（二）支出总计</w:t>
      </w:r>
      <w:r>
        <w:rPr>
          <w:rFonts w:hint="default" w:ascii="仿宋_GB2312" w:eastAsia="仿宋_GB2312"/>
          <w:b/>
          <w:bCs/>
          <w:sz w:val="32"/>
          <w:szCs w:val="32"/>
        </w:rPr>
        <w:t>1313.61</w:t>
      </w:r>
      <w:r>
        <w:rPr>
          <w:rFonts w:ascii="仿宋_GB2312" w:eastAsia="仿宋_GB2312"/>
          <w:b/>
          <w:bCs/>
          <w:sz w:val="32"/>
          <w:szCs w:val="32"/>
        </w:rPr>
        <w:t>万元，包</w:t>
      </w:r>
      <w:r>
        <w:rPr>
          <w:rFonts w:ascii="楷体_GB2312" w:eastAsia="楷体_GB2312"/>
          <w:b/>
          <w:bCs/>
          <w:sz w:val="32"/>
        </w:rPr>
        <w:t>括：</w:t>
      </w:r>
    </w:p>
    <w:p>
      <w:pPr>
        <w:pStyle w:val="6"/>
        <w:spacing w:line="560" w:lineRule="exact"/>
        <w:ind w:firstLine="660"/>
        <w:rPr>
          <w:rFonts w:hint="default" w:ascii="仿宋_GB2312" w:eastAsia="仿宋_GB2312"/>
          <w:sz w:val="32"/>
        </w:rPr>
      </w:pPr>
      <w:r>
        <w:rPr>
          <w:rFonts w:ascii="仿宋_GB2312" w:eastAsia="仿宋_GB2312"/>
          <w:sz w:val="32"/>
        </w:rPr>
        <w:t>1.基本支出</w:t>
      </w:r>
      <w:r>
        <w:rPr>
          <w:rFonts w:hint="default" w:ascii="仿宋_GB2312" w:eastAsia="仿宋_GB2312"/>
          <w:sz w:val="32"/>
        </w:rPr>
        <w:t>1101.87</w:t>
      </w:r>
      <w:r>
        <w:rPr>
          <w:rFonts w:ascii="仿宋_GB2312" w:eastAsia="仿宋_GB2312"/>
          <w:sz w:val="32"/>
        </w:rPr>
        <w:t>万元，占支出总计的</w:t>
      </w:r>
      <w:r>
        <w:rPr>
          <w:rFonts w:hint="default" w:ascii="仿宋_GB2312" w:eastAsia="仿宋_GB2312"/>
          <w:sz w:val="32"/>
        </w:rPr>
        <w:t>83.88</w:t>
      </w:r>
      <w:r>
        <w:rPr>
          <w:rFonts w:ascii="仿宋_GB2312" w:eastAsia="仿宋_GB2312"/>
          <w:sz w:val="32"/>
        </w:rPr>
        <w:t>%。主要是为保障机构正常运转、完成日常工作任务而发生的各项支出，其中：工资福利支出</w:t>
      </w:r>
      <w:r>
        <w:rPr>
          <w:rFonts w:hint="default" w:ascii="仿宋_GB2312" w:eastAsia="仿宋_GB2312"/>
          <w:sz w:val="32"/>
        </w:rPr>
        <w:t>809.76</w:t>
      </w:r>
      <w:r>
        <w:rPr>
          <w:rFonts w:ascii="仿宋_GB2312" w:eastAsia="仿宋_GB2312"/>
          <w:sz w:val="32"/>
        </w:rPr>
        <w:t>万元，对个人和家庭的补助支出1</w:t>
      </w:r>
      <w:r>
        <w:rPr>
          <w:rFonts w:hint="default" w:ascii="仿宋_GB2312" w:eastAsia="仿宋_GB2312"/>
          <w:sz w:val="32"/>
        </w:rPr>
        <w:t>53.88</w:t>
      </w:r>
      <w:r>
        <w:rPr>
          <w:rFonts w:ascii="仿宋_GB2312" w:eastAsia="仿宋_GB2312"/>
          <w:sz w:val="32"/>
        </w:rPr>
        <w:t>万元，商品和服务支出</w:t>
      </w:r>
      <w:r>
        <w:rPr>
          <w:rFonts w:hint="default" w:ascii="仿宋_GB2312" w:eastAsia="仿宋_GB2312"/>
          <w:sz w:val="32"/>
        </w:rPr>
        <w:t>125.33</w:t>
      </w:r>
      <w:r>
        <w:rPr>
          <w:rFonts w:ascii="仿宋_GB2312" w:eastAsia="仿宋_GB2312"/>
          <w:sz w:val="32"/>
        </w:rPr>
        <w:t>万元，资本性支出1</w:t>
      </w:r>
      <w:r>
        <w:rPr>
          <w:rFonts w:hint="default" w:ascii="仿宋_GB2312" w:eastAsia="仿宋_GB2312"/>
          <w:sz w:val="32"/>
        </w:rPr>
        <w:t>2.90</w:t>
      </w:r>
      <w:r>
        <w:rPr>
          <w:rFonts w:ascii="仿宋_GB2312" w:eastAsia="仿宋_GB2312"/>
          <w:sz w:val="32"/>
        </w:rPr>
        <w:t>万元。</w:t>
      </w:r>
    </w:p>
    <w:p>
      <w:pPr>
        <w:pStyle w:val="6"/>
        <w:spacing w:line="560" w:lineRule="exact"/>
        <w:ind w:firstLine="660"/>
        <w:rPr>
          <w:rFonts w:hint="default" w:ascii="仿宋_GB2312" w:eastAsia="仿宋_GB2312"/>
          <w:sz w:val="32"/>
        </w:rPr>
      </w:pPr>
      <w:r>
        <w:rPr>
          <w:rFonts w:ascii="仿宋_GB2312" w:eastAsia="仿宋_GB2312"/>
          <w:sz w:val="32"/>
        </w:rPr>
        <w:t>2.项目支出</w:t>
      </w:r>
      <w:r>
        <w:rPr>
          <w:rFonts w:hint="default" w:ascii="仿宋_GB2312" w:eastAsia="仿宋_GB2312"/>
          <w:sz w:val="32"/>
        </w:rPr>
        <w:t>211.74</w:t>
      </w:r>
      <w:r>
        <w:rPr>
          <w:rFonts w:ascii="仿宋_GB2312" w:eastAsia="仿宋_GB2312"/>
          <w:sz w:val="32"/>
        </w:rPr>
        <w:t>万元，占支出总计的</w:t>
      </w:r>
      <w:r>
        <w:rPr>
          <w:rFonts w:hint="default" w:ascii="仿宋_GB2312" w:eastAsia="仿宋_GB2312"/>
          <w:sz w:val="32"/>
        </w:rPr>
        <w:t>16.12</w:t>
      </w:r>
      <w:r>
        <w:rPr>
          <w:rFonts w:ascii="仿宋_GB2312" w:eastAsia="仿宋_GB2312"/>
          <w:sz w:val="32"/>
        </w:rPr>
        <w:t>%。主要包括食堂、宿舍空调设备采购资金、2019年10月-2020年11月弹性离校资金等业务支出。</w:t>
      </w:r>
    </w:p>
    <w:p>
      <w:pPr>
        <w:pStyle w:val="6"/>
        <w:spacing w:line="560" w:lineRule="exact"/>
        <w:ind w:firstLine="660"/>
        <w:rPr>
          <w:rFonts w:hint="default" w:ascii="仿宋_GB2312" w:eastAsia="仿宋_GB2312"/>
          <w:sz w:val="32"/>
          <w:szCs w:val="32"/>
        </w:rPr>
      </w:pPr>
      <w:r>
        <w:rPr>
          <w:rFonts w:ascii="仿宋_GB2312" w:eastAsia="仿宋_GB2312"/>
          <w:sz w:val="32"/>
        </w:rPr>
        <w:t>与上年相比，今年支出增加3</w:t>
      </w:r>
      <w:r>
        <w:rPr>
          <w:rFonts w:hint="default" w:ascii="仿宋_GB2312" w:eastAsia="仿宋_GB2312"/>
          <w:sz w:val="32"/>
        </w:rPr>
        <w:t>06.82</w:t>
      </w:r>
      <w:r>
        <w:rPr>
          <w:rFonts w:ascii="仿宋_GB2312" w:eastAsia="仿宋_GB2312"/>
          <w:sz w:val="32"/>
        </w:rPr>
        <w:t>万元，增长</w:t>
      </w:r>
      <w:r>
        <w:rPr>
          <w:rFonts w:hint="default" w:ascii="仿宋_GB2312" w:eastAsia="仿宋_GB2312"/>
          <w:sz w:val="32"/>
        </w:rPr>
        <w:t>30.48</w:t>
      </w:r>
      <w:r>
        <w:rPr>
          <w:rFonts w:ascii="仿宋_GB2312" w:eastAsia="仿宋_GB2312"/>
          <w:sz w:val="32"/>
        </w:rPr>
        <w:t>%，主要原因：</w:t>
      </w:r>
      <w:r>
        <w:rPr>
          <w:rFonts w:ascii="仿宋_GB2312" w:eastAsia="仿宋_GB2312"/>
          <w:sz w:val="32"/>
          <w:szCs w:val="32"/>
        </w:rPr>
        <w:t>学校规模扩大，一是招聘了大批老师，人员经费支出增加。二是学生增多，生均经费增加。</w:t>
      </w:r>
    </w:p>
    <w:p>
      <w:pPr>
        <w:pStyle w:val="6"/>
        <w:spacing w:line="560" w:lineRule="exact"/>
        <w:ind w:firstLine="660"/>
        <w:rPr>
          <w:rFonts w:hint="default" w:ascii="楷体_GB2312" w:eastAsia="楷体_GB2312"/>
          <w:b/>
          <w:sz w:val="32"/>
        </w:rPr>
      </w:pPr>
      <w:r>
        <w:rPr>
          <w:rFonts w:ascii="楷体_GB2312" w:eastAsia="楷体_GB2312"/>
          <w:b/>
          <w:sz w:val="32"/>
        </w:rPr>
        <w:t>（三）年末结转和结余3</w:t>
      </w:r>
      <w:r>
        <w:rPr>
          <w:rFonts w:hint="default" w:ascii="楷体_GB2312" w:eastAsia="楷体_GB2312"/>
          <w:b/>
          <w:sz w:val="32"/>
        </w:rPr>
        <w:t>4.29</w:t>
      </w:r>
      <w:r>
        <w:rPr>
          <w:rFonts w:ascii="楷体_GB2312" w:eastAsia="楷体_GB2312"/>
          <w:b/>
          <w:sz w:val="32"/>
        </w:rPr>
        <w:t>万元</w:t>
      </w:r>
    </w:p>
    <w:p>
      <w:pPr>
        <w:pStyle w:val="6"/>
        <w:spacing w:line="560" w:lineRule="exact"/>
        <w:ind w:firstLine="660"/>
        <w:rPr>
          <w:rFonts w:hint="default" w:ascii="仿宋_GB2312" w:eastAsia="仿宋_GB2312"/>
          <w:sz w:val="32"/>
        </w:rPr>
      </w:pPr>
      <w:r>
        <w:rPr>
          <w:rFonts w:ascii="仿宋_GB2312" w:eastAsia="仿宋_GB2312"/>
          <w:sz w:val="32"/>
        </w:rPr>
        <w:t>主要是以前年度事业基金形成的结余。与上年持平。</w:t>
      </w:r>
    </w:p>
    <w:p>
      <w:pPr>
        <w:pStyle w:val="6"/>
        <w:spacing w:line="560" w:lineRule="exact"/>
        <w:ind w:firstLine="660"/>
        <w:rPr>
          <w:rFonts w:hint="default" w:ascii="黑体" w:eastAsia="黑体"/>
          <w:sz w:val="32"/>
        </w:rPr>
      </w:pPr>
      <w:r>
        <w:rPr>
          <w:rFonts w:ascii="黑体" w:eastAsia="黑体"/>
          <w:sz w:val="32"/>
        </w:rPr>
        <w:t>二、财政拨款收入支出决算情况说明</w:t>
      </w:r>
    </w:p>
    <w:p>
      <w:pPr>
        <w:pStyle w:val="6"/>
        <w:spacing w:line="560" w:lineRule="exact"/>
        <w:ind w:firstLine="660"/>
        <w:rPr>
          <w:rFonts w:hint="default" w:ascii="楷体_GB2312" w:eastAsia="楷体_GB2312"/>
          <w:b/>
          <w:sz w:val="32"/>
        </w:rPr>
      </w:pPr>
      <w:r>
        <w:rPr>
          <w:rFonts w:ascii="楷体_GB2312" w:eastAsia="楷体_GB2312"/>
          <w:b/>
          <w:sz w:val="32"/>
        </w:rPr>
        <w:t>（一）总体情况</w:t>
      </w:r>
    </w:p>
    <w:p>
      <w:pPr>
        <w:spacing w:line="540" w:lineRule="exact"/>
        <w:ind w:firstLine="660"/>
        <w:rPr>
          <w:rStyle w:val="10"/>
          <w:rFonts w:ascii="仿宋_GB2312" w:hAnsi="宋体" w:eastAsia="仿宋_GB2312"/>
          <w:sz w:val="32"/>
          <w:szCs w:val="32"/>
        </w:rPr>
      </w:pPr>
      <w:r>
        <w:rPr>
          <w:rFonts w:ascii="仿宋_GB2312" w:eastAsia="仿宋_GB2312"/>
          <w:sz w:val="32"/>
        </w:rPr>
        <w:t>2021年度财政拨款支出</w:t>
      </w:r>
      <w:r>
        <w:rPr>
          <w:rFonts w:hint="default" w:ascii="仿宋_GB2312" w:eastAsia="仿宋_GB2312"/>
          <w:sz w:val="32"/>
        </w:rPr>
        <w:t>1227.02</w:t>
      </w:r>
      <w:r>
        <w:rPr>
          <w:rFonts w:ascii="仿宋_GB2312" w:eastAsia="仿宋_GB2312"/>
          <w:sz w:val="32"/>
        </w:rPr>
        <w:t>万元，其中：基本支出</w:t>
      </w:r>
      <w:r>
        <w:rPr>
          <w:rFonts w:hint="default" w:ascii="仿宋_GB2312" w:eastAsia="仿宋_GB2312"/>
          <w:sz w:val="32"/>
        </w:rPr>
        <w:t>1064.37</w:t>
      </w:r>
      <w:r>
        <w:rPr>
          <w:rFonts w:ascii="仿宋_GB2312" w:eastAsia="仿宋_GB2312"/>
          <w:sz w:val="32"/>
        </w:rPr>
        <w:t>万元，项目支出</w:t>
      </w:r>
      <w:r>
        <w:rPr>
          <w:rFonts w:hint="default" w:ascii="仿宋_GB2312" w:eastAsia="仿宋_GB2312"/>
          <w:sz w:val="32"/>
        </w:rPr>
        <w:t>162.65</w:t>
      </w:r>
      <w:r>
        <w:rPr>
          <w:rFonts w:ascii="仿宋_GB2312" w:eastAsia="仿宋_GB2312"/>
          <w:sz w:val="32"/>
        </w:rPr>
        <w:t>万元。与上年相比，财政拨款支出增加2</w:t>
      </w:r>
      <w:r>
        <w:rPr>
          <w:rFonts w:hint="default" w:ascii="仿宋_GB2312" w:eastAsia="仿宋_GB2312"/>
          <w:sz w:val="32"/>
        </w:rPr>
        <w:t>25.82</w:t>
      </w:r>
      <w:r>
        <w:rPr>
          <w:rFonts w:ascii="仿宋_GB2312" w:eastAsia="仿宋_GB2312"/>
          <w:sz w:val="32"/>
        </w:rPr>
        <w:t>万元，增长2</w:t>
      </w:r>
      <w:r>
        <w:rPr>
          <w:rFonts w:hint="default" w:ascii="仿宋_GB2312" w:eastAsia="仿宋_GB2312"/>
          <w:sz w:val="32"/>
        </w:rPr>
        <w:t>2.55</w:t>
      </w:r>
      <w:r>
        <w:rPr>
          <w:rFonts w:ascii="仿宋_GB2312" w:eastAsia="仿宋_GB2312"/>
          <w:sz w:val="32"/>
        </w:rPr>
        <w:t>%，主要原因是</w:t>
      </w:r>
      <w:r>
        <w:rPr>
          <w:rStyle w:val="10"/>
          <w:rFonts w:ascii="仿宋_GB2312" w:eastAsia="仿宋_GB2312" w:cs="Times New Roman"/>
          <w:bCs/>
          <w:sz w:val="32"/>
          <w:szCs w:val="32"/>
        </w:rPr>
        <w:t>学生人数增加，学校正常教育教学运行费用增加</w:t>
      </w:r>
      <w:r>
        <w:rPr>
          <w:rFonts w:ascii="仿宋_GB2312" w:eastAsia="仿宋_GB2312"/>
          <w:sz w:val="32"/>
        </w:rPr>
        <w:t>。与年初预算相比，2021年度财政拨款支出完成年初预算的</w:t>
      </w:r>
      <w:r>
        <w:rPr>
          <w:rFonts w:hint="default" w:ascii="仿宋_GB2312" w:eastAsia="仿宋_GB2312"/>
          <w:sz w:val="32"/>
        </w:rPr>
        <w:t>100</w:t>
      </w:r>
      <w:r>
        <w:rPr>
          <w:rFonts w:ascii="仿宋_GB2312" w:eastAsia="仿宋_GB2312"/>
          <w:sz w:val="32"/>
        </w:rPr>
        <w:t>%，</w:t>
      </w:r>
      <w:r>
        <w:rPr>
          <w:rStyle w:val="10"/>
          <w:rFonts w:ascii="仿宋_GB2312" w:hAnsi="宋体" w:eastAsia="仿宋_GB2312"/>
          <w:sz w:val="32"/>
          <w:szCs w:val="32"/>
        </w:rPr>
        <w:t>，其中：基本支出完成年初预算的100%，学校没有单独安排项目年初预算，由教育局统一安排。</w:t>
      </w:r>
    </w:p>
    <w:p>
      <w:pPr>
        <w:pStyle w:val="6"/>
        <w:spacing w:line="560" w:lineRule="exact"/>
        <w:ind w:firstLine="660"/>
        <w:rPr>
          <w:rFonts w:hint="default" w:ascii="楷体_GB2312" w:eastAsia="楷体_GB2312"/>
          <w:b/>
          <w:sz w:val="32"/>
          <w:szCs w:val="32"/>
        </w:rPr>
      </w:pPr>
      <w:r>
        <w:rPr>
          <w:rFonts w:ascii="楷体_GB2312" w:eastAsia="楷体_GB2312"/>
          <w:b/>
          <w:sz w:val="32"/>
          <w:szCs w:val="32"/>
        </w:rPr>
        <w:t>（二）一般公共预算财政拨款支出情况。</w:t>
      </w:r>
    </w:p>
    <w:p>
      <w:pPr>
        <w:spacing w:line="540" w:lineRule="exact"/>
        <w:ind w:firstLine="660"/>
        <w:rPr>
          <w:rStyle w:val="10"/>
          <w:rFonts w:ascii="仿宋_GB2312" w:hAnsi="宋体" w:eastAsia="仿宋_GB2312"/>
          <w:sz w:val="32"/>
          <w:szCs w:val="32"/>
        </w:rPr>
      </w:pPr>
      <w:r>
        <w:rPr>
          <w:rFonts w:ascii="仿宋_GB2312" w:hAnsi="宋体" w:eastAsia="仿宋_GB2312"/>
          <w:sz w:val="32"/>
          <w:szCs w:val="32"/>
        </w:rPr>
        <w:t>2021年度一般公共预算财政拨款支出</w:t>
      </w:r>
      <w:r>
        <w:rPr>
          <w:rFonts w:hint="default" w:ascii="仿宋_GB2312" w:hAnsi="宋体" w:eastAsia="仿宋_GB2312"/>
          <w:sz w:val="32"/>
          <w:szCs w:val="32"/>
        </w:rPr>
        <w:t>1227.02</w:t>
      </w:r>
      <w:r>
        <w:rPr>
          <w:rFonts w:ascii="仿宋_GB2312" w:hAnsi="宋体" w:eastAsia="仿宋_GB2312"/>
          <w:sz w:val="32"/>
          <w:szCs w:val="32"/>
        </w:rPr>
        <w:t>万元，按支出功能分类科目分，</w:t>
      </w:r>
      <w:r>
        <w:rPr>
          <w:rStyle w:val="10"/>
          <w:rFonts w:ascii="仿宋_GB2312" w:hAnsi="宋体" w:eastAsia="仿宋_GB2312"/>
          <w:sz w:val="32"/>
          <w:szCs w:val="32"/>
        </w:rPr>
        <w:t>包括：</w:t>
      </w:r>
      <w:r>
        <w:rPr>
          <w:rStyle w:val="10"/>
          <w:rFonts w:ascii="仿宋_GB2312" w:eastAsia="仿宋_GB2312"/>
          <w:sz w:val="32"/>
          <w:szCs w:val="32"/>
        </w:rPr>
        <w:t>包括教育支出</w:t>
      </w:r>
      <w:r>
        <w:rPr>
          <w:rStyle w:val="10"/>
          <w:rFonts w:hint="default" w:ascii="仿宋_GB2312" w:eastAsia="仿宋_GB2312"/>
          <w:sz w:val="32"/>
          <w:szCs w:val="32"/>
        </w:rPr>
        <w:t>1106.62</w:t>
      </w:r>
      <w:r>
        <w:rPr>
          <w:rStyle w:val="10"/>
          <w:rFonts w:ascii="仿宋_GB2312" w:eastAsia="仿宋_GB2312"/>
          <w:sz w:val="32"/>
          <w:szCs w:val="32"/>
        </w:rPr>
        <w:t>万元，</w:t>
      </w:r>
      <w:r>
        <w:rPr>
          <w:rStyle w:val="10"/>
          <w:rFonts w:ascii="仿宋_GB2312" w:hAnsi="宋体" w:eastAsia="仿宋_GB2312"/>
          <w:sz w:val="32"/>
          <w:szCs w:val="32"/>
        </w:rPr>
        <w:t>占90</w:t>
      </w:r>
      <w:r>
        <w:rPr>
          <w:rStyle w:val="10"/>
          <w:rFonts w:hint="default" w:ascii="仿宋_GB2312" w:hAnsi="宋体" w:eastAsia="仿宋_GB2312"/>
          <w:sz w:val="32"/>
          <w:szCs w:val="32"/>
        </w:rPr>
        <w:t>.19</w:t>
      </w:r>
      <w:r>
        <w:rPr>
          <w:rStyle w:val="10"/>
          <w:rFonts w:ascii="仿宋_GB2312" w:hAnsi="宋体" w:eastAsia="仿宋_GB2312"/>
          <w:sz w:val="32"/>
          <w:szCs w:val="32"/>
        </w:rPr>
        <w:t>%；</w:t>
      </w:r>
      <w:r>
        <w:rPr>
          <w:rStyle w:val="10"/>
          <w:rFonts w:ascii="仿宋_GB2312" w:eastAsia="仿宋_GB2312"/>
          <w:sz w:val="32"/>
          <w:szCs w:val="32"/>
        </w:rPr>
        <w:t>社会保障和就业支出</w:t>
      </w:r>
      <w:r>
        <w:rPr>
          <w:rStyle w:val="10"/>
          <w:rFonts w:hint="default" w:ascii="仿宋_GB2312" w:eastAsia="仿宋_GB2312"/>
          <w:sz w:val="32"/>
          <w:szCs w:val="32"/>
        </w:rPr>
        <w:t>76.03</w:t>
      </w:r>
      <w:r>
        <w:rPr>
          <w:rStyle w:val="10"/>
          <w:rFonts w:ascii="仿宋_GB2312" w:eastAsia="仿宋_GB2312"/>
          <w:sz w:val="32"/>
          <w:szCs w:val="32"/>
        </w:rPr>
        <w:t>万元</w:t>
      </w:r>
      <w:r>
        <w:rPr>
          <w:rStyle w:val="10"/>
          <w:rFonts w:ascii="仿宋_GB2312" w:hAnsi="宋体" w:eastAsia="仿宋_GB2312"/>
          <w:sz w:val="32"/>
          <w:szCs w:val="32"/>
        </w:rPr>
        <w:t>，占6</w:t>
      </w:r>
      <w:r>
        <w:rPr>
          <w:rStyle w:val="10"/>
          <w:rFonts w:hint="default" w:ascii="仿宋_GB2312" w:hAnsi="宋体" w:eastAsia="仿宋_GB2312"/>
          <w:sz w:val="32"/>
          <w:szCs w:val="32"/>
        </w:rPr>
        <w:t>.2</w:t>
      </w:r>
      <w:r>
        <w:rPr>
          <w:rStyle w:val="10"/>
          <w:rFonts w:ascii="仿宋_GB2312" w:hAnsi="宋体" w:eastAsia="仿宋_GB2312"/>
          <w:sz w:val="32"/>
          <w:szCs w:val="32"/>
        </w:rPr>
        <w:t>%；卫生健康支出</w:t>
      </w:r>
      <w:r>
        <w:rPr>
          <w:rStyle w:val="10"/>
          <w:rFonts w:hint="default" w:ascii="仿宋_GB2312" w:hAnsi="宋体" w:eastAsia="仿宋_GB2312"/>
          <w:sz w:val="32"/>
          <w:szCs w:val="32"/>
        </w:rPr>
        <w:t>44.37</w:t>
      </w:r>
      <w:r>
        <w:rPr>
          <w:rStyle w:val="10"/>
          <w:rFonts w:ascii="仿宋_GB2312" w:hAnsi="宋体" w:eastAsia="仿宋_GB2312"/>
          <w:sz w:val="32"/>
          <w:szCs w:val="32"/>
        </w:rPr>
        <w:t>万元，占3</w:t>
      </w:r>
      <w:r>
        <w:rPr>
          <w:rStyle w:val="10"/>
          <w:rFonts w:hint="default" w:ascii="仿宋_GB2312" w:hAnsi="宋体" w:eastAsia="仿宋_GB2312"/>
          <w:sz w:val="32"/>
          <w:szCs w:val="32"/>
        </w:rPr>
        <w:t>.61</w:t>
      </w:r>
      <w:r>
        <w:rPr>
          <w:rStyle w:val="10"/>
          <w:rFonts w:ascii="仿宋_GB2312" w:hAnsi="宋体" w:eastAsia="仿宋_GB2312"/>
          <w:sz w:val="32"/>
          <w:szCs w:val="32"/>
        </w:rPr>
        <w:t>%。</w:t>
      </w:r>
    </w:p>
    <w:p>
      <w:pPr>
        <w:spacing w:line="560" w:lineRule="exact"/>
        <w:ind w:firstLine="660"/>
        <w:rPr>
          <w:rFonts w:hint="default" w:ascii="仿宋_GB2312" w:hAnsi="宋体" w:eastAsia="仿宋_GB2312"/>
          <w:sz w:val="32"/>
          <w:szCs w:val="32"/>
        </w:rPr>
      </w:pPr>
      <w:r>
        <w:rPr>
          <w:rFonts w:ascii="仿宋_GB2312" w:hAnsi="宋体" w:eastAsia="仿宋_GB2312"/>
          <w:sz w:val="32"/>
          <w:szCs w:val="32"/>
        </w:rPr>
        <w:t>1.</w:t>
      </w:r>
      <w:r>
        <w:rPr>
          <w:rStyle w:val="10"/>
          <w:rFonts w:ascii="仿宋_GB2312" w:eastAsia="仿宋_GB2312"/>
          <w:sz w:val="32"/>
          <w:szCs w:val="32"/>
        </w:rPr>
        <w:t xml:space="preserve"> 教育支出</w:t>
      </w:r>
      <w:r>
        <w:rPr>
          <w:rStyle w:val="10"/>
          <w:rFonts w:hint="default" w:ascii="仿宋_GB2312" w:eastAsia="仿宋_GB2312"/>
          <w:sz w:val="32"/>
          <w:szCs w:val="32"/>
        </w:rPr>
        <w:t>1106.62</w:t>
      </w:r>
      <w:r>
        <w:rPr>
          <w:rStyle w:val="10"/>
          <w:rFonts w:ascii="仿宋_GB2312" w:eastAsia="仿宋_GB2312"/>
          <w:sz w:val="32"/>
          <w:szCs w:val="32"/>
        </w:rPr>
        <w:t>万元</w:t>
      </w:r>
      <w:r>
        <w:rPr>
          <w:rFonts w:ascii="仿宋_GB2312" w:hAnsi="宋体" w:eastAsia="仿宋_GB2312"/>
          <w:sz w:val="32"/>
          <w:szCs w:val="32"/>
        </w:rPr>
        <w:t>，具体包括：</w:t>
      </w:r>
    </w:p>
    <w:p>
      <w:pPr>
        <w:ind w:firstLine="480" w:firstLineChars="150"/>
        <w:rPr>
          <w:rStyle w:val="10"/>
          <w:rFonts w:ascii="仿宋_GB2312" w:eastAsia="仿宋_GB2312" w:cs="Times New Roman"/>
          <w:bCs/>
          <w:sz w:val="32"/>
          <w:szCs w:val="32"/>
        </w:rPr>
      </w:pPr>
      <w:r>
        <w:rPr>
          <w:rStyle w:val="10"/>
          <w:rFonts w:ascii="仿宋_GB2312" w:eastAsia="仿宋_GB2312"/>
          <w:sz w:val="32"/>
          <w:szCs w:val="32"/>
        </w:rPr>
        <w:t>（1）普通教育支出</w:t>
      </w:r>
      <w:r>
        <w:rPr>
          <w:rStyle w:val="10"/>
          <w:rFonts w:hint="default" w:ascii="仿宋_GB2312" w:eastAsia="仿宋_GB2312"/>
          <w:sz w:val="32"/>
          <w:szCs w:val="32"/>
        </w:rPr>
        <w:t>985.98</w:t>
      </w:r>
      <w:r>
        <w:rPr>
          <w:rStyle w:val="10"/>
          <w:rFonts w:ascii="仿宋_GB2312" w:eastAsia="仿宋_GB2312"/>
          <w:sz w:val="32"/>
          <w:szCs w:val="32"/>
        </w:rPr>
        <w:t>万元，主要是工资福利支出</w:t>
      </w:r>
      <w:r>
        <w:rPr>
          <w:rStyle w:val="10"/>
          <w:rFonts w:hint="default" w:ascii="仿宋_GB2312" w:eastAsia="仿宋_GB2312"/>
          <w:sz w:val="32"/>
          <w:szCs w:val="32"/>
        </w:rPr>
        <w:t>689.76</w:t>
      </w:r>
      <w:r>
        <w:rPr>
          <w:rStyle w:val="10"/>
          <w:rFonts w:ascii="仿宋_GB2312" w:eastAsia="仿宋_GB2312"/>
          <w:sz w:val="32"/>
          <w:szCs w:val="32"/>
        </w:rPr>
        <w:t>万元，商品服务支出</w:t>
      </w:r>
      <w:r>
        <w:rPr>
          <w:rStyle w:val="10"/>
          <w:rFonts w:hint="default" w:ascii="仿宋_GB2312" w:eastAsia="仿宋_GB2312"/>
          <w:sz w:val="32"/>
          <w:szCs w:val="32"/>
        </w:rPr>
        <w:t>108.12</w:t>
      </w:r>
      <w:r>
        <w:rPr>
          <w:rStyle w:val="10"/>
          <w:rFonts w:ascii="仿宋_GB2312" w:eastAsia="仿宋_GB2312"/>
          <w:sz w:val="32"/>
          <w:szCs w:val="32"/>
        </w:rPr>
        <w:t>万元，对个人和家庭补助支出</w:t>
      </w:r>
      <w:r>
        <w:rPr>
          <w:rStyle w:val="10"/>
          <w:rFonts w:hint="default" w:ascii="仿宋_GB2312" w:eastAsia="仿宋_GB2312"/>
          <w:sz w:val="32"/>
          <w:szCs w:val="32"/>
        </w:rPr>
        <w:t>156.69</w:t>
      </w:r>
      <w:r>
        <w:rPr>
          <w:rStyle w:val="10"/>
          <w:rFonts w:ascii="仿宋_GB2312" w:eastAsia="仿宋_GB2312"/>
          <w:sz w:val="32"/>
          <w:szCs w:val="32"/>
        </w:rPr>
        <w:t>万元,办公设备购置等其它资本性支出</w:t>
      </w:r>
      <w:r>
        <w:rPr>
          <w:rStyle w:val="10"/>
          <w:rFonts w:hint="default" w:ascii="仿宋_GB2312" w:eastAsia="仿宋_GB2312"/>
          <w:sz w:val="32"/>
          <w:szCs w:val="32"/>
        </w:rPr>
        <w:t>31.43</w:t>
      </w:r>
      <w:r>
        <w:rPr>
          <w:rStyle w:val="10"/>
          <w:rFonts w:ascii="仿宋_GB2312" w:eastAsia="仿宋_GB2312"/>
          <w:sz w:val="32"/>
          <w:szCs w:val="32"/>
        </w:rPr>
        <w:t>万元等支出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Style w:val="10"/>
          <w:rFonts w:ascii="仿宋_GB2312" w:eastAsia="仿宋_GB2312"/>
          <w:sz w:val="32"/>
          <w:szCs w:val="32"/>
        </w:rPr>
        <w:t>。</w:t>
      </w:r>
    </w:p>
    <w:p>
      <w:pPr>
        <w:ind w:firstLine="480" w:firstLineChars="150"/>
        <w:rPr>
          <w:rStyle w:val="10"/>
          <w:rFonts w:hint="default" w:ascii="仿宋_GB2312" w:eastAsia="仿宋_GB2312"/>
          <w:sz w:val="32"/>
          <w:szCs w:val="32"/>
        </w:rPr>
      </w:pPr>
      <w:r>
        <w:rPr>
          <w:rStyle w:val="10"/>
          <w:rFonts w:ascii="仿宋_GB2312" w:eastAsia="仿宋_GB2312" w:cs="Times New Roman"/>
          <w:bCs/>
          <w:sz w:val="32"/>
          <w:szCs w:val="32"/>
        </w:rPr>
        <w:t>（2）教育费附加安排的支出</w:t>
      </w:r>
      <w:r>
        <w:rPr>
          <w:rStyle w:val="10"/>
          <w:rFonts w:hint="default" w:ascii="仿宋_GB2312" w:eastAsia="仿宋_GB2312" w:cs="Times New Roman"/>
          <w:bCs/>
          <w:sz w:val="32"/>
          <w:szCs w:val="32"/>
        </w:rPr>
        <w:t>120.64</w:t>
      </w:r>
      <w:r>
        <w:rPr>
          <w:rStyle w:val="10"/>
          <w:rFonts w:ascii="仿宋_GB2312" w:eastAsia="仿宋_GB2312" w:cs="Times New Roman"/>
          <w:bCs/>
          <w:sz w:val="32"/>
          <w:szCs w:val="32"/>
        </w:rPr>
        <w:t>万元，其中：</w:t>
      </w:r>
      <w:r>
        <w:rPr>
          <w:rStyle w:val="10"/>
          <w:rFonts w:ascii="仿宋_GB2312" w:eastAsia="仿宋_GB2312"/>
          <w:sz w:val="32"/>
          <w:szCs w:val="32"/>
        </w:rPr>
        <w:t>商品服务支出</w:t>
      </w:r>
      <w:r>
        <w:rPr>
          <w:rStyle w:val="10"/>
          <w:rFonts w:hint="default" w:ascii="仿宋_GB2312" w:eastAsia="仿宋_GB2312"/>
          <w:sz w:val="32"/>
          <w:szCs w:val="32"/>
        </w:rPr>
        <w:t>51.21</w:t>
      </w:r>
      <w:r>
        <w:rPr>
          <w:rStyle w:val="10"/>
          <w:rFonts w:ascii="仿宋_GB2312" w:eastAsia="仿宋_GB2312"/>
          <w:sz w:val="32"/>
          <w:szCs w:val="32"/>
        </w:rPr>
        <w:t>万元，办公设备购置等其它资本性支出</w:t>
      </w:r>
      <w:r>
        <w:rPr>
          <w:rStyle w:val="10"/>
          <w:rFonts w:hint="default" w:ascii="仿宋_GB2312" w:eastAsia="仿宋_GB2312"/>
          <w:sz w:val="32"/>
          <w:szCs w:val="32"/>
        </w:rPr>
        <w:t>69.43</w:t>
      </w:r>
      <w:r>
        <w:rPr>
          <w:rStyle w:val="10"/>
          <w:rFonts w:ascii="仿宋_GB2312" w:eastAsia="仿宋_GB2312"/>
          <w:sz w:val="32"/>
          <w:szCs w:val="32"/>
        </w:rPr>
        <w:t>万元等支出</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Style w:val="10"/>
          <w:rFonts w:ascii="仿宋_GB2312" w:eastAsia="仿宋_GB2312"/>
          <w:sz w:val="32"/>
          <w:szCs w:val="32"/>
        </w:rPr>
        <w:t>。</w:t>
      </w:r>
    </w:p>
    <w:p>
      <w:pPr>
        <w:ind w:firstLine="480" w:firstLineChars="150"/>
        <w:rPr>
          <w:rStyle w:val="10"/>
          <w:rFonts w:ascii="仿宋_GB2312" w:eastAsia="仿宋_GB2312" w:cs="Times New Roman"/>
          <w:bCs/>
          <w:sz w:val="32"/>
          <w:szCs w:val="32"/>
        </w:rPr>
      </w:pPr>
      <w:r>
        <w:rPr>
          <w:rStyle w:val="10"/>
          <w:rFonts w:ascii="仿宋_GB2312" w:eastAsia="仿宋_GB2312" w:cs="Times New Roman"/>
          <w:bCs/>
          <w:sz w:val="32"/>
          <w:szCs w:val="32"/>
        </w:rPr>
        <w:t>2.社会保障和就业支出</w:t>
      </w:r>
      <w:r>
        <w:rPr>
          <w:rStyle w:val="10"/>
          <w:rFonts w:hint="default" w:ascii="仿宋_GB2312" w:eastAsia="仿宋_GB2312" w:cs="Times New Roman"/>
          <w:bCs/>
          <w:sz w:val="32"/>
          <w:szCs w:val="32"/>
        </w:rPr>
        <w:t>76.03</w:t>
      </w:r>
      <w:r>
        <w:rPr>
          <w:rStyle w:val="10"/>
          <w:rFonts w:ascii="仿宋_GB2312" w:eastAsia="仿宋_GB2312" w:cs="Times New Roman"/>
          <w:bCs/>
          <w:sz w:val="32"/>
          <w:szCs w:val="32"/>
        </w:rPr>
        <w:t>万元，具体包括：行政事业单位养老支出</w:t>
      </w:r>
      <w:r>
        <w:rPr>
          <w:rStyle w:val="10"/>
          <w:rFonts w:hint="default" w:ascii="仿宋_GB2312" w:eastAsia="仿宋_GB2312" w:cs="Times New Roman"/>
          <w:bCs/>
          <w:sz w:val="32"/>
          <w:szCs w:val="32"/>
        </w:rPr>
        <w:t>76.03</w:t>
      </w:r>
      <w:r>
        <w:rPr>
          <w:rStyle w:val="10"/>
          <w:rFonts w:ascii="仿宋_GB2312" w:eastAsia="仿宋_GB2312" w:cs="Times New Roman"/>
          <w:bCs/>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Style w:val="10"/>
          <w:rFonts w:ascii="仿宋_GB2312" w:eastAsia="仿宋_GB2312" w:cs="Times New Roman"/>
          <w:bCs/>
          <w:sz w:val="32"/>
          <w:szCs w:val="32"/>
        </w:rPr>
        <w:t>。</w:t>
      </w:r>
    </w:p>
    <w:p>
      <w:pPr>
        <w:ind w:firstLine="320" w:firstLineChars="100"/>
        <w:rPr>
          <w:rStyle w:val="10"/>
          <w:rFonts w:ascii="仿宋_GB2312" w:eastAsia="仿宋_GB2312" w:cs="Times New Roman"/>
          <w:bCs/>
          <w:sz w:val="32"/>
          <w:szCs w:val="32"/>
        </w:rPr>
      </w:pPr>
      <w:r>
        <w:rPr>
          <w:rStyle w:val="10"/>
          <w:rFonts w:ascii="仿宋_GB2312" w:eastAsia="仿宋_GB2312" w:cs="Times New Roman"/>
          <w:bCs/>
          <w:sz w:val="32"/>
          <w:szCs w:val="32"/>
        </w:rPr>
        <w:t>3.卫生健康支出</w:t>
      </w:r>
      <w:r>
        <w:rPr>
          <w:rStyle w:val="10"/>
          <w:rFonts w:hint="default" w:ascii="仿宋_GB2312" w:hAnsi="宋体" w:eastAsia="仿宋_GB2312"/>
          <w:sz w:val="32"/>
          <w:szCs w:val="32"/>
        </w:rPr>
        <w:t>44.37</w:t>
      </w:r>
      <w:r>
        <w:rPr>
          <w:rStyle w:val="10"/>
          <w:rFonts w:ascii="仿宋_GB2312" w:eastAsia="仿宋_GB2312" w:cs="Times New Roman"/>
          <w:bCs/>
          <w:sz w:val="32"/>
          <w:szCs w:val="32"/>
        </w:rPr>
        <w:t>万元，具体包括：事业单位医疗</w:t>
      </w:r>
      <w:r>
        <w:rPr>
          <w:rStyle w:val="10"/>
          <w:rFonts w:hint="default" w:ascii="仿宋_GB2312" w:eastAsia="仿宋_GB2312" w:cs="Times New Roman"/>
          <w:bCs/>
          <w:sz w:val="32"/>
          <w:szCs w:val="32"/>
        </w:rPr>
        <w:t>41.17</w:t>
      </w:r>
      <w:r>
        <w:rPr>
          <w:rStyle w:val="10"/>
          <w:rFonts w:ascii="仿宋_GB2312" w:eastAsia="仿宋_GB2312" w:cs="Times New Roman"/>
          <w:bCs/>
          <w:sz w:val="32"/>
          <w:szCs w:val="32"/>
        </w:rPr>
        <w:t>万元，其他行政事业单位医疗支出</w:t>
      </w:r>
      <w:r>
        <w:rPr>
          <w:rStyle w:val="10"/>
          <w:rFonts w:hint="default" w:ascii="仿宋_GB2312" w:eastAsia="仿宋_GB2312" w:cs="Times New Roman"/>
          <w:bCs/>
          <w:sz w:val="32"/>
          <w:szCs w:val="32"/>
        </w:rPr>
        <w:t>3.2</w:t>
      </w:r>
      <w:r>
        <w:rPr>
          <w:rStyle w:val="10"/>
          <w:rFonts w:ascii="仿宋_GB2312" w:eastAsia="仿宋_GB2312" w:cs="Times New Roman"/>
          <w:bCs/>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100%，决算数等于年初预算数的原因是完全按照预算执行</w:t>
      </w:r>
      <w:r>
        <w:rPr>
          <w:rStyle w:val="10"/>
          <w:rFonts w:ascii="仿宋_GB2312" w:eastAsia="仿宋_GB2312" w:cs="Times New Roman"/>
          <w:bCs/>
          <w:sz w:val="32"/>
          <w:szCs w:val="32"/>
        </w:rPr>
        <w:t>。</w:t>
      </w:r>
    </w:p>
    <w:p>
      <w:pPr>
        <w:spacing w:line="560" w:lineRule="exact"/>
        <w:ind w:firstLine="660"/>
        <w:outlineLvl w:val="2"/>
        <w:rPr>
          <w:rFonts w:ascii="楷体_GB2312" w:hAnsi="宋体" w:eastAsia="楷体_GB2312"/>
          <w:b/>
          <w:color w:val="000000" w:themeColor="text1"/>
          <w:sz w:val="32"/>
          <w:szCs w:val="32"/>
          <w14:textFill>
            <w14:solidFill>
              <w14:schemeClr w14:val="tx1"/>
            </w14:solidFill>
          </w14:textFill>
        </w:rPr>
      </w:pPr>
      <w:r>
        <w:rPr>
          <w:rFonts w:ascii="楷体_GB2312" w:hAnsi="宋体" w:eastAsia="楷体_GB2312"/>
          <w:b/>
          <w:color w:val="000000" w:themeColor="text1"/>
          <w:sz w:val="32"/>
          <w:szCs w:val="32"/>
          <w14:textFill>
            <w14:solidFill>
              <w14:schemeClr w14:val="tx1"/>
            </w14:solidFill>
          </w14:textFill>
        </w:rPr>
        <w:t>（三）政府性基金预算财政拨款支出情况。</w:t>
      </w:r>
    </w:p>
    <w:p>
      <w:pPr>
        <w:spacing w:line="560" w:lineRule="exact"/>
        <w:ind w:firstLine="1280" w:firstLineChars="400"/>
        <w:rPr>
          <w:rStyle w:val="10"/>
          <w:rFonts w:ascii="仿宋_GB2312" w:eastAsia="仿宋_GB2312" w:cs="Times New Roman"/>
          <w:bCs/>
          <w:sz w:val="32"/>
          <w:szCs w:val="32"/>
        </w:rPr>
      </w:pPr>
      <w:r>
        <w:rPr>
          <w:rFonts w:ascii="仿宋_GB2312" w:hAnsi="宋体" w:eastAsia="仿宋_GB2312"/>
          <w:color w:val="000000" w:themeColor="text1"/>
          <w:sz w:val="32"/>
          <w:szCs w:val="32"/>
          <w14:textFill>
            <w14:solidFill>
              <w14:schemeClr w14:val="tx1"/>
            </w14:solidFill>
          </w14:textFill>
        </w:rPr>
        <w:t>本年未发生此项资金。</w:t>
      </w:r>
    </w:p>
    <w:p>
      <w:pPr>
        <w:spacing w:line="560" w:lineRule="exact"/>
        <w:ind w:firstLine="660"/>
        <w:outlineLvl w:val="2"/>
        <w:rPr>
          <w:rFonts w:ascii="楷体_GB2312" w:hAnsi="宋体" w:eastAsia="楷体_GB2312"/>
          <w:b/>
          <w:color w:val="000000" w:themeColor="text1"/>
          <w:sz w:val="32"/>
          <w:szCs w:val="32"/>
          <w14:textFill>
            <w14:solidFill>
              <w14:schemeClr w14:val="tx1"/>
            </w14:solidFill>
          </w14:textFill>
        </w:rPr>
      </w:pPr>
      <w:r>
        <w:rPr>
          <w:rFonts w:ascii="楷体_GB2312" w:hAnsi="宋体" w:eastAsia="楷体_GB2312"/>
          <w:b/>
          <w:color w:val="000000" w:themeColor="text1"/>
          <w:sz w:val="32"/>
          <w:szCs w:val="32"/>
          <w14:textFill>
            <w14:solidFill>
              <w14:schemeClr w14:val="tx1"/>
            </w14:solidFill>
          </w14:textFill>
        </w:rPr>
        <w:t>（四）国有资本经营预算财政拨款支出情况。</w:t>
      </w:r>
    </w:p>
    <w:p>
      <w:pPr>
        <w:spacing w:line="560" w:lineRule="exact"/>
        <w:ind w:firstLine="1280" w:firstLineChars="400"/>
        <w:rPr>
          <w:rStyle w:val="10"/>
          <w:rFonts w:ascii="仿宋_GB2312" w:eastAsia="仿宋_GB2312" w:cs="Times New Roman"/>
          <w:bCs/>
          <w:sz w:val="32"/>
          <w:szCs w:val="32"/>
        </w:rPr>
      </w:pPr>
      <w:r>
        <w:rPr>
          <w:rFonts w:ascii="仿宋_GB2312" w:hAnsi="宋体" w:eastAsia="仿宋_GB2312"/>
          <w:color w:val="000000" w:themeColor="text1"/>
          <w:sz w:val="32"/>
          <w:szCs w:val="32"/>
          <w14:textFill>
            <w14:solidFill>
              <w14:schemeClr w14:val="tx1"/>
            </w14:solidFill>
          </w14:textFill>
        </w:rPr>
        <w:t>本年未发生此项资金。</w:t>
      </w:r>
    </w:p>
    <w:p>
      <w:pPr>
        <w:pStyle w:val="6"/>
        <w:spacing w:line="560" w:lineRule="exact"/>
        <w:ind w:firstLine="660"/>
        <w:rPr>
          <w:rFonts w:hint="default" w:ascii="黑体" w:eastAsia="黑体"/>
          <w:sz w:val="32"/>
        </w:rPr>
      </w:pPr>
      <w:r>
        <w:rPr>
          <w:rFonts w:ascii="黑体" w:eastAsia="黑体"/>
          <w:sz w:val="32"/>
        </w:rPr>
        <w:t>三、一般公共预算财政拨款“三公”经费支出决算情况说明</w:t>
      </w:r>
    </w:p>
    <w:p>
      <w:pPr>
        <w:pStyle w:val="6"/>
        <w:autoSpaceDN w:val="0"/>
        <w:spacing w:line="560" w:lineRule="exact"/>
        <w:ind w:firstLine="645"/>
        <w:rPr>
          <w:rFonts w:hint="default" w:ascii="仿宋_GB2312" w:eastAsia="仿宋_GB2312"/>
          <w:sz w:val="32"/>
        </w:rPr>
      </w:pPr>
      <w:r>
        <w:rPr>
          <w:rFonts w:ascii="仿宋_GB2312" w:eastAsia="仿宋_GB2312"/>
          <w:sz w:val="32"/>
        </w:rPr>
        <w:t>2021年度一般公共预算财政拨款安排的“三公”经费支出</w:t>
      </w:r>
      <w:r>
        <w:rPr>
          <w:rFonts w:hint="default" w:ascii="仿宋_GB2312" w:eastAsia="仿宋_GB2312"/>
          <w:sz w:val="32"/>
        </w:rPr>
        <w:t>0.03</w:t>
      </w:r>
      <w:r>
        <w:rPr>
          <w:rFonts w:ascii="仿宋_GB2312" w:eastAsia="仿宋_GB2312"/>
          <w:sz w:val="32"/>
        </w:rPr>
        <w:t>万元，决算数大于年初预算数的主要原因是我单位没有安排年初预算，由于学校车辆不属于区政府车管中心登记范围内的公务用车，区财政没有列入“三公”经费预算中，车辆使用过程中的燃油、维修维护、车检等费用由学校教育经费中解决。在实际报销过程中，财务人员将应计入其他交通费科目的车辆相关支出计入公务用车运行维护费科目，出现2021年车辆维护经费决算超预算的问题。其中：因公出国（境）费</w:t>
      </w:r>
      <w:r>
        <w:rPr>
          <w:rFonts w:hint="default" w:ascii="仿宋_GB2312" w:eastAsia="仿宋_GB2312"/>
          <w:sz w:val="32"/>
        </w:rPr>
        <w:t>0</w:t>
      </w:r>
      <w:r>
        <w:rPr>
          <w:rFonts w:ascii="仿宋_GB2312" w:eastAsia="仿宋_GB2312"/>
          <w:sz w:val="32"/>
        </w:rPr>
        <w:t>万元，公务接待费</w:t>
      </w:r>
      <w:r>
        <w:rPr>
          <w:rFonts w:hint="default" w:ascii="仿宋_GB2312" w:eastAsia="仿宋_GB2312"/>
          <w:sz w:val="32"/>
        </w:rPr>
        <w:t>0</w:t>
      </w:r>
      <w:r>
        <w:rPr>
          <w:rFonts w:ascii="仿宋_GB2312" w:eastAsia="仿宋_GB2312"/>
          <w:sz w:val="32"/>
        </w:rPr>
        <w:t>万元，公务用车购置及运行维护费</w:t>
      </w:r>
      <w:r>
        <w:rPr>
          <w:rFonts w:hint="default" w:ascii="仿宋_GB2312" w:eastAsia="仿宋_GB2312"/>
          <w:sz w:val="32"/>
        </w:rPr>
        <w:t>0.03</w:t>
      </w:r>
      <w:r>
        <w:rPr>
          <w:rFonts w:ascii="仿宋_GB2312" w:eastAsia="仿宋_GB2312"/>
          <w:sz w:val="32"/>
        </w:rPr>
        <w:t>万元。</w:t>
      </w:r>
    </w:p>
    <w:p>
      <w:pPr>
        <w:pStyle w:val="6"/>
        <w:spacing w:line="560" w:lineRule="exact"/>
        <w:ind w:firstLine="645"/>
        <w:rPr>
          <w:rFonts w:hint="default" w:ascii="仿宋_GB2312" w:eastAsia="仿宋_GB2312"/>
          <w:sz w:val="32"/>
        </w:rPr>
      </w:pPr>
      <w:r>
        <w:rPr>
          <w:rFonts w:ascii="仿宋_GB2312" w:eastAsia="仿宋_GB2312"/>
          <w:sz w:val="32"/>
        </w:rPr>
        <w:t>1.因公出国（境）费</w:t>
      </w:r>
      <w:r>
        <w:rPr>
          <w:rFonts w:hint="default" w:ascii="仿宋_GB2312" w:eastAsia="仿宋_GB2312"/>
          <w:sz w:val="32"/>
        </w:rPr>
        <w:t>0</w:t>
      </w:r>
      <w:r>
        <w:rPr>
          <w:rFonts w:ascii="仿宋_GB2312" w:eastAsia="仿宋_GB2312"/>
          <w:sz w:val="32"/>
        </w:rPr>
        <w:t>万元，占“三公”经费支出的</w:t>
      </w:r>
      <w:r>
        <w:rPr>
          <w:rFonts w:hint="default" w:ascii="仿宋_GB2312" w:eastAsia="仿宋_GB2312"/>
          <w:sz w:val="32"/>
        </w:rPr>
        <w:t>0</w:t>
      </w:r>
      <w:r>
        <w:rPr>
          <w:rFonts w:ascii="仿宋_GB2312" w:eastAsia="仿宋_GB2312"/>
          <w:sz w:val="32"/>
        </w:rPr>
        <w:t>%。完成年初预算的</w:t>
      </w:r>
      <w:r>
        <w:rPr>
          <w:rFonts w:hint="default" w:ascii="仿宋_GB2312" w:eastAsia="仿宋_GB2312"/>
          <w:sz w:val="32"/>
        </w:rPr>
        <w:t>0</w:t>
      </w:r>
      <w:r>
        <w:rPr>
          <w:rFonts w:ascii="仿宋_GB2312" w:eastAsia="仿宋_GB2312"/>
          <w:sz w:val="32"/>
        </w:rPr>
        <w:t>%。2021年参加出国（境）团组</w:t>
      </w:r>
      <w:r>
        <w:rPr>
          <w:rFonts w:hint="default" w:ascii="仿宋_GB2312" w:eastAsia="仿宋_GB2312"/>
          <w:sz w:val="32"/>
        </w:rPr>
        <w:t>0</w:t>
      </w:r>
      <w:r>
        <w:rPr>
          <w:rFonts w:ascii="仿宋_GB2312" w:eastAsia="仿宋_GB2312"/>
          <w:sz w:val="32"/>
        </w:rPr>
        <w:t>个，累计</w:t>
      </w:r>
      <w:r>
        <w:rPr>
          <w:rFonts w:hint="default" w:ascii="仿宋_GB2312" w:eastAsia="仿宋_GB2312"/>
          <w:sz w:val="32"/>
        </w:rPr>
        <w:t>0</w:t>
      </w:r>
      <w:r>
        <w:rPr>
          <w:rFonts w:ascii="仿宋_GB2312" w:eastAsia="仿宋_GB2312"/>
          <w:sz w:val="32"/>
        </w:rPr>
        <w:t>人次。</w:t>
      </w:r>
      <w:r>
        <w:rPr>
          <w:rFonts w:ascii="仿宋_GB2312" w:hAnsi="Times New Roman" w:eastAsia="仿宋_GB2312" w:cs="Times New Roman"/>
          <w:kern w:val="0"/>
          <w:sz w:val="32"/>
          <w:szCs w:val="32"/>
        </w:rPr>
        <w:t>2021年因公出国（境）费比上年减少</w:t>
      </w:r>
      <w:r>
        <w:rPr>
          <w:rFonts w:hint="default" w:ascii="仿宋_GB2312" w:hAnsi="Times New Roman" w:eastAsia="仿宋_GB2312" w:cs="Times New Roman"/>
          <w:kern w:val="0"/>
          <w:sz w:val="32"/>
          <w:szCs w:val="32"/>
        </w:rPr>
        <w:t>0</w:t>
      </w:r>
      <w:r>
        <w:rPr>
          <w:rFonts w:ascii="仿宋_GB2312" w:hAnsi="Times New Roman" w:eastAsia="仿宋_GB2312" w:cs="Times New Roman"/>
          <w:kern w:val="0"/>
          <w:sz w:val="32"/>
          <w:szCs w:val="32"/>
        </w:rPr>
        <w:t>万元，下降</w:t>
      </w:r>
      <w:r>
        <w:rPr>
          <w:rFonts w:hint="default" w:ascii="仿宋_GB2312" w:hAnsi="Times New Roman" w:eastAsia="仿宋_GB2312" w:cs="Times New Roman"/>
          <w:kern w:val="0"/>
          <w:sz w:val="32"/>
          <w:szCs w:val="32"/>
        </w:rPr>
        <w:t>0</w:t>
      </w:r>
      <w:r>
        <w:rPr>
          <w:rFonts w:ascii="仿宋_GB2312" w:hAnsi="Times New Roman" w:eastAsia="仿宋_GB2312" w:cs="Times New Roman"/>
          <w:kern w:val="0"/>
          <w:sz w:val="32"/>
          <w:szCs w:val="32"/>
        </w:rPr>
        <w:t>%。</w:t>
      </w:r>
      <w:r>
        <w:rPr>
          <w:rFonts w:ascii="仿宋_GB2312" w:eastAsia="仿宋_GB2312"/>
          <w:sz w:val="32"/>
        </w:rPr>
        <w:t>主要是2020年及2021年均无出国任务。</w:t>
      </w:r>
    </w:p>
    <w:p>
      <w:pPr>
        <w:pStyle w:val="6"/>
        <w:spacing w:line="560" w:lineRule="exact"/>
        <w:ind w:firstLine="645"/>
        <w:rPr>
          <w:rFonts w:hint="default" w:ascii="Times New Roman" w:hAnsi="Times New Roman" w:cs="Times New Roman"/>
          <w:kern w:val="0"/>
          <w:szCs w:val="21"/>
        </w:rPr>
      </w:pPr>
      <w:r>
        <w:rPr>
          <w:rFonts w:ascii="仿宋_GB2312" w:eastAsia="仿宋_GB2312"/>
          <w:sz w:val="32"/>
        </w:rPr>
        <w:t xml:space="preserve"> 2.公务接待费</w:t>
      </w:r>
      <w:r>
        <w:rPr>
          <w:rFonts w:hint="default" w:ascii="仿宋_GB2312" w:eastAsia="仿宋_GB2312"/>
          <w:sz w:val="32"/>
        </w:rPr>
        <w:t>0</w:t>
      </w:r>
      <w:r>
        <w:rPr>
          <w:rFonts w:ascii="仿宋_GB2312" w:eastAsia="仿宋_GB2312"/>
          <w:sz w:val="32"/>
        </w:rPr>
        <w:t>万元，占“三公”经费支出的</w:t>
      </w:r>
      <w:r>
        <w:rPr>
          <w:rFonts w:hint="default" w:ascii="仿宋_GB2312" w:eastAsia="仿宋_GB2312"/>
          <w:sz w:val="32"/>
        </w:rPr>
        <w:t>0</w:t>
      </w:r>
      <w:r>
        <w:rPr>
          <w:rFonts w:ascii="仿宋_GB2312" w:eastAsia="仿宋_GB2312"/>
          <w:sz w:val="32"/>
        </w:rPr>
        <w:t>%。完成年初预算的</w:t>
      </w:r>
      <w:r>
        <w:rPr>
          <w:rFonts w:hint="default" w:ascii="仿宋_GB2312" w:eastAsia="仿宋_GB2312"/>
          <w:sz w:val="32"/>
        </w:rPr>
        <w:t>0</w:t>
      </w:r>
      <w:r>
        <w:rPr>
          <w:rFonts w:ascii="仿宋_GB2312" w:eastAsia="仿宋_GB2312"/>
          <w:sz w:val="32"/>
        </w:rPr>
        <w:t>%。2021年国内公务接待累计</w:t>
      </w:r>
      <w:r>
        <w:rPr>
          <w:rFonts w:hint="default" w:ascii="仿宋_GB2312" w:eastAsia="仿宋_GB2312"/>
          <w:sz w:val="32"/>
        </w:rPr>
        <w:t>0</w:t>
      </w:r>
      <w:r>
        <w:rPr>
          <w:rFonts w:ascii="仿宋_GB2312" w:eastAsia="仿宋_GB2312"/>
          <w:sz w:val="32"/>
        </w:rPr>
        <w:t>批次、</w:t>
      </w:r>
      <w:r>
        <w:rPr>
          <w:rFonts w:hint="default" w:ascii="仿宋_GB2312" w:eastAsia="仿宋_GB2312"/>
          <w:sz w:val="32"/>
        </w:rPr>
        <w:t>0</w:t>
      </w:r>
      <w:r>
        <w:rPr>
          <w:rFonts w:ascii="仿宋_GB2312" w:eastAsia="仿宋_GB2312"/>
          <w:sz w:val="32"/>
        </w:rPr>
        <w:t>人、</w:t>
      </w:r>
      <w:r>
        <w:rPr>
          <w:rFonts w:hint="default" w:ascii="仿宋_GB2312" w:eastAsia="仿宋_GB2312"/>
          <w:sz w:val="32"/>
        </w:rPr>
        <w:t>0</w:t>
      </w:r>
      <w:r>
        <w:rPr>
          <w:rFonts w:ascii="仿宋_GB2312" w:eastAsia="仿宋_GB2312"/>
          <w:sz w:val="32"/>
        </w:rPr>
        <w:t>万元。</w:t>
      </w:r>
      <w:r>
        <w:rPr>
          <w:rFonts w:ascii="仿宋_GB2312" w:hAnsi="Times New Roman" w:eastAsia="仿宋_GB2312" w:cs="Times New Roman"/>
          <w:kern w:val="0"/>
          <w:sz w:val="32"/>
          <w:szCs w:val="32"/>
        </w:rPr>
        <w:t>2021年公务接待费比上年减少0万元，下降0%，主要是本单位无此业务。</w:t>
      </w:r>
    </w:p>
    <w:p>
      <w:pPr>
        <w:pStyle w:val="6"/>
        <w:spacing w:line="560" w:lineRule="exact"/>
        <w:ind w:firstLine="640" w:firstLineChars="200"/>
        <w:rPr>
          <w:rFonts w:hint="default" w:ascii="Times New Roman" w:hAnsi="Times New Roman" w:cs="Times New Roman"/>
          <w:kern w:val="0"/>
          <w:szCs w:val="21"/>
        </w:rPr>
      </w:pPr>
      <w:r>
        <w:rPr>
          <w:rFonts w:ascii="仿宋_GB2312" w:eastAsia="仿宋_GB2312"/>
          <w:sz w:val="32"/>
        </w:rPr>
        <w:t>3.</w:t>
      </w:r>
      <w:r>
        <w:rPr>
          <w:rFonts w:hint="default" w:ascii="Times New Roman" w:hAnsi="Times New Roman"/>
        </w:rPr>
        <w:t xml:space="preserve"> </w:t>
      </w:r>
      <w:r>
        <w:rPr>
          <w:rFonts w:ascii="仿宋_GB2312" w:eastAsia="仿宋_GB2312"/>
          <w:sz w:val="32"/>
        </w:rPr>
        <w:t>公务用车购置及运行费</w:t>
      </w:r>
      <w:r>
        <w:rPr>
          <w:rFonts w:hint="default" w:ascii="仿宋_GB2312" w:eastAsia="仿宋_GB2312"/>
          <w:sz w:val="32"/>
        </w:rPr>
        <w:t>0.03</w:t>
      </w:r>
      <w:r>
        <w:rPr>
          <w:rFonts w:ascii="仿宋_GB2312" w:eastAsia="仿宋_GB2312"/>
          <w:sz w:val="32"/>
        </w:rPr>
        <w:t>万元，占“三公”经费支出的</w:t>
      </w:r>
      <w:r>
        <w:rPr>
          <w:rFonts w:hint="default" w:ascii="仿宋_GB2312" w:eastAsia="仿宋_GB2312"/>
          <w:sz w:val="32"/>
        </w:rPr>
        <w:t>100</w:t>
      </w:r>
      <w:r>
        <w:rPr>
          <w:rFonts w:ascii="仿宋_GB2312" w:eastAsia="仿宋_GB2312"/>
          <w:sz w:val="32"/>
        </w:rPr>
        <w:t>%。决算数大于年初预算数的原因主要是我单位没有安排年初预算，由于学校车辆不属于区政府车管中心登记范围内的公务用车，区财政没有列入“三公”经费预算中，车辆使用过程中的燃油、维修维护、车检等费用由学校教育经费中解决。在实际报销过程中，财务人员将应计入其他交通费科目的车辆相关支出计入公务用车运行维护费科目，出现2021年车辆维护经费决算超预算的问题。</w:t>
      </w:r>
      <w:r>
        <w:rPr>
          <w:rFonts w:ascii="仿宋_GB2312" w:hAnsi="Times New Roman" w:eastAsia="仿宋_GB2312" w:cs="Times New Roman"/>
          <w:kern w:val="0"/>
          <w:sz w:val="32"/>
          <w:szCs w:val="32"/>
        </w:rPr>
        <w:t>比上年减少0</w:t>
      </w:r>
      <w:r>
        <w:rPr>
          <w:rFonts w:hint="default" w:ascii="仿宋_GB2312" w:hAnsi="Times New Roman" w:eastAsia="仿宋_GB2312" w:cs="Times New Roman"/>
          <w:kern w:val="0"/>
          <w:sz w:val="32"/>
          <w:szCs w:val="32"/>
        </w:rPr>
        <w:t>.71</w:t>
      </w:r>
      <w:r>
        <w:rPr>
          <w:rFonts w:ascii="仿宋_GB2312" w:hAnsi="Times New Roman" w:eastAsia="仿宋_GB2312" w:cs="Times New Roman"/>
          <w:kern w:val="0"/>
          <w:sz w:val="32"/>
          <w:szCs w:val="32"/>
        </w:rPr>
        <w:t>万元，下降9</w:t>
      </w:r>
      <w:r>
        <w:rPr>
          <w:rFonts w:hint="default" w:ascii="仿宋_GB2312" w:hAnsi="Times New Roman" w:eastAsia="仿宋_GB2312" w:cs="Times New Roman"/>
          <w:kern w:val="0"/>
          <w:sz w:val="32"/>
          <w:szCs w:val="32"/>
        </w:rPr>
        <w:t>5</w:t>
      </w:r>
      <w:r>
        <w:rPr>
          <w:rFonts w:ascii="仿宋_GB2312" w:hAnsi="Times New Roman" w:eastAsia="仿宋_GB2312" w:cs="Times New Roman"/>
          <w:kern w:val="0"/>
          <w:sz w:val="32"/>
          <w:szCs w:val="32"/>
        </w:rPr>
        <w:t>%，主要是没有发生车辆加油费、维修费用等。</w:t>
      </w:r>
    </w:p>
    <w:p>
      <w:pPr>
        <w:pStyle w:val="6"/>
        <w:autoSpaceDN w:val="0"/>
        <w:spacing w:line="560" w:lineRule="exact"/>
        <w:ind w:firstLine="645"/>
        <w:rPr>
          <w:rFonts w:hint="default" w:ascii="仿宋_GB2312" w:eastAsia="仿宋_GB2312"/>
          <w:sz w:val="32"/>
        </w:rPr>
      </w:pPr>
      <w:r>
        <w:rPr>
          <w:rFonts w:ascii="仿宋_GB2312" w:eastAsia="仿宋_GB2312"/>
          <w:sz w:val="32"/>
        </w:rPr>
        <w:t>其中：公务用车购置费</w:t>
      </w:r>
      <w:r>
        <w:rPr>
          <w:rFonts w:hint="default" w:ascii="仿宋_GB2312" w:eastAsia="仿宋_GB2312"/>
          <w:sz w:val="32"/>
        </w:rPr>
        <w:t>0</w:t>
      </w:r>
      <w:r>
        <w:rPr>
          <w:rFonts w:ascii="仿宋_GB2312" w:eastAsia="仿宋_GB2312"/>
          <w:sz w:val="32"/>
        </w:rPr>
        <w:t>万元,当年购置公务用车</w:t>
      </w:r>
      <w:r>
        <w:rPr>
          <w:rFonts w:hint="default" w:ascii="仿宋_GB2312" w:eastAsia="仿宋_GB2312"/>
          <w:sz w:val="32"/>
        </w:rPr>
        <w:t>0</w:t>
      </w:r>
      <w:r>
        <w:rPr>
          <w:rFonts w:ascii="仿宋_GB2312" w:eastAsia="仿宋_GB2312"/>
          <w:sz w:val="32"/>
        </w:rPr>
        <w:t>辆。完成年初预算的</w:t>
      </w:r>
      <w:r>
        <w:rPr>
          <w:rFonts w:hint="default" w:ascii="仿宋_GB2312" w:eastAsia="仿宋_GB2312"/>
          <w:sz w:val="32"/>
        </w:rPr>
        <w:t>0</w:t>
      </w:r>
      <w:r>
        <w:rPr>
          <w:rFonts w:ascii="仿宋_GB2312" w:eastAsia="仿宋_GB2312"/>
          <w:sz w:val="32"/>
        </w:rPr>
        <w:t>%。</w:t>
      </w:r>
    </w:p>
    <w:p>
      <w:pPr>
        <w:pStyle w:val="6"/>
        <w:autoSpaceDN w:val="0"/>
        <w:spacing w:line="560" w:lineRule="exact"/>
        <w:ind w:firstLine="640"/>
        <w:rPr>
          <w:rFonts w:hint="default" w:ascii="仿宋_GB2312" w:eastAsia="仿宋_GB2312"/>
          <w:sz w:val="32"/>
        </w:rPr>
      </w:pPr>
      <w:r>
        <w:rPr>
          <w:rFonts w:ascii="仿宋_GB2312" w:eastAsia="仿宋_GB2312"/>
          <w:sz w:val="32"/>
        </w:rPr>
        <w:t>公务用车运行维护费</w:t>
      </w:r>
      <w:r>
        <w:rPr>
          <w:rFonts w:hint="default" w:ascii="仿宋_GB2312" w:eastAsia="仿宋_GB2312"/>
          <w:sz w:val="32"/>
        </w:rPr>
        <w:t>0.03</w:t>
      </w:r>
      <w:r>
        <w:rPr>
          <w:rFonts w:ascii="仿宋_GB2312" w:eastAsia="仿宋_GB2312"/>
          <w:sz w:val="32"/>
        </w:rPr>
        <w:t>万元，主要用于检车</w:t>
      </w:r>
      <w:r>
        <w:rPr>
          <w:rFonts w:hint="default" w:ascii="仿宋_GB2312" w:eastAsia="仿宋_GB2312"/>
          <w:sz w:val="32"/>
        </w:rPr>
        <w:t>,</w:t>
      </w:r>
      <w:r>
        <w:rPr>
          <w:rFonts w:ascii="仿宋_GB2312" w:eastAsia="仿宋_GB2312"/>
          <w:sz w:val="32"/>
        </w:rPr>
        <w:t>截至年末使用一般公共预算财政拨款开支的公务用车保有量</w:t>
      </w:r>
      <w:r>
        <w:rPr>
          <w:rFonts w:hint="default" w:ascii="仿宋_GB2312" w:eastAsia="仿宋_GB2312"/>
          <w:sz w:val="32"/>
        </w:rPr>
        <w:t>1</w:t>
      </w:r>
      <w:r>
        <w:rPr>
          <w:rFonts w:ascii="仿宋_GB2312" w:eastAsia="仿宋_GB2312"/>
          <w:sz w:val="32"/>
        </w:rPr>
        <w:t>辆。决算数大于年初预算数的原因主要是我单位没有安排年初预算，由于学校车辆不属于区政府车管中心登记范围内的公务用车，区财政没有列入“三公”经费预算中，车辆使用过程中的燃油、维修维护、车检等费用由学校教育经费中解决。在实际报销过程中，财务人员将应计入其他交通费科目的车辆相关支出计入公务用车运行维护费科目，出现2021年车辆维护经费决算超预算的问题。</w:t>
      </w:r>
    </w:p>
    <w:p>
      <w:pPr>
        <w:pStyle w:val="6"/>
        <w:spacing w:line="560" w:lineRule="exact"/>
        <w:ind w:firstLine="645"/>
        <w:rPr>
          <w:rFonts w:hint="default" w:ascii="黑体" w:eastAsia="黑体"/>
          <w:sz w:val="32"/>
        </w:rPr>
      </w:pPr>
      <w:r>
        <w:rPr>
          <w:rFonts w:ascii="黑体" w:eastAsia="黑体"/>
          <w:sz w:val="32"/>
        </w:rPr>
        <w:t>四、一般公共预算财政拨款基本支出决算情况说明</w:t>
      </w:r>
    </w:p>
    <w:p>
      <w:pPr>
        <w:pStyle w:val="6"/>
        <w:spacing w:line="560" w:lineRule="exact"/>
        <w:ind w:firstLine="645"/>
        <w:rPr>
          <w:rFonts w:hint="default" w:ascii="仿宋_GB2312" w:eastAsia="仿宋_GB2312"/>
          <w:sz w:val="32"/>
        </w:rPr>
      </w:pPr>
      <w:r>
        <w:rPr>
          <w:rFonts w:ascii="仿宋_GB2312" w:eastAsia="仿宋_GB2312"/>
          <w:sz w:val="32"/>
        </w:rPr>
        <w:t>2021年度一般公共预算财政拨款基本支出</w:t>
      </w:r>
      <w:r>
        <w:rPr>
          <w:rFonts w:hint="default" w:ascii="仿宋_GB2312" w:eastAsia="仿宋_GB2312"/>
          <w:sz w:val="32"/>
        </w:rPr>
        <w:t>1064.37</w:t>
      </w:r>
      <w:r>
        <w:rPr>
          <w:rFonts w:ascii="仿宋_GB2312" w:eastAsia="仿宋_GB2312"/>
          <w:sz w:val="32"/>
        </w:rPr>
        <w:t>万元，其中：人员经费</w:t>
      </w:r>
      <w:r>
        <w:rPr>
          <w:rFonts w:hint="default" w:ascii="仿宋_GB2312" w:eastAsia="仿宋_GB2312"/>
          <w:sz w:val="32"/>
        </w:rPr>
        <w:t>963.64</w:t>
      </w:r>
      <w:r>
        <w:rPr>
          <w:rFonts w:ascii="仿宋_GB2312" w:eastAsia="仿宋_GB2312"/>
          <w:sz w:val="32"/>
        </w:rPr>
        <w:t>万元，主要包括基本工资、津贴补贴、奖金、其他社会保障缴费、机关事业单位基本养老保险缴费、其他工资福利支出、离休费、退休费、抚恤金、生活补助、奖励金、住房公积金、采暖补贴、其他对个人和家庭补助的支出；日常公用经费</w:t>
      </w:r>
      <w:r>
        <w:rPr>
          <w:rFonts w:hint="default" w:ascii="仿宋_GB2312" w:eastAsia="仿宋_GB2312"/>
          <w:sz w:val="32"/>
        </w:rPr>
        <w:t>100.73</w:t>
      </w:r>
      <w:r>
        <w:rPr>
          <w:rFonts w:ascii="仿宋_GB2312" w:eastAsia="仿宋_GB2312"/>
          <w:sz w:val="32"/>
        </w:rPr>
        <w:t>万元，主要包括办公费、印刷费、手续费、水费、电费、邮电费、取暖费、物业费、差旅费、因公出国（境）费用、维修（护）费、租赁费、会议费、培训费、公务接待费、劳务费、委托业务费、工会经费、福利费、公务用车运行维护费、其他交通费用、其他商品和服务支出、办公设备购置、专用设备购置、信息网络及软件购置更新。</w:t>
      </w:r>
    </w:p>
    <w:p>
      <w:pPr>
        <w:pStyle w:val="6"/>
        <w:spacing w:line="560" w:lineRule="exact"/>
        <w:ind w:firstLine="640"/>
        <w:rPr>
          <w:rFonts w:hint="default" w:ascii="黑体" w:eastAsia="黑体"/>
          <w:sz w:val="32"/>
        </w:rPr>
      </w:pPr>
      <w:r>
        <w:rPr>
          <w:rFonts w:ascii="黑体" w:eastAsia="黑体"/>
          <w:sz w:val="32"/>
        </w:rPr>
        <w:t>五、其他重要事项的情况说明</w:t>
      </w:r>
    </w:p>
    <w:p>
      <w:pPr>
        <w:pStyle w:val="6"/>
        <w:spacing w:line="560" w:lineRule="exact"/>
        <w:ind w:firstLine="640"/>
        <w:rPr>
          <w:rFonts w:hint="default" w:ascii="楷体_GB2312" w:eastAsia="楷体_GB2312"/>
          <w:b/>
          <w:sz w:val="32"/>
        </w:rPr>
      </w:pPr>
      <w:r>
        <w:rPr>
          <w:rFonts w:ascii="楷体_GB2312" w:eastAsia="楷体_GB2312"/>
          <w:b/>
          <w:sz w:val="32"/>
        </w:rPr>
        <w:t>（一）机关运行经费支出情况。</w:t>
      </w:r>
    </w:p>
    <w:p>
      <w:pPr>
        <w:pStyle w:val="6"/>
        <w:spacing w:line="560" w:lineRule="exact"/>
        <w:ind w:firstLine="640"/>
        <w:rPr>
          <w:rFonts w:hint="default" w:ascii="楷体_GB2312" w:eastAsia="楷体_GB2312"/>
          <w:b/>
          <w:sz w:val="32"/>
        </w:rPr>
      </w:pPr>
      <w:r>
        <w:rPr>
          <w:rFonts w:hint="eastAsia" w:ascii="仿宋_GB2312" w:hAnsi="仿宋_GB2312" w:eastAsia="仿宋_GB2312" w:cs="仿宋_GB2312"/>
          <w:b w:val="0"/>
          <w:bCs/>
          <w:sz w:val="32"/>
          <w:szCs w:val="32"/>
        </w:rPr>
        <w:t>2021年机关运行经费支出0万元，与上年持平，主要原因是我单位属于事业单位，无机关运行经费</w:t>
      </w:r>
      <w:r>
        <w:rPr>
          <w:rFonts w:ascii="楷体_GB2312" w:hAnsi="黑体" w:eastAsia="楷体_GB2312"/>
          <w:b/>
          <w:sz w:val="32"/>
          <w:szCs w:val="32"/>
        </w:rPr>
        <w:t>。</w:t>
      </w:r>
    </w:p>
    <w:p>
      <w:pPr>
        <w:pStyle w:val="6"/>
        <w:spacing w:line="560" w:lineRule="exact"/>
        <w:ind w:firstLine="640"/>
        <w:rPr>
          <w:rFonts w:hint="default" w:ascii="楷体_GB2312" w:eastAsia="楷体_GB2312"/>
          <w:b/>
          <w:sz w:val="32"/>
        </w:rPr>
      </w:pPr>
      <w:r>
        <w:rPr>
          <w:rFonts w:ascii="楷体_GB2312" w:eastAsia="楷体_GB2312"/>
          <w:b/>
          <w:sz w:val="32"/>
        </w:rPr>
        <w:t>（二）政府采购支出情况。</w:t>
      </w:r>
    </w:p>
    <w:p>
      <w:pPr>
        <w:spacing w:line="540" w:lineRule="exact"/>
        <w:ind w:firstLine="640" w:firstLineChars="200"/>
        <w:rPr>
          <w:rStyle w:val="10"/>
          <w:rFonts w:ascii="仿宋_GB2312" w:hAnsi="黑体" w:eastAsia="仿宋_GB2312"/>
          <w:sz w:val="32"/>
          <w:szCs w:val="32"/>
        </w:rPr>
      </w:pPr>
      <w:r>
        <w:rPr>
          <w:rStyle w:val="10"/>
          <w:rFonts w:ascii="仿宋_GB2312" w:hAnsi="黑体" w:eastAsia="仿宋_GB2312"/>
          <w:sz w:val="32"/>
          <w:szCs w:val="32"/>
        </w:rPr>
        <w:t>202</w:t>
      </w:r>
      <w:r>
        <w:rPr>
          <w:rStyle w:val="10"/>
          <w:rFonts w:hint="default" w:ascii="仿宋_GB2312" w:hAnsi="黑体" w:eastAsia="仿宋_GB2312"/>
          <w:sz w:val="32"/>
          <w:szCs w:val="32"/>
        </w:rPr>
        <w:t>1</w:t>
      </w:r>
      <w:r>
        <w:rPr>
          <w:rStyle w:val="10"/>
          <w:rFonts w:ascii="仿宋_GB2312" w:hAnsi="黑体" w:eastAsia="仿宋_GB2312"/>
          <w:sz w:val="32"/>
          <w:szCs w:val="32"/>
        </w:rPr>
        <w:t>年政府采购支出总额0万元，其中：政府采购货物支出0万元，政府采购工程支出0万元，政府采购服务支出0万元。</w:t>
      </w:r>
      <w:r>
        <w:rPr>
          <w:rStyle w:val="10"/>
          <w:rFonts w:ascii="仿宋_GB2312" w:eastAsia="仿宋_GB2312"/>
          <w:sz w:val="32"/>
          <w:szCs w:val="32"/>
        </w:rPr>
        <w:t>授予中小企业合同金额0万元，占政府采购支出总额的0%，其中：授予小微企业合同金额0万元，占政府采购支出总额的0%。</w:t>
      </w:r>
    </w:p>
    <w:p>
      <w:pPr>
        <w:pStyle w:val="6"/>
        <w:spacing w:line="560" w:lineRule="exact"/>
        <w:ind w:firstLine="640"/>
        <w:rPr>
          <w:rFonts w:hint="default" w:ascii="楷体_GB2312" w:eastAsia="楷体_GB2312"/>
          <w:b/>
          <w:sz w:val="32"/>
        </w:rPr>
      </w:pPr>
      <w:r>
        <w:rPr>
          <w:rFonts w:ascii="楷体_GB2312" w:eastAsia="楷体_GB2312"/>
          <w:b/>
          <w:sz w:val="32"/>
        </w:rPr>
        <w:t>（三）国有资产占用情况。</w:t>
      </w:r>
    </w:p>
    <w:p>
      <w:pPr>
        <w:spacing w:line="540" w:lineRule="exact"/>
        <w:ind w:firstLine="640" w:firstLineChars="200"/>
        <w:rPr>
          <w:rStyle w:val="10"/>
          <w:rFonts w:ascii="仿宋_GB2312" w:hAnsi="黑体" w:eastAsia="仿宋_GB2312"/>
          <w:sz w:val="32"/>
          <w:szCs w:val="32"/>
        </w:rPr>
      </w:pPr>
      <w:r>
        <w:rPr>
          <w:rStyle w:val="10"/>
          <w:rFonts w:ascii="仿宋_GB2312" w:hAnsi="黑体" w:eastAsia="仿宋_GB2312"/>
          <w:sz w:val="32"/>
          <w:szCs w:val="32"/>
        </w:rPr>
        <w:t>截至202</w:t>
      </w:r>
      <w:r>
        <w:rPr>
          <w:rStyle w:val="10"/>
          <w:rFonts w:hint="default" w:ascii="仿宋_GB2312" w:hAnsi="黑体" w:eastAsia="仿宋_GB2312"/>
          <w:sz w:val="32"/>
          <w:szCs w:val="32"/>
        </w:rPr>
        <w:t>1</w:t>
      </w:r>
      <w:r>
        <w:rPr>
          <w:rStyle w:val="10"/>
          <w:rFonts w:ascii="仿宋_GB2312" w:hAnsi="黑体" w:eastAsia="仿宋_GB2312"/>
          <w:sz w:val="32"/>
          <w:szCs w:val="32"/>
        </w:rPr>
        <w:t>年12月31日，共有车辆1辆，其中：副省级以上领导干部用车0辆，主要领导干部用车0辆，机要通讯用车0辆，应急保障用车0辆，执法执勤用车0辆，特种专业技术用车0辆，离退休干部用车0辆，其他用车1辆，其他用车主要是学校公出人员用车。单位价值50万元以上通用设备0台（套），单价100万元以上专用设备0台（套）。</w:t>
      </w:r>
    </w:p>
    <w:p>
      <w:pPr>
        <w:widowControl/>
        <w:spacing w:line="540" w:lineRule="exact"/>
        <w:ind w:firstLine="643" w:firstLineChars="200"/>
        <w:jc w:val="left"/>
        <w:rPr>
          <w:rFonts w:hint="default"/>
          <w:b/>
          <w:sz w:val="36"/>
        </w:rPr>
      </w:pPr>
      <w:r>
        <w:rPr>
          <w:rFonts w:ascii="楷体_GB2312" w:eastAsia="楷体_GB2312"/>
          <w:b/>
          <w:sz w:val="32"/>
        </w:rPr>
        <w:t>（四）预算绩效管理工作开展情况。</w:t>
      </w:r>
    </w:p>
    <w:p>
      <w:pPr>
        <w:pStyle w:val="6"/>
        <w:spacing w:line="560" w:lineRule="exact"/>
        <w:rPr>
          <w:rFonts w:hint="default"/>
          <w:b/>
          <w:sz w:val="36"/>
        </w:rPr>
      </w:pPr>
      <w:r>
        <w:rPr>
          <w:b/>
          <w:sz w:val="36"/>
        </w:rPr>
        <w:t xml:space="preserve"> </w:t>
      </w:r>
      <w:r>
        <w:rPr>
          <w:rFonts w:hint="default"/>
          <w:b/>
          <w:sz w:val="36"/>
        </w:rPr>
        <w:t xml:space="preserve">   </w:t>
      </w:r>
      <w:r>
        <w:rPr>
          <w:rStyle w:val="10"/>
          <w:rFonts w:ascii="仿宋_GB2312" w:hAnsi="黑体" w:eastAsia="仿宋_GB2312"/>
          <w:sz w:val="32"/>
          <w:szCs w:val="32"/>
        </w:rPr>
        <w:t>2021年我单位不涉及民生项目和重点支出项目。</w:t>
      </w:r>
    </w:p>
    <w:p>
      <w:pPr>
        <w:pStyle w:val="9"/>
        <w:autoSpaceDN w:val="0"/>
        <w:spacing w:line="560" w:lineRule="exact"/>
        <w:ind w:firstLine="2530" w:firstLineChars="700"/>
        <w:rPr>
          <w:rFonts w:hint="eastAsia"/>
          <w:b/>
          <w:bCs/>
          <w:sz w:val="36"/>
          <w:szCs w:val="36"/>
        </w:rPr>
      </w:pPr>
    </w:p>
    <w:p>
      <w:pPr>
        <w:pStyle w:val="9"/>
        <w:autoSpaceDN w:val="0"/>
        <w:spacing w:line="560" w:lineRule="exact"/>
        <w:ind w:firstLine="2530" w:firstLineChars="700"/>
        <w:rPr>
          <w:b/>
          <w:bCs/>
          <w:sz w:val="36"/>
          <w:szCs w:val="36"/>
        </w:rPr>
      </w:pPr>
      <w:r>
        <w:rPr>
          <w:rFonts w:hint="eastAsia"/>
          <w:b/>
          <w:bCs/>
          <w:sz w:val="36"/>
          <w:szCs w:val="36"/>
        </w:rPr>
        <w:t>第三部分 名词解释</w:t>
      </w:r>
    </w:p>
    <w:p>
      <w:pPr>
        <w:pStyle w:val="6"/>
        <w:spacing w:line="560" w:lineRule="exact"/>
        <w:rPr>
          <w:rFonts w:hint="default" w:ascii="仿宋_GB2312" w:eastAsia="仿宋_GB2312"/>
          <w:b/>
          <w:sz w:val="32"/>
        </w:rPr>
      </w:pPr>
      <w:r>
        <w:rPr>
          <w:rFonts w:ascii="仿宋_GB2312" w:eastAsia="仿宋_GB2312"/>
          <w:b/>
          <w:sz w:val="32"/>
        </w:rPr>
        <w:t>1.财政拨款收入：</w:t>
      </w:r>
      <w:r>
        <w:rPr>
          <w:rFonts w:ascii="仿宋_GB2312" w:eastAsia="仿宋_GB2312"/>
          <w:sz w:val="32"/>
        </w:rPr>
        <w:t>指单位从同级财政部门取得的财政预算资金。</w:t>
      </w:r>
    </w:p>
    <w:p>
      <w:pPr>
        <w:pStyle w:val="6"/>
        <w:spacing w:line="560" w:lineRule="exact"/>
        <w:ind w:firstLine="640"/>
        <w:rPr>
          <w:rFonts w:hint="default" w:ascii="仿宋_GB2312" w:eastAsia="仿宋_GB2312"/>
          <w:sz w:val="32"/>
        </w:rPr>
      </w:pPr>
      <w:r>
        <w:rPr>
          <w:rFonts w:ascii="仿宋_GB2312" w:eastAsia="仿宋_GB2312"/>
          <w:b/>
          <w:sz w:val="32"/>
        </w:rPr>
        <w:t>2.上级补助收入：</w:t>
      </w:r>
      <w:r>
        <w:rPr>
          <w:rFonts w:ascii="仿宋_GB2312" w:eastAsia="仿宋_GB2312"/>
          <w:sz w:val="32"/>
        </w:rPr>
        <w:t>指单位从主管部门和上级单位取得的非财政性补助收入。</w:t>
      </w:r>
    </w:p>
    <w:p>
      <w:pPr>
        <w:pStyle w:val="6"/>
        <w:spacing w:line="560" w:lineRule="exact"/>
        <w:ind w:firstLine="640"/>
        <w:rPr>
          <w:rFonts w:hint="default" w:ascii="仿宋_GB2312" w:eastAsia="仿宋_GB2312"/>
          <w:sz w:val="32"/>
        </w:rPr>
      </w:pPr>
      <w:r>
        <w:rPr>
          <w:rFonts w:ascii="仿宋_GB2312" w:eastAsia="仿宋_GB2312"/>
          <w:b/>
          <w:sz w:val="32"/>
        </w:rPr>
        <w:t>3.事业收入：</w:t>
      </w:r>
      <w:r>
        <w:rPr>
          <w:rFonts w:ascii="仿宋_GB2312" w:eastAsia="仿宋_GB2312"/>
          <w:sz w:val="32"/>
        </w:rPr>
        <w:t>指事业单位开展专业业务活动及辅助活动所取得的收入。</w:t>
      </w:r>
    </w:p>
    <w:p>
      <w:pPr>
        <w:pStyle w:val="6"/>
        <w:spacing w:line="560" w:lineRule="exact"/>
        <w:ind w:firstLine="640"/>
        <w:rPr>
          <w:rFonts w:hint="default" w:ascii="仿宋_GB2312" w:eastAsia="仿宋_GB2312"/>
          <w:sz w:val="32"/>
        </w:rPr>
      </w:pPr>
      <w:r>
        <w:rPr>
          <w:rFonts w:ascii="仿宋_GB2312" w:eastAsia="仿宋_GB2312"/>
          <w:b/>
          <w:sz w:val="32"/>
        </w:rPr>
        <w:t>4.经营收入：</w:t>
      </w:r>
      <w:r>
        <w:rPr>
          <w:rFonts w:ascii="仿宋_GB2312" w:eastAsia="仿宋_GB2312"/>
          <w:sz w:val="32"/>
        </w:rPr>
        <w:t>指事业单位在专业业务活动及辅助活动之外开展非独立核算经营活动取得的收入。</w:t>
      </w:r>
    </w:p>
    <w:p>
      <w:pPr>
        <w:pStyle w:val="6"/>
        <w:spacing w:line="560" w:lineRule="exact"/>
        <w:ind w:firstLine="640"/>
        <w:rPr>
          <w:rFonts w:hint="default" w:ascii="仿宋_GB2312" w:eastAsia="仿宋_GB2312"/>
          <w:sz w:val="32"/>
        </w:rPr>
      </w:pPr>
      <w:r>
        <w:rPr>
          <w:rFonts w:ascii="仿宋_GB2312" w:eastAsia="仿宋_GB2312"/>
          <w:b/>
          <w:sz w:val="32"/>
        </w:rPr>
        <w:t>5.附属单位上缴收入：</w:t>
      </w:r>
      <w:r>
        <w:rPr>
          <w:rFonts w:ascii="仿宋_GB2312" w:eastAsia="仿宋_GB2312"/>
          <w:sz w:val="32"/>
        </w:rPr>
        <w:t>指单位附属的独立核算单位按照规定上缴的收入。</w:t>
      </w:r>
    </w:p>
    <w:p>
      <w:pPr>
        <w:pStyle w:val="6"/>
        <w:spacing w:line="560" w:lineRule="exact"/>
        <w:ind w:firstLine="640"/>
        <w:rPr>
          <w:rFonts w:hint="default" w:ascii="仿宋_GB2312" w:eastAsia="仿宋_GB2312"/>
          <w:sz w:val="32"/>
        </w:rPr>
      </w:pPr>
      <w:r>
        <w:rPr>
          <w:rFonts w:ascii="仿宋_GB2312" w:eastAsia="仿宋_GB2312"/>
          <w:b/>
          <w:sz w:val="32"/>
        </w:rPr>
        <w:t>6.其他收入：</w:t>
      </w:r>
      <w:r>
        <w:rPr>
          <w:rFonts w:ascii="仿宋_GB2312" w:eastAsia="仿宋_GB2312"/>
          <w:sz w:val="32"/>
        </w:rPr>
        <w:t>指除上述“财政拨款收入”、</w:t>
      </w:r>
      <w:r>
        <w:rPr>
          <w:rFonts w:ascii="仿宋_GB2312" w:eastAsia="仿宋_GB2312"/>
          <w:b/>
          <w:sz w:val="32"/>
        </w:rPr>
        <w:t xml:space="preserve"> </w:t>
      </w:r>
      <w:r>
        <w:rPr>
          <w:rFonts w:ascii="仿宋_GB2312" w:eastAsia="仿宋_GB2312"/>
          <w:sz w:val="32"/>
        </w:rPr>
        <w:t>“上级补助收入”、“事业收入”、“经营收入”、“附属单位上缴收入”等以外的收入。</w:t>
      </w:r>
    </w:p>
    <w:p>
      <w:pPr>
        <w:pStyle w:val="6"/>
        <w:spacing w:line="560" w:lineRule="exact"/>
        <w:ind w:firstLine="640"/>
        <w:rPr>
          <w:rFonts w:hint="default" w:ascii="仿宋_GB2312" w:eastAsia="仿宋_GB2312"/>
          <w:sz w:val="32"/>
        </w:rPr>
      </w:pPr>
      <w:r>
        <w:rPr>
          <w:rFonts w:ascii="仿宋_GB2312" w:eastAsia="仿宋_GB2312"/>
          <w:b/>
          <w:sz w:val="32"/>
        </w:rPr>
        <w:t>7.使用非财政拨款结余：</w:t>
      </w:r>
      <w:r>
        <w:rPr>
          <w:rFonts w:ascii="仿宋_GB2312" w:eastAsia="仿宋_GB2312"/>
          <w:sz w:val="32"/>
        </w:rPr>
        <w:t>指事业单位按照预算管理要求使用非财政拨款结余弥补收支差额的金额。。</w:t>
      </w:r>
    </w:p>
    <w:p>
      <w:pPr>
        <w:pStyle w:val="6"/>
        <w:spacing w:line="560" w:lineRule="exact"/>
        <w:ind w:firstLine="640"/>
        <w:rPr>
          <w:rFonts w:hint="default" w:ascii="仿宋_GB2312" w:eastAsia="仿宋_GB2312"/>
          <w:sz w:val="32"/>
        </w:rPr>
      </w:pPr>
      <w:r>
        <w:rPr>
          <w:rFonts w:ascii="仿宋_GB2312" w:eastAsia="仿宋_GB2312"/>
          <w:b/>
          <w:sz w:val="32"/>
        </w:rPr>
        <w:t>8.上年结转和结余：</w:t>
      </w:r>
      <w:r>
        <w:rPr>
          <w:rFonts w:ascii="仿宋_GB2312" w:eastAsia="仿宋_GB2312"/>
          <w:sz w:val="32"/>
        </w:rPr>
        <w:t>指以前年度尚未完成、结转到本年按有关规定继续使用的资金。</w:t>
      </w:r>
    </w:p>
    <w:p>
      <w:pPr>
        <w:pStyle w:val="6"/>
        <w:spacing w:line="560" w:lineRule="exact"/>
        <w:ind w:firstLine="640"/>
        <w:rPr>
          <w:rFonts w:hint="default" w:ascii="仿宋_GB2312" w:eastAsia="仿宋_GB2312"/>
          <w:sz w:val="32"/>
        </w:rPr>
      </w:pPr>
      <w:r>
        <w:rPr>
          <w:rFonts w:ascii="仿宋_GB2312" w:eastAsia="仿宋_GB2312"/>
          <w:b/>
          <w:sz w:val="32"/>
        </w:rPr>
        <w:t>9.基本支出：</w:t>
      </w:r>
      <w:r>
        <w:rPr>
          <w:rFonts w:ascii="仿宋_GB2312" w:eastAsia="仿宋_GB2312"/>
          <w:sz w:val="32"/>
        </w:rPr>
        <w:t>指保障机构正常运转、完成日常工作任务而发生的人员支出和公用支出。</w:t>
      </w:r>
    </w:p>
    <w:p>
      <w:pPr>
        <w:pStyle w:val="6"/>
        <w:spacing w:line="560" w:lineRule="exact"/>
        <w:ind w:firstLine="640"/>
        <w:rPr>
          <w:rFonts w:hint="default" w:ascii="仿宋_GB2312" w:eastAsia="仿宋_GB2312"/>
          <w:sz w:val="32"/>
        </w:rPr>
      </w:pPr>
      <w:r>
        <w:rPr>
          <w:rFonts w:ascii="仿宋_GB2312" w:eastAsia="仿宋_GB2312"/>
          <w:b/>
          <w:sz w:val="32"/>
        </w:rPr>
        <w:t>10.项目支出：</w:t>
      </w:r>
      <w:r>
        <w:rPr>
          <w:rFonts w:ascii="仿宋_GB2312" w:eastAsia="仿宋_GB2312"/>
          <w:sz w:val="32"/>
        </w:rPr>
        <w:t>指在基本支出之外为完成特定行政任务和事业发展目标所发生的支出。</w:t>
      </w:r>
    </w:p>
    <w:p>
      <w:pPr>
        <w:pStyle w:val="6"/>
        <w:spacing w:line="560" w:lineRule="exact"/>
        <w:ind w:firstLine="640"/>
        <w:rPr>
          <w:rFonts w:hint="default" w:ascii="仿宋_GB2312" w:eastAsia="仿宋_GB2312"/>
          <w:sz w:val="32"/>
        </w:rPr>
      </w:pPr>
      <w:r>
        <w:rPr>
          <w:rFonts w:ascii="仿宋_GB2312" w:eastAsia="仿宋_GB2312"/>
          <w:b/>
          <w:sz w:val="32"/>
        </w:rPr>
        <w:t>11.上缴上级支出：</w:t>
      </w:r>
      <w:r>
        <w:rPr>
          <w:rFonts w:ascii="仿宋_GB2312" w:eastAsia="仿宋_GB2312"/>
          <w:sz w:val="32"/>
        </w:rPr>
        <w:t>指事业单位按照财政部门和主管部门的规定上缴上级单位的支出。</w:t>
      </w:r>
    </w:p>
    <w:p>
      <w:pPr>
        <w:pStyle w:val="6"/>
        <w:spacing w:line="560" w:lineRule="exact"/>
        <w:ind w:firstLine="640"/>
        <w:rPr>
          <w:rFonts w:hint="default" w:ascii="仿宋_GB2312" w:eastAsia="仿宋_GB2312"/>
          <w:sz w:val="32"/>
        </w:rPr>
      </w:pPr>
      <w:r>
        <w:rPr>
          <w:rFonts w:ascii="仿宋_GB2312" w:eastAsia="仿宋_GB2312"/>
          <w:b/>
          <w:sz w:val="32"/>
        </w:rPr>
        <w:t>12.经营支出：</w:t>
      </w:r>
      <w:r>
        <w:rPr>
          <w:rFonts w:ascii="仿宋_GB2312" w:eastAsia="仿宋_GB2312"/>
          <w:sz w:val="32"/>
        </w:rPr>
        <w:t>指事业单位在专业活动及辅助活动之外开展非独立核算经营活动发生的支出。</w:t>
      </w:r>
    </w:p>
    <w:p>
      <w:pPr>
        <w:pStyle w:val="6"/>
        <w:spacing w:line="560" w:lineRule="exact"/>
        <w:ind w:firstLine="640"/>
        <w:rPr>
          <w:rFonts w:hint="default" w:ascii="仿宋_GB2312" w:eastAsia="仿宋_GB2312"/>
          <w:b/>
          <w:sz w:val="32"/>
        </w:rPr>
      </w:pPr>
      <w:r>
        <w:rPr>
          <w:rFonts w:ascii="仿宋_GB2312" w:eastAsia="仿宋_GB2312"/>
          <w:b/>
          <w:sz w:val="32"/>
        </w:rPr>
        <w:t>13.对附属单位补助支出：</w:t>
      </w:r>
      <w:r>
        <w:rPr>
          <w:rFonts w:ascii="仿宋_GB2312" w:eastAsia="仿宋_GB2312"/>
          <w:sz w:val="32"/>
        </w:rPr>
        <w:t>指事业单位用财政补助收入之外的收入对附属单位补助发生的支出。</w:t>
      </w:r>
    </w:p>
    <w:p>
      <w:pPr>
        <w:pStyle w:val="6"/>
        <w:spacing w:line="560" w:lineRule="exact"/>
        <w:ind w:firstLine="640"/>
        <w:rPr>
          <w:rFonts w:hint="default" w:ascii="仿宋_GB2312" w:eastAsia="仿宋_GB2312"/>
          <w:sz w:val="32"/>
        </w:rPr>
      </w:pPr>
      <w:r>
        <w:rPr>
          <w:rFonts w:ascii="仿宋_GB2312" w:eastAsia="仿宋_GB2312"/>
          <w:b/>
          <w:sz w:val="32"/>
        </w:rPr>
        <w:t>14.“三公”经费：</w:t>
      </w:r>
      <w:r>
        <w:rPr>
          <w:rFonts w:ascii="仿宋_GB2312" w:eastAsia="仿宋_GB2312"/>
          <w:sz w:val="32"/>
        </w:rPr>
        <w:t>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燃料费、维修费、过路过桥费、保险费、安全奖励费用等支出；公务接待费反映单位按规定开支的各类公务接待（含外宾接待）支出。</w:t>
      </w:r>
    </w:p>
    <w:p>
      <w:pPr>
        <w:pStyle w:val="6"/>
        <w:spacing w:line="560" w:lineRule="exact"/>
        <w:ind w:firstLine="640"/>
        <w:rPr>
          <w:rFonts w:hint="default" w:ascii="仿宋_GB2312" w:eastAsia="仿宋_GB2312"/>
          <w:sz w:val="32"/>
          <w:szCs w:val="32"/>
        </w:rPr>
      </w:pPr>
      <w:r>
        <w:rPr>
          <w:rFonts w:ascii="仿宋_GB2312" w:eastAsia="仿宋_GB2312"/>
          <w:b/>
          <w:bCs/>
          <w:sz w:val="32"/>
        </w:rPr>
        <w:t>15.机关运行经费：</w:t>
      </w:r>
      <w:r>
        <w:rPr>
          <w:rFonts w:ascii="仿宋_GB2312" w:eastAsia="仿宋_GB2312"/>
          <w:sz w:val="32"/>
          <w:szCs w:val="32"/>
        </w:rPr>
        <w:t>指为保障行政单位和参照公务员法管理的事业单位运行，使用一般公共预算财政拨款安排的基本支出中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6"/>
        <w:spacing w:line="560" w:lineRule="exact"/>
        <w:ind w:firstLine="640"/>
        <w:rPr>
          <w:rFonts w:ascii="仿宋_GB2312" w:eastAsia="仿宋_GB2312"/>
          <w:b/>
          <w:sz w:val="32"/>
        </w:rPr>
      </w:pPr>
      <w:r>
        <w:rPr>
          <w:rFonts w:ascii="仿宋_GB2312" w:eastAsia="仿宋_GB2312"/>
          <w:b/>
          <w:sz w:val="32"/>
        </w:rPr>
        <w:t>16.一般公共服务（类）财政事务（款）行政运行（项）：</w:t>
      </w:r>
      <w:r>
        <w:rPr>
          <w:rFonts w:ascii="仿宋_GB2312" w:eastAsia="仿宋_GB2312"/>
          <w:sz w:val="32"/>
        </w:rPr>
        <w:t>反映行政单位（包括实行公务员管理的事业单位）的基本支出。</w:t>
      </w: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hint="default" w:ascii="仿宋_GB2312" w:hAnsi="仿宋_GB2312" w:eastAsia="仿宋_GB2312" w:cs="仿宋_GB2312"/>
          <w:b/>
          <w:sz w:val="52"/>
          <w:szCs w:val="52"/>
        </w:rPr>
      </w:pPr>
    </w:p>
    <w:p>
      <w:pPr>
        <w:pStyle w:val="6"/>
        <w:spacing w:line="560" w:lineRule="atLeast"/>
        <w:jc w:val="left"/>
        <w:rPr>
          <w:rFonts w:ascii="仿宋_GB2312" w:hAnsi="仿宋_GB2312" w:eastAsia="仿宋_GB2312" w:cs="仿宋_GB2312"/>
          <w:b/>
          <w:sz w:val="52"/>
          <w:szCs w:val="52"/>
        </w:rPr>
      </w:pPr>
    </w:p>
    <w:p>
      <w:pPr>
        <w:pStyle w:val="6"/>
        <w:spacing w:line="560" w:lineRule="atLeast"/>
        <w:jc w:val="center"/>
        <w:rPr>
          <w:rFonts w:hint="default" w:cs="宋体"/>
          <w:b/>
          <w:color w:val="FF0000"/>
          <w:sz w:val="52"/>
          <w:szCs w:val="52"/>
        </w:rPr>
      </w:pPr>
      <w:r>
        <w:rPr>
          <w:rFonts w:ascii="仿宋_GB2312" w:hAnsi="仿宋_GB2312" w:eastAsia="仿宋_GB2312" w:cs="仿宋_GB2312"/>
          <w:b/>
          <w:sz w:val="52"/>
          <w:szCs w:val="52"/>
        </w:rPr>
        <w:t>第四部分 沈阳市浑南高级中学2021年度决算表</w:t>
      </w:r>
    </w:p>
    <w:p>
      <w:pPr>
        <w:pStyle w:val="6"/>
        <w:spacing w:line="560" w:lineRule="atLeast"/>
        <w:jc w:val="center"/>
        <w:rPr>
          <w:rFonts w:ascii="仿宋_GB2312" w:eastAsia="仿宋_GB2312"/>
          <w:kern w:val="0"/>
          <w:sz w:val="32"/>
        </w:rPr>
      </w:pPr>
    </w:p>
    <w:p>
      <w:pPr>
        <w:rPr>
          <w:rFonts w:hint="default" w:ascii="仿宋_GB2312" w:hAnsi="宋体" w:eastAsia="仿宋_GB2312"/>
          <w:kern w:val="0"/>
          <w:sz w:val="32"/>
        </w:rPr>
      </w:pPr>
      <w:bookmarkStart w:id="0" w:name="_GoBack"/>
      <w:bookmarkEnd w:id="0"/>
    </w:p>
    <w:p>
      <w:pPr>
        <w:rPr>
          <w:rFonts w:hint="default" w:ascii="仿宋_GB2312" w:hAnsi="宋体" w:eastAsia="仿宋_GB2312"/>
          <w:kern w:val="0"/>
          <w:sz w:val="32"/>
        </w:rPr>
      </w:pPr>
    </w:p>
    <w:p>
      <w:pPr>
        <w:rPr>
          <w:rFonts w:hint="default" w:ascii="仿宋_GB2312" w:hAnsi="宋体" w:eastAsia="仿宋_GB2312"/>
          <w:kern w:val="0"/>
          <w:sz w:val="32"/>
        </w:rPr>
      </w:pPr>
    </w:p>
    <w:p>
      <w:pPr>
        <w:rPr>
          <w:rFonts w:hint="default" w:ascii="仿宋_GB2312" w:hAnsi="宋体" w:eastAsia="仿宋_GB2312"/>
          <w:kern w:val="0"/>
          <w:sz w:val="32"/>
        </w:rPr>
      </w:pPr>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hint="default"/>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hint="default"/>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NTI5OTU5YTU2NGY4YzQwYWJiNTY3YmJiNmQ5OTEifQ=="/>
  </w:docVars>
  <w:rsids>
    <w:rsidRoot w:val="1C635C29"/>
    <w:rsid w:val="00031845"/>
    <w:rsid w:val="0004312D"/>
    <w:rsid w:val="00060165"/>
    <w:rsid w:val="000B596F"/>
    <w:rsid w:val="00100607"/>
    <w:rsid w:val="00117952"/>
    <w:rsid w:val="00162851"/>
    <w:rsid w:val="001D0B4A"/>
    <w:rsid w:val="002417AE"/>
    <w:rsid w:val="002C5A44"/>
    <w:rsid w:val="0030432F"/>
    <w:rsid w:val="00307709"/>
    <w:rsid w:val="00317979"/>
    <w:rsid w:val="00320394"/>
    <w:rsid w:val="00342E31"/>
    <w:rsid w:val="0038444A"/>
    <w:rsid w:val="00387684"/>
    <w:rsid w:val="003A7143"/>
    <w:rsid w:val="003B439A"/>
    <w:rsid w:val="00400D78"/>
    <w:rsid w:val="00425FA9"/>
    <w:rsid w:val="0044142C"/>
    <w:rsid w:val="00456651"/>
    <w:rsid w:val="00484F71"/>
    <w:rsid w:val="00485722"/>
    <w:rsid w:val="004F362B"/>
    <w:rsid w:val="00505889"/>
    <w:rsid w:val="0051296F"/>
    <w:rsid w:val="005301A9"/>
    <w:rsid w:val="00564CA2"/>
    <w:rsid w:val="005812D3"/>
    <w:rsid w:val="005814A4"/>
    <w:rsid w:val="00590A8D"/>
    <w:rsid w:val="005C4DCE"/>
    <w:rsid w:val="005F5BDD"/>
    <w:rsid w:val="007527E5"/>
    <w:rsid w:val="00753B9D"/>
    <w:rsid w:val="00756329"/>
    <w:rsid w:val="007F2A75"/>
    <w:rsid w:val="007F77B9"/>
    <w:rsid w:val="008040A1"/>
    <w:rsid w:val="0088094F"/>
    <w:rsid w:val="008D2441"/>
    <w:rsid w:val="008F5BEC"/>
    <w:rsid w:val="008F602B"/>
    <w:rsid w:val="009458BB"/>
    <w:rsid w:val="00954778"/>
    <w:rsid w:val="0096583D"/>
    <w:rsid w:val="009A5440"/>
    <w:rsid w:val="009A6191"/>
    <w:rsid w:val="009B23A6"/>
    <w:rsid w:val="00A17144"/>
    <w:rsid w:val="00A5357A"/>
    <w:rsid w:val="00A57A14"/>
    <w:rsid w:val="00A669DF"/>
    <w:rsid w:val="00A74BA4"/>
    <w:rsid w:val="00B115AC"/>
    <w:rsid w:val="00B54181"/>
    <w:rsid w:val="00B56F3E"/>
    <w:rsid w:val="00BC09C4"/>
    <w:rsid w:val="00BC0C7C"/>
    <w:rsid w:val="00BD2D21"/>
    <w:rsid w:val="00CC2F17"/>
    <w:rsid w:val="00D026EE"/>
    <w:rsid w:val="00DC3915"/>
    <w:rsid w:val="00DD35FB"/>
    <w:rsid w:val="00DF0738"/>
    <w:rsid w:val="00DF5DE2"/>
    <w:rsid w:val="00E4305D"/>
    <w:rsid w:val="00EC289F"/>
    <w:rsid w:val="00F16B2B"/>
    <w:rsid w:val="00F67249"/>
    <w:rsid w:val="00F724E9"/>
    <w:rsid w:val="00FA6C5E"/>
    <w:rsid w:val="00FF01E4"/>
    <w:rsid w:val="09C4782E"/>
    <w:rsid w:val="0ECB7368"/>
    <w:rsid w:val="11612EA5"/>
    <w:rsid w:val="1C635C29"/>
    <w:rsid w:val="2E4F6256"/>
    <w:rsid w:val="36230505"/>
    <w:rsid w:val="54F6469B"/>
    <w:rsid w:val="5B697371"/>
    <w:rsid w:val="63D43115"/>
    <w:rsid w:val="673C6F2C"/>
    <w:rsid w:val="724179B2"/>
    <w:rsid w:val="7D0248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eastAsia" w:ascii="Times New Roman" w:hAnsi="Times New Roman" w:eastAsia="宋体"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p0"/>
    <w:basedOn w:val="1"/>
    <w:qFormat/>
    <w:uiPriority w:val="0"/>
    <w:pPr>
      <w:widowControl/>
    </w:pPr>
    <w:rPr>
      <w:rFonts w:ascii="宋体" w:hAnsi="宋体"/>
    </w:rPr>
  </w:style>
  <w:style w:type="character" w:customStyle="1" w:styleId="7">
    <w:name w:val="页眉 字符"/>
    <w:basedOn w:val="5"/>
    <w:link w:val="3"/>
    <w:qFormat/>
    <w:uiPriority w:val="0"/>
    <w:rPr>
      <w:rFonts w:ascii="Times New Roman" w:hAnsi="Times New Roman" w:eastAsia="宋体"/>
      <w:kern w:val="2"/>
      <w:sz w:val="18"/>
      <w:szCs w:val="18"/>
    </w:rPr>
  </w:style>
  <w:style w:type="character" w:customStyle="1" w:styleId="8">
    <w:name w:val="页脚 字符"/>
    <w:basedOn w:val="5"/>
    <w:link w:val="2"/>
    <w:qFormat/>
    <w:uiPriority w:val="0"/>
    <w:rPr>
      <w:rFonts w:ascii="Times New Roman" w:hAnsi="Times New Roman" w:eastAsia="宋体"/>
      <w:kern w:val="2"/>
      <w:sz w:val="18"/>
      <w:szCs w:val="18"/>
    </w:rPr>
  </w:style>
  <w:style w:type="paragraph" w:customStyle="1" w:styleId="9">
    <w:name w:val="p15"/>
    <w:basedOn w:val="1"/>
    <w:qFormat/>
    <w:uiPriority w:val="0"/>
    <w:pPr>
      <w:widowControl/>
    </w:pPr>
    <w:rPr>
      <w:rFonts w:hint="default" w:ascii="宋体" w:hAnsi="宋体" w:cs="宋体"/>
      <w:kern w:val="0"/>
      <w:szCs w:val="21"/>
    </w:rPr>
  </w:style>
  <w:style w:type="character" w:customStyle="1" w:styleId="10">
    <w:name w:val="NormalCharacter"/>
    <w:semiHidden/>
    <w:qFormat/>
    <w:uiPriority w:val="0"/>
  </w:style>
  <w:style w:type="paragraph" w:customStyle="1" w:styleId="11">
    <w:name w:val="UserStyle_3"/>
    <w:basedOn w:val="1"/>
    <w:qFormat/>
    <w:uiPriority w:val="0"/>
    <w:pPr>
      <w:widowControl/>
      <w:textAlignment w:val="baseline"/>
    </w:pPr>
    <w:rPr>
      <w:rFonts w:hint="default" w:ascii="宋体" w:hAnsi="宋体"/>
      <w:kern w:val="0"/>
      <w:szCs w:val="21"/>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A6D8A6"/>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4861</Words>
  <Characters>5325</Characters>
  <Lines>38</Lines>
  <Paragraphs>10</Paragraphs>
  <TotalTime>1</TotalTime>
  <ScaleCrop>false</ScaleCrop>
  <LinksUpToDate>false</LinksUpToDate>
  <CharactersWithSpaces>5354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2023-05-15T08:12:00Z</dcterms:created>
  <dc:creator>国库处-王艳秋</dc:creator>
  <cp:lastModifiedBy>Administrator</cp:lastModifiedBy>
  <cp:lastPrinted>2022-09-19T10:34:00Z</cp:lastPrinted>
  <dcterms:modified xsi:type="dcterms:W3CDTF">2023-06-26T02:32:44Z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9C872CB057B74C43AB101636CEB4559F_13</vt:lpwstr>
  </property>
</Properties>
</file>