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沈阳市浑南区第二初级中学</w:t>
      </w: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沈阳市浑南区第二初级中学概况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沈阳市浑南区第二初级中学2021年决算情况说明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沈阳市浑南区第二初级中学2021年决算报表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沈阳市浑南区第二初级中学概况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ascii="仿宋_GB2312" w:eastAsia="仿宋_GB2312"/>
          <w:sz w:val="32"/>
        </w:rPr>
        <w:t>（一）贯彻执行国家财税方针、政策和有关法律、法规、规章及省有关要求，拟订市财税规划、政策和改革方案并组织实施。分析预测经济形势，提出运用财税政策实施宏观调控和综合平衡社会财力的建议。拟订和执行市与区、县（市）、开发区及企业的分配政策，完善鼓励公益事业发展的财税政策。</w:t>
      </w:r>
    </w:p>
    <w:p>
      <w:pPr>
        <w:pStyle w:val="6"/>
        <w:spacing w:line="560" w:lineRule="exact"/>
        <w:ind w:firstLine="640"/>
        <w:rPr>
          <w:rFonts w:hint="default" w:ascii="仿宋_GB2312" w:eastAsia="仿宋_GB2312"/>
          <w:sz w:val="32"/>
        </w:rPr>
      </w:pPr>
      <w:r>
        <w:rPr>
          <w:rFonts w:ascii="仿宋_GB2312" w:eastAsia="仿宋_GB2312"/>
          <w:sz w:val="32"/>
        </w:rPr>
        <w:t>（二）起草本市财政、财务、会计管理的地方性法规和市政府规章草案，研究我市经济社会中的财税重大问题，围绕市委、市政府中心工作提出改进和完善政府管理、提高财政资金使用效益的建议。组织教育教学、科学研究活动，保证教育教学质量。维护教职工利益，保障教职工合法权益，以教职工和学生的人生幸福和生命质量作为重点。</w:t>
      </w:r>
    </w:p>
    <w:p>
      <w:pPr>
        <w:pStyle w:val="6"/>
        <w:spacing w:line="560" w:lineRule="exact"/>
        <w:ind w:firstLine="640"/>
        <w:rPr>
          <w:rFonts w:hint="default" w:ascii="仿宋_GB2312" w:eastAsia="仿宋_GB2312"/>
          <w:sz w:val="32"/>
        </w:rPr>
      </w:pPr>
      <w:r>
        <w:rPr>
          <w:rFonts w:ascii="仿宋_GB2312" w:eastAsia="仿宋_GB2312"/>
          <w:sz w:val="32"/>
        </w:rPr>
        <w:t>（三）制定学校发展规划，并抓好组织实施和落实情况。</w:t>
      </w:r>
    </w:p>
    <w:p>
      <w:pPr>
        <w:pStyle w:val="6"/>
        <w:spacing w:line="560" w:lineRule="exact"/>
        <w:ind w:firstLine="640"/>
        <w:rPr>
          <w:rFonts w:hint="default" w:ascii="仿宋_GB2312" w:eastAsia="仿宋_GB2312"/>
          <w:sz w:val="32"/>
        </w:rPr>
      </w:pPr>
      <w:r>
        <w:rPr>
          <w:rFonts w:ascii="仿宋_GB2312" w:eastAsia="仿宋_GB2312"/>
          <w:sz w:val="32"/>
        </w:rPr>
        <w:t>（四）科学管理、合理使用学校的设施和经费，并积极筹措办学资金，改善办学条件。</w:t>
      </w:r>
    </w:p>
    <w:p>
      <w:pPr>
        <w:pStyle w:val="6"/>
        <w:spacing w:line="560" w:lineRule="exact"/>
        <w:ind w:firstLine="640"/>
        <w:rPr>
          <w:rFonts w:hint="default" w:ascii="仿宋_GB2312" w:eastAsia="仿宋_GB2312"/>
          <w:sz w:val="32"/>
        </w:rPr>
      </w:pPr>
      <w:r>
        <w:rPr>
          <w:rFonts w:ascii="仿宋_GB2312" w:eastAsia="仿宋_GB2312"/>
          <w:sz w:val="32"/>
        </w:rPr>
        <w:t>（五）依法接受各级教育行政部门的检查指导和人民群众的监督。</w:t>
      </w:r>
    </w:p>
    <w:p>
      <w:pPr>
        <w:pStyle w:val="6"/>
        <w:spacing w:line="560" w:lineRule="exact"/>
        <w:ind w:firstLine="640"/>
        <w:rPr>
          <w:rFonts w:hint="default" w:ascii="仿宋_GB2312" w:eastAsia="仿宋_GB2312"/>
          <w:sz w:val="32"/>
        </w:rPr>
      </w:pPr>
      <w:r>
        <w:rPr>
          <w:rFonts w:ascii="仿宋_GB2312" w:eastAsia="仿宋_GB2312"/>
          <w:sz w:val="32"/>
        </w:rPr>
        <w:t>（六）财务管理方面：</w:t>
      </w:r>
    </w:p>
    <w:p>
      <w:pPr>
        <w:pStyle w:val="6"/>
        <w:spacing w:line="560" w:lineRule="exact"/>
        <w:ind w:firstLine="640"/>
        <w:rPr>
          <w:rFonts w:hint="default" w:ascii="仿宋_GB2312" w:eastAsia="仿宋_GB2312"/>
          <w:sz w:val="32"/>
        </w:rPr>
      </w:pPr>
      <w:r>
        <w:rPr>
          <w:rFonts w:ascii="仿宋_GB2312" w:eastAsia="仿宋_GB2312"/>
          <w:sz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pStyle w:val="6"/>
        <w:spacing w:line="560" w:lineRule="exact"/>
        <w:ind w:firstLine="640"/>
        <w:rPr>
          <w:rFonts w:hint="default" w:ascii="仿宋_GB2312" w:eastAsia="仿宋_GB2312"/>
          <w:sz w:val="32"/>
        </w:rPr>
      </w:pPr>
      <w:r>
        <w:rPr>
          <w:rFonts w:ascii="仿宋_GB2312" w:eastAsia="仿宋_GB2312"/>
          <w:sz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ascii="仿宋_GB2312" w:eastAsia="仿宋_GB2312"/>
          <w:sz w:val="32"/>
        </w:rPr>
      </w:pPr>
      <w:r>
        <w:rPr>
          <w:rFonts w:ascii="仿宋_GB2312" w:hAnsi="仿宋_GB2312" w:eastAsia="仿宋_GB2312" w:cs="仿宋_GB2312"/>
          <w:b w:val="0"/>
          <w:bCs/>
          <w:sz w:val="32"/>
          <w:szCs w:val="32"/>
        </w:rPr>
        <w:t>沈阳市浑南区第二初级中学是纳入浑南区教育局2021年决算编制范围的二级预算单位,本单位无下设机构</w:t>
      </w:r>
      <w:r>
        <w:rPr>
          <w:rFonts w:ascii="仿宋_GB2312" w:hAnsi="仿宋_GB2312" w:eastAsia="仿宋_GB2312" w:cs="仿宋_GB2312"/>
          <w:b/>
          <w:sz w:val="32"/>
          <w:szCs w:val="32"/>
        </w:rPr>
        <w:t>。</w:t>
      </w:r>
    </w:p>
    <w:p>
      <w:pPr>
        <w:pStyle w:val="6"/>
        <w:spacing w:line="560" w:lineRule="exact"/>
        <w:rPr>
          <w:rFonts w:hint="default"/>
          <w:b/>
          <w:sz w:val="36"/>
        </w:rPr>
      </w:pPr>
    </w:p>
    <w:p>
      <w:pPr>
        <w:pStyle w:val="6"/>
        <w:spacing w:line="560" w:lineRule="exact"/>
        <w:jc w:val="center"/>
        <w:rPr>
          <w:rFonts w:hint="default"/>
          <w:b/>
          <w:sz w:val="36"/>
        </w:rPr>
      </w:pPr>
      <w:r>
        <w:rPr>
          <w:b/>
          <w:sz w:val="36"/>
        </w:rPr>
        <w:t>第二部分 沈阳市浑南区第二初级中学2021年决算情况说明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（一）收入总计2136.11万元，包括：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1.财政拨款收入1775.2万元，占收入总计的83.10%。其中：一般公共预算财政拨款收入1775.2万元，政府性基金收入0万元，国有资本经营预算财政拨款收入0万元。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.其他收入116.7万元，占收入总计的5.46%。主要是教育局拨2020年绩效工资收入。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.上年结转和结余244.21万元，占收入总计的11.44%。</w:t>
      </w:r>
      <w:r>
        <w:rPr>
          <w:rFonts w:ascii="仿宋_GB2312" w:eastAsia="仿宋_GB2312"/>
          <w:sz w:val="32"/>
          <w:szCs w:val="32"/>
        </w:rPr>
        <w:t>主要是冬季取暖电费、</w:t>
      </w:r>
      <w:r>
        <w:rPr>
          <w:rFonts w:ascii="仿宋_GB2312" w:eastAsia="仿宋_GB2312"/>
          <w:sz w:val="32"/>
        </w:rPr>
        <w:t>市级转移支付专项资金和</w:t>
      </w:r>
      <w:r>
        <w:rPr>
          <w:rFonts w:ascii="仿宋_GB2312" w:eastAsia="仿宋_GB2312"/>
          <w:sz w:val="32"/>
          <w:szCs w:val="32"/>
        </w:rPr>
        <w:t>弹性离校经费等。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与上年相比，今年收入增加355.51万元，增长19.97%，主要原因：</w:t>
      </w:r>
      <w:r>
        <w:rPr>
          <w:rFonts w:ascii="黑体" w:eastAsia="黑体"/>
          <w:sz w:val="32"/>
        </w:rPr>
        <w:t>一是</w:t>
      </w:r>
      <w:r>
        <w:rPr>
          <w:rFonts w:ascii="仿宋_GB2312" w:eastAsia="仿宋_GB2312"/>
          <w:sz w:val="32"/>
          <w:szCs w:val="32"/>
        </w:rPr>
        <w:t>教师人数增加</w:t>
      </w:r>
      <w:r>
        <w:rPr>
          <w:rFonts w:ascii="仿宋_GB2312" w:eastAsia="仿宋_GB2312"/>
          <w:sz w:val="32"/>
        </w:rPr>
        <w:t>，人员经费增加；</w:t>
      </w:r>
      <w:r>
        <w:rPr>
          <w:rFonts w:ascii="黑体" w:eastAsia="黑体"/>
          <w:sz w:val="32"/>
        </w:rPr>
        <w:t>二是</w:t>
      </w:r>
      <w:r>
        <w:rPr>
          <w:rFonts w:ascii="仿宋_GB2312" w:eastAsia="仿宋_GB2312"/>
          <w:sz w:val="32"/>
        </w:rPr>
        <w:t>学生人数增加，</w:t>
      </w:r>
      <w:r>
        <w:rPr>
          <w:rFonts w:ascii="仿宋_GB2312" w:eastAsia="仿宋_GB2312"/>
          <w:sz w:val="32"/>
          <w:szCs w:val="32"/>
        </w:rPr>
        <w:t>公用经费增加</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（二）支出总计2135.38万元，包括：</w:t>
      </w:r>
    </w:p>
    <w:p>
      <w:pPr>
        <w:pStyle w:val="6"/>
        <w:spacing w:line="560" w:lineRule="exact"/>
        <w:ind w:firstLine="660"/>
        <w:rPr>
          <w:rFonts w:hint="default" w:ascii="仿宋_GB2312" w:eastAsia="仿宋_GB2312"/>
          <w:sz w:val="32"/>
        </w:rPr>
      </w:pPr>
      <w:r>
        <w:rPr>
          <w:rFonts w:ascii="仿宋_GB2312" w:eastAsia="仿宋_GB2312"/>
          <w:sz w:val="32"/>
        </w:rPr>
        <w:t>1.基本支出1542.93万元，占支出总计的72.26%。主要是为保障机构正常运转、完成日常工作任务而发生的各项支出，其中：工资福利支出1275.84万元，对个人和家庭的补助支出8.7万元，商品和服务支出244.58万元，</w:t>
      </w:r>
      <w:r>
        <w:rPr>
          <w:rFonts w:ascii="仿宋_GB2312" w:eastAsia="仿宋_GB2312"/>
          <w:sz w:val="32"/>
          <w:szCs w:val="32"/>
        </w:rPr>
        <w:t>资本性支出13.81万元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2.项目支出592.45万元，占支出总计的27.74%。</w:t>
      </w:r>
      <w:r>
        <w:rPr>
          <w:rFonts w:ascii="仿宋_GB2312" w:eastAsia="仿宋_GB2312"/>
          <w:sz w:val="32"/>
          <w:szCs w:val="32"/>
        </w:rPr>
        <w:t>主要包括商品和服务支出等业务支出</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与上年相比，今年支出增加359.92万元，增长20.27%，主要原因：</w:t>
      </w:r>
      <w:r>
        <w:rPr>
          <w:rFonts w:ascii="黑体" w:eastAsia="黑体"/>
          <w:sz w:val="32"/>
        </w:rPr>
        <w:t>一是</w:t>
      </w:r>
      <w:r>
        <w:rPr>
          <w:rFonts w:ascii="仿宋_GB2312" w:eastAsia="仿宋_GB2312"/>
          <w:sz w:val="32"/>
        </w:rPr>
        <w:t>人员增加，人员经费支出增加；</w:t>
      </w:r>
      <w:r>
        <w:rPr>
          <w:rFonts w:ascii="黑体" w:eastAsia="黑体"/>
          <w:sz w:val="32"/>
        </w:rPr>
        <w:t>二是</w:t>
      </w:r>
      <w:r>
        <w:rPr>
          <w:rFonts w:ascii="仿宋_GB2312" w:eastAsia="仿宋_GB2312"/>
          <w:sz w:val="32"/>
        </w:rPr>
        <w:t>学生人数增加，</w:t>
      </w:r>
      <w:r>
        <w:rPr>
          <w:rFonts w:ascii="仿宋_GB2312" w:eastAsia="仿宋_GB2312"/>
          <w:sz w:val="32"/>
          <w:szCs w:val="32"/>
        </w:rPr>
        <w:t>公用经费</w:t>
      </w:r>
      <w:r>
        <w:rPr>
          <w:rFonts w:ascii="仿宋_GB2312" w:eastAsia="仿宋_GB2312"/>
          <w:sz w:val="32"/>
        </w:rPr>
        <w:t>支出增加；</w:t>
      </w:r>
      <w:r>
        <w:rPr>
          <w:rFonts w:ascii="仿宋_GB2312" w:eastAsia="仿宋_GB2312"/>
          <w:b/>
          <w:bCs/>
          <w:sz w:val="32"/>
        </w:rPr>
        <w:t>三是</w:t>
      </w:r>
      <w:r>
        <w:rPr>
          <w:rFonts w:ascii="仿宋_GB2312" w:eastAsia="仿宋_GB2312"/>
          <w:sz w:val="32"/>
        </w:rPr>
        <w:t>本年安装大型监考设备。</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（三）年末结转和结余0.73万元</w:t>
      </w:r>
    </w:p>
    <w:p>
      <w:pPr>
        <w:pStyle w:val="6"/>
        <w:spacing w:line="560" w:lineRule="exact"/>
        <w:ind w:firstLine="660"/>
        <w:rPr>
          <w:rFonts w:hint="default" w:ascii="仿宋_GB2312" w:eastAsia="仿宋_GB2312"/>
          <w:sz w:val="32"/>
        </w:rPr>
      </w:pPr>
      <w:r>
        <w:rPr>
          <w:rFonts w:ascii="仿宋_GB2312" w:eastAsia="仿宋_GB2312"/>
          <w:sz w:val="32"/>
        </w:rPr>
        <w:t>主要是</w:t>
      </w:r>
      <w:r>
        <w:rPr>
          <w:rFonts w:ascii="仿宋_GB2312" w:eastAsia="仿宋_GB2312"/>
          <w:sz w:val="32"/>
          <w:szCs w:val="32"/>
        </w:rPr>
        <w:t>结构性缺编教师经费结余等原因形成的结余</w:t>
      </w:r>
      <w:r>
        <w:rPr>
          <w:rFonts w:ascii="仿宋_GB2312" w:eastAsia="仿宋_GB2312"/>
          <w:sz w:val="32"/>
        </w:rPr>
        <w:t>。与上年相比，今年结转结余减少4.41万元，减少85.80%，主要原因：</w:t>
      </w:r>
      <w:r>
        <w:rPr>
          <w:rFonts w:ascii="仿宋_GB2312" w:eastAsia="仿宋_GB2312"/>
          <w:sz w:val="32"/>
          <w:szCs w:val="32"/>
        </w:rPr>
        <w:t>结构性缺编教师经费结余减少</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2021年度财政拨款支出2018.68万元，其中：基本支出1542.93万元，项目支出475.75万元。与上年相比，财政拨款支出增加244.45万元，增长13.78%，主要原因：</w:t>
      </w:r>
      <w:r>
        <w:rPr>
          <w:rFonts w:ascii="仿宋_GB2312" w:eastAsia="仿宋_GB2312" w:cs="Times New Roman"/>
          <w:sz w:val="32"/>
          <w:szCs w:val="32"/>
        </w:rPr>
        <w:t>人员经费和公用经费增加</w:t>
      </w:r>
      <w:r>
        <w:rPr>
          <w:rFonts w:ascii="仿宋_GB2312" w:eastAsia="仿宋_GB2312"/>
          <w:sz w:val="32"/>
        </w:rPr>
        <w:t>。与年初预算相比，2021年度财政拨款支出完成年初预算的157.02%，其中：基本支出完成年初预算的120.02%，</w:t>
      </w:r>
      <w:r>
        <w:rPr>
          <w:rFonts w:ascii="仿宋_GB2312" w:eastAsia="仿宋_GB2312"/>
          <w:sz w:val="32"/>
          <w:szCs w:val="32"/>
        </w:rPr>
        <w:t>学校没有单独安排项目支出年初预算，由教育局统一安排</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2021年度一般公共预算财政拨款支出2018.68万元，按支出功能分类科目分，包括：教育支出1838.44万元，占91.07%；社会保障和就业支出114.41万元，占5.67%；卫生健康支出65.83万元，占3.26%。</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1.教育支出1838.44万元，具体包括：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ascii="仿宋_GB2312" w:eastAsia="仿宋_GB2312"/>
          <w:sz w:val="32"/>
          <w:szCs w:val="32"/>
        </w:rPr>
        <w:t>初中教育支出1544.23万元，主要是工资福利支出1092.11万元、商品服务支出419.70万元、对个人和家庭补助支出8.62万元、</w:t>
      </w:r>
      <w:r>
        <w:rPr>
          <w:rStyle w:val="10"/>
          <w:rFonts w:ascii="仿宋_GB2312" w:eastAsia="仿宋_GB2312"/>
          <w:sz w:val="32"/>
          <w:szCs w:val="32"/>
        </w:rPr>
        <w:t>办公设备购置等其它资本性支出</w:t>
      </w:r>
      <w:r>
        <w:rPr>
          <w:rFonts w:ascii="仿宋_GB2312" w:eastAsia="仿宋_GB2312"/>
          <w:sz w:val="32"/>
          <w:szCs w:val="32"/>
        </w:rPr>
        <w:t>23.80万元等支出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40" w:lineRule="exact"/>
        <w:ind w:firstLine="660"/>
        <w:rPr>
          <w:rFonts w:hint="default" w:ascii="仿宋_GB2312" w:eastAsia="仿宋_GB2312"/>
          <w:sz w:val="32"/>
          <w:szCs w:val="32"/>
        </w:rPr>
      </w:pPr>
      <w:r>
        <w:rPr>
          <w:rFonts w:ascii="仿宋_GB2312" w:hAnsi="宋体" w:eastAsia="仿宋_GB2312"/>
          <w:sz w:val="32"/>
          <w:szCs w:val="32"/>
        </w:rPr>
        <w:t>（2）其他普通教育支出17.94万元，主要</w:t>
      </w:r>
      <w:r>
        <w:rPr>
          <w:rFonts w:ascii="仿宋_GB2312" w:eastAsia="仿宋_GB2312"/>
          <w:sz w:val="32"/>
          <w:szCs w:val="32"/>
        </w:rPr>
        <w:t>资福利支出4.41万元、商品服务支出6.80万元、</w:t>
      </w:r>
      <w:r>
        <w:rPr>
          <w:rStyle w:val="10"/>
          <w:rFonts w:ascii="仿宋_GB2312" w:eastAsia="仿宋_GB2312"/>
          <w:sz w:val="32"/>
          <w:szCs w:val="32"/>
        </w:rPr>
        <w:t>办公设备购置等其它资本性支出</w:t>
      </w:r>
      <w:r>
        <w:rPr>
          <w:rFonts w:ascii="仿宋_GB2312" w:eastAsia="仿宋_GB2312"/>
          <w:sz w:val="32"/>
          <w:szCs w:val="32"/>
        </w:rPr>
        <w:t>6.73万元等支出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40" w:lineRule="exact"/>
        <w:ind w:firstLine="660"/>
        <w:rPr>
          <w:rFonts w:hint="default" w:ascii="仿宋_GB2312" w:eastAsia="仿宋_GB2312"/>
          <w:sz w:val="32"/>
          <w:szCs w:val="32"/>
        </w:rPr>
      </w:pPr>
      <w:r>
        <w:rPr>
          <w:rFonts w:ascii="仿宋_GB2312" w:eastAsia="仿宋_GB2312"/>
          <w:sz w:val="32"/>
          <w:szCs w:val="32"/>
        </w:rPr>
        <w:t>（3）其他教育费附加安排的支出276.27万元，主要是商品服务支出117.06万元、对个人和家庭的补助0.51万元</w:t>
      </w:r>
      <w:r>
        <w:rPr>
          <w:rStyle w:val="10"/>
          <w:rFonts w:ascii="仿宋_GB2312" w:eastAsia="仿宋_GB2312"/>
          <w:sz w:val="32"/>
          <w:szCs w:val="32"/>
        </w:rPr>
        <w:t>办公设备购置等其它资本性支出</w:t>
      </w:r>
      <w:r>
        <w:rPr>
          <w:rFonts w:ascii="仿宋_GB2312" w:eastAsia="仿宋_GB2312"/>
          <w:sz w:val="32"/>
          <w:szCs w:val="32"/>
        </w:rPr>
        <w:t>158.70万元等支出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Style w:val="10"/>
          <w:rFonts w:hint="default" w:ascii="仿宋_GB2312" w:eastAsia="仿宋_GB2312" w:cs="Times New Roman"/>
          <w:bCs/>
          <w:sz w:val="32"/>
          <w:szCs w:val="32"/>
        </w:rPr>
      </w:pPr>
      <w:r>
        <w:rPr>
          <w:rFonts w:ascii="仿宋_GB2312" w:eastAsia="仿宋_GB2312"/>
          <w:sz w:val="32"/>
          <w:szCs w:val="32"/>
        </w:rPr>
        <w:t>2.社会保障与就业支出114.41万元，主要是</w:t>
      </w:r>
      <w:r>
        <w:rPr>
          <w:rStyle w:val="10"/>
          <w:rFonts w:ascii="仿宋_GB2312" w:eastAsia="仿宋_GB2312" w:cs="Times New Roman"/>
          <w:bCs/>
          <w:sz w:val="32"/>
          <w:szCs w:val="32"/>
        </w:rPr>
        <w:t>行政事业单位养老支出</w:t>
      </w:r>
      <w:r>
        <w:rPr>
          <w:rFonts w:ascii="仿宋_GB2312" w:eastAsia="仿宋_GB2312"/>
          <w:sz w:val="32"/>
          <w:szCs w:val="32"/>
        </w:rPr>
        <w:t>114.41万元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cs="Times New Roman"/>
          <w:bCs/>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3、卫生健康支出65.83万元，主要是</w:t>
      </w:r>
      <w:r>
        <w:rPr>
          <w:rStyle w:val="10"/>
          <w:rFonts w:ascii="仿宋_GB2312" w:eastAsia="仿宋_GB2312" w:cs="Times New Roman"/>
          <w:bCs/>
          <w:sz w:val="32"/>
          <w:szCs w:val="32"/>
        </w:rPr>
        <w:t>事业单位医疗支出60.75万元和其他行政事业单位医疗支出5.08万元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cs="Times New Roman"/>
          <w:bCs/>
          <w:sz w:val="32"/>
          <w:szCs w:val="32"/>
        </w:rPr>
        <w:t>。</w:t>
      </w:r>
    </w:p>
    <w:p>
      <w:pPr>
        <w:numPr>
          <w:ilvl w:val="0"/>
          <w:numId w:val="1"/>
        </w:numPr>
        <w:spacing w:line="540" w:lineRule="exact"/>
        <w:ind w:firstLine="660"/>
        <w:outlineLvl w:val="2"/>
        <w:rPr>
          <w:rFonts w:hint="default" w:ascii="黑体" w:hAnsi="黑体" w:eastAsia="黑体" w:cs="黑体"/>
          <w:b/>
          <w:color w:val="FF0000"/>
          <w:sz w:val="32"/>
          <w:szCs w:val="32"/>
        </w:rPr>
      </w:pPr>
      <w:r>
        <w:rPr>
          <w:rFonts w:ascii="楷体_GB2312" w:hAnsi="宋体" w:eastAsia="楷体_GB2312"/>
          <w:b/>
          <w:sz w:val="32"/>
          <w:szCs w:val="32"/>
        </w:rPr>
        <w:t>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2021年度政府性基金预算财政拨款支出0万元，占0%，主要是本年无此业务发生。</w:t>
      </w:r>
    </w:p>
    <w:p>
      <w:pPr>
        <w:numPr>
          <w:ilvl w:val="0"/>
          <w:numId w:val="1"/>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left="660" w:firstLine="640" w:firstLineChars="200"/>
        <w:rPr>
          <w:rFonts w:hint="default" w:ascii="仿宋_GB2312" w:hAnsi="宋体" w:eastAsia="仿宋_GB2312"/>
          <w:sz w:val="32"/>
          <w:szCs w:val="32"/>
        </w:rPr>
      </w:pPr>
      <w:r>
        <w:rPr>
          <w:rFonts w:ascii="仿宋_GB2312" w:hAnsi="宋体" w:eastAsia="仿宋_GB2312"/>
          <w:sz w:val="32"/>
          <w:szCs w:val="32"/>
        </w:rPr>
        <w:t>2021年度国有资本经营预算财政拨款支出0万元，占0%，主要是本年无此业务发生。</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2021年度一般公共预算财政拨款安排的“三公”经费支出1.35万元，</w:t>
      </w:r>
      <w:r>
        <w:rPr>
          <w:rFonts w:ascii="仿宋_GB2312" w:eastAsia="仿宋_GB2312"/>
          <w:sz w:val="32"/>
        </w:rPr>
        <w:t>我单位没有安排</w:t>
      </w:r>
      <w:r>
        <w:rPr>
          <w:rFonts w:ascii="仿宋_GB2312" w:eastAsia="仿宋_GB2312"/>
          <w:sz w:val="32"/>
          <w:szCs w:val="32"/>
        </w:rPr>
        <w:t>“三公”</w:t>
      </w:r>
      <w:r>
        <w:rPr>
          <w:rFonts w:ascii="仿宋_GB2312" w:eastAsia="仿宋_GB2312"/>
          <w:sz w:val="32"/>
        </w:rPr>
        <w:t>经费年初预算，决算数大于年初预算数的主要原因是</w:t>
      </w:r>
      <w:r>
        <w:rPr>
          <w:rFonts w:ascii="仿宋_GB2312" w:hAnsi="宋体" w:eastAsia="仿宋_GB2312"/>
          <w:sz w:val="32"/>
          <w:szCs w:val="32"/>
        </w:rPr>
        <w:t>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其中：因公出国（境）费0万元，公务接待费0万元，公务用车购置及运行维护费1.35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ind w:firstLine="645"/>
        <w:rPr>
          <w:rFonts w:hint="default" w:ascii="仿宋_GB2312" w:eastAsia="仿宋_GB2312"/>
          <w:sz w:val="32"/>
        </w:rPr>
      </w:pPr>
      <w:r>
        <w:rPr>
          <w:rFonts w:ascii="仿宋_GB2312" w:eastAsia="仿宋_GB2312"/>
          <w:sz w:val="32"/>
        </w:rPr>
        <w:t>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1.35万元，占“三公”经费支出的100%。我单位没有安排“三公”经费年初预算，决算数大于年初预算数的原因主要是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r>
        <w:rPr>
          <w:rFonts w:ascii="仿宋_GB2312" w:hAnsi="Times New Roman" w:eastAsia="仿宋_GB2312" w:cs="Times New Roman"/>
          <w:kern w:val="0"/>
          <w:sz w:val="32"/>
          <w:szCs w:val="32"/>
        </w:rPr>
        <w:t>。比上年增加1.35万元，主要是上年没有发生车辆加油费、维修费用等。</w:t>
      </w:r>
    </w:p>
    <w:p>
      <w:pPr>
        <w:pStyle w:val="6"/>
        <w:autoSpaceDN w:val="0"/>
        <w:spacing w:line="560" w:lineRule="exact"/>
        <w:ind w:firstLine="645"/>
        <w:rPr>
          <w:rFonts w:hint="default" w:ascii="仿宋_GB2312" w:eastAsia="仿宋_GB2312"/>
          <w:sz w:val="32"/>
        </w:rPr>
      </w:pPr>
      <w:r>
        <w:rPr>
          <w:rFonts w:ascii="仿宋_GB2312" w:eastAsia="仿宋_GB2312"/>
          <w:sz w:val="32"/>
        </w:rPr>
        <w:t>其中：</w:t>
      </w:r>
      <w:r>
        <w:rPr>
          <w:rFonts w:ascii="仿宋_GB2312" w:eastAsia="仿宋_GB2312"/>
          <w:sz w:val="32"/>
          <w:szCs w:val="32"/>
        </w:rPr>
        <w:t>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szCs w:val="32"/>
        </w:rPr>
      </w:pPr>
      <w:r>
        <w:rPr>
          <w:rFonts w:ascii="仿宋_GB2312" w:eastAsia="仿宋_GB2312"/>
          <w:sz w:val="32"/>
        </w:rPr>
        <w:t>公务用车运行维护费1.35万元，主要用于加油费、维修维护、车检等费用</w:t>
      </w:r>
      <w:r>
        <w:rPr>
          <w:rFonts w:hint="default" w:ascii="仿宋_GB2312" w:eastAsia="仿宋_GB2312"/>
          <w:sz w:val="32"/>
        </w:rPr>
        <w:t>,</w:t>
      </w:r>
      <w:r>
        <w:rPr>
          <w:rFonts w:ascii="仿宋_GB2312" w:eastAsia="仿宋_GB2312"/>
          <w:sz w:val="32"/>
        </w:rPr>
        <w:t>截至年末使用一般公共预算财政拨款开支的公务用车保有量1辆。决算数大于年初预算数的原因主要是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1542.93万元，其中：人员经费1284.54万元，主要包括基本工资、津贴补贴、奖金、其他社会保障缴费、机关事业单位基本养老保险缴费、其他工资福利支出、离休费、退休费、抚恤金、生活补助、奖励金、住房公积金、采暖补贴、其他对个人和家庭补助的支出；日常公用经费258.39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2021年度机关运行经费支出0万元与上年持平，主要原因是本单位属于事业单位，无机关运行经费。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1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40" w:lineRule="exact"/>
        <w:ind w:firstLine="640" w:firstLineChars="200"/>
        <w:jc w:val="left"/>
        <w:rPr>
          <w:rFonts w:hint="default" w:eastAsia="仿宋_GB2312"/>
          <w:b/>
          <w:color w:val="FF0000"/>
        </w:rPr>
      </w:pPr>
      <w:r>
        <w:rPr>
          <w:rFonts w:ascii="仿宋_GB2312" w:eastAsia="仿宋_GB2312"/>
          <w:sz w:val="32"/>
        </w:rPr>
        <w:t>2021年沈阳市浑南区第二初级中学</w:t>
      </w:r>
      <w:r>
        <w:rPr>
          <w:rFonts w:ascii="仿宋_GB2312" w:eastAsia="仿宋_GB2312"/>
          <w:bCs/>
          <w:sz w:val="32"/>
          <w:szCs w:val="32"/>
        </w:rPr>
        <w:t>不涉及民生项目和重点支出项目，</w:t>
      </w:r>
      <w:r>
        <w:rPr>
          <w:rFonts w:ascii="仿宋_GB2312" w:eastAsia="仿宋_GB2312"/>
          <w:bCs/>
          <w:color w:val="000000"/>
          <w:sz w:val="32"/>
          <w:szCs w:val="32"/>
        </w:rPr>
        <w:t>因此本单位无预算绩效管理工作</w:t>
      </w:r>
      <w:r>
        <w:rPr>
          <w:rFonts w:ascii="仿宋_GB2312" w:eastAsia="仿宋_GB2312"/>
          <w:sz w:val="32"/>
        </w:rPr>
        <w:t>该业务</w:t>
      </w:r>
      <w:r>
        <w:rPr>
          <w:rFonts w:ascii="仿宋_GB2312" w:eastAsia="仿宋_GB2312"/>
          <w:bCs/>
          <w:color w:val="000000"/>
          <w:sz w:val="32"/>
          <w:szCs w:val="32"/>
        </w:rPr>
        <w:t>。</w:t>
      </w:r>
    </w:p>
    <w:p>
      <w:pPr>
        <w:pStyle w:val="6"/>
        <w:spacing w:line="560" w:lineRule="exact"/>
        <w:rPr>
          <w:rFonts w:hint="default"/>
          <w:b/>
          <w:sz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b/>
          <w:sz w:val="52"/>
          <w:szCs w:val="52"/>
        </w:rPr>
        <w:t>沈阳市浑南区第二初级中学</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C50F8"/>
    <w:rsid w:val="001D0B4A"/>
    <w:rsid w:val="00215F29"/>
    <w:rsid w:val="00320394"/>
    <w:rsid w:val="0033613C"/>
    <w:rsid w:val="00342E31"/>
    <w:rsid w:val="0038444A"/>
    <w:rsid w:val="00387684"/>
    <w:rsid w:val="00422D8F"/>
    <w:rsid w:val="0044142C"/>
    <w:rsid w:val="00485722"/>
    <w:rsid w:val="00505889"/>
    <w:rsid w:val="005812D3"/>
    <w:rsid w:val="005814A4"/>
    <w:rsid w:val="00590A8D"/>
    <w:rsid w:val="005C4DCE"/>
    <w:rsid w:val="00644DF2"/>
    <w:rsid w:val="00753B9D"/>
    <w:rsid w:val="00756329"/>
    <w:rsid w:val="007F77B9"/>
    <w:rsid w:val="008040A1"/>
    <w:rsid w:val="00954778"/>
    <w:rsid w:val="00A17144"/>
    <w:rsid w:val="00A5357A"/>
    <w:rsid w:val="00A57A14"/>
    <w:rsid w:val="00AC4EE2"/>
    <w:rsid w:val="00B54181"/>
    <w:rsid w:val="00BC09C4"/>
    <w:rsid w:val="00DC3915"/>
    <w:rsid w:val="00E4305D"/>
    <w:rsid w:val="00F16B2B"/>
    <w:rsid w:val="00F67249"/>
    <w:rsid w:val="00F724E9"/>
    <w:rsid w:val="05AD0475"/>
    <w:rsid w:val="08856DEC"/>
    <w:rsid w:val="09C4782E"/>
    <w:rsid w:val="0B3F3282"/>
    <w:rsid w:val="0E91244F"/>
    <w:rsid w:val="0ECB7368"/>
    <w:rsid w:val="11612EA5"/>
    <w:rsid w:val="167155B0"/>
    <w:rsid w:val="1B7916CF"/>
    <w:rsid w:val="1C635C29"/>
    <w:rsid w:val="23962819"/>
    <w:rsid w:val="2E4F6256"/>
    <w:rsid w:val="33D44077"/>
    <w:rsid w:val="348A675E"/>
    <w:rsid w:val="34DF2FA5"/>
    <w:rsid w:val="36230505"/>
    <w:rsid w:val="38491C1B"/>
    <w:rsid w:val="4C730ED8"/>
    <w:rsid w:val="53530C46"/>
    <w:rsid w:val="54F6469B"/>
    <w:rsid w:val="5B697371"/>
    <w:rsid w:val="61AA2EFF"/>
    <w:rsid w:val="65161FED"/>
    <w:rsid w:val="673C6F2C"/>
    <w:rsid w:val="724179B2"/>
    <w:rsid w:val="7A6761B9"/>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15</Pages>
  <Words>5336</Words>
  <Characters>5817</Characters>
  <Lines>42</Lines>
  <Paragraphs>11</Paragraphs>
  <TotalTime>1</TotalTime>
  <ScaleCrop>false</ScaleCrop>
  <LinksUpToDate>false</LinksUpToDate>
  <CharactersWithSpaces>5839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2023-05-16T07:20:00Z</cp:lastPrinted>
  <dcterms:modified xsi:type="dcterms:W3CDTF">2023-06-20T02:19:04Z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6932CC3510974EBAA846E59FB8111D28_13</vt:lpwstr>
  </property>
</Properties>
</file>