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default" w:ascii="宋体" w:hAnsi="宋体"/>
          <w:b/>
          <w:color w:val="FF0000"/>
          <w:sz w:val="52"/>
          <w:szCs w:val="52"/>
        </w:rPr>
      </w:pPr>
      <w:r>
        <w:rPr>
          <w:rFonts w:ascii="宋体" w:hAnsi="宋体"/>
          <w:b/>
          <w:sz w:val="52"/>
          <w:szCs w:val="52"/>
        </w:rPr>
        <w:t>沈阳市浑南区第五初级中学2021年度决算说明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第一部分  沈阳市浑南区第五初级中学概况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hint="default" w:ascii="黑体" w:eastAsia="黑体"/>
          <w:sz w:val="32"/>
        </w:rPr>
      </w:pPr>
      <w:r>
        <w:rPr>
          <w:rFonts w:ascii="黑体" w:eastAsia="黑体"/>
          <w:sz w:val="32"/>
        </w:rPr>
        <w:t>第二部分 沈阳市浑南区第五初级中学2021年决算情况说明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default" w:ascii="黑体" w:eastAsia="黑体"/>
          <w:sz w:val="32"/>
        </w:rPr>
      </w:pPr>
      <w:r>
        <w:rPr>
          <w:rFonts w:ascii="黑体" w:eastAsia="黑体"/>
          <w:sz w:val="32"/>
        </w:rPr>
        <w:t>第四部分 沈阳市浑南区第五初级中学2021年决算报表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第一部分 沈阳市浑南区第五初级中学概况</w:t>
      </w:r>
    </w:p>
    <w:p>
      <w:pPr>
        <w:pStyle w:val="6"/>
        <w:spacing w:line="560" w:lineRule="exact"/>
        <w:ind w:firstLine="640"/>
        <w:rPr>
          <w:rFonts w:hint="default" w:ascii="黑体" w:eastAsia="黑体"/>
          <w:sz w:val="32"/>
        </w:rPr>
      </w:pPr>
    </w:p>
    <w:p>
      <w:pPr>
        <w:pStyle w:val="6"/>
        <w:spacing w:line="560" w:lineRule="exact"/>
        <w:ind w:firstLine="640"/>
        <w:rPr>
          <w:rFonts w:hint="default" w:ascii="黑体" w:eastAsia="黑体"/>
          <w:sz w:val="32"/>
        </w:rPr>
      </w:pPr>
      <w:r>
        <w:rPr>
          <w:rFonts w:ascii="黑体" w:eastAsia="黑体"/>
          <w:sz w:val="32"/>
        </w:rPr>
        <w:t>一、主要职责</w:t>
      </w:r>
    </w:p>
    <w:p>
      <w:pPr>
        <w:pStyle w:val="6"/>
        <w:spacing w:line="560" w:lineRule="atLeast"/>
        <w:ind w:firstLine="640" w:firstLineChars="200"/>
        <w:rPr>
          <w:rFonts w:hint="default" w:ascii="黑体" w:eastAsia="黑体"/>
          <w:sz w:val="32"/>
          <w:szCs w:val="32"/>
        </w:rPr>
      </w:pPr>
      <w:r>
        <w:rPr>
          <w:rFonts w:ascii="仿宋_GB2312" w:eastAsia="仿宋_GB2312"/>
          <w:sz w:val="32"/>
          <w:szCs w:val="32"/>
        </w:rPr>
        <w:t>我单位隶属于沈阳市浑南区教育局，为全额拨款的事业单位公办初级中学。我单位贯彻执行国家和省市区教育方针、政策，接收本地学区的小学毕业生，完成为期三年的初中义务教育教学任务，为上级学校及社会培养德智体美等方面合格的毕业生。在此过程中，我单位根据省市区财政部门的要求，拟订本单位财政预算报告，严格按照上级财务政策实施完成上级财政拨款的支出，形成本单位的部门决算。</w:t>
      </w:r>
    </w:p>
    <w:p>
      <w:pPr>
        <w:pStyle w:val="6"/>
        <w:spacing w:line="560" w:lineRule="exact"/>
        <w:ind w:firstLine="640"/>
        <w:rPr>
          <w:rFonts w:hint="default" w:ascii="黑体" w:eastAsia="黑体"/>
          <w:sz w:val="32"/>
        </w:rPr>
      </w:pPr>
      <w:r>
        <w:rPr>
          <w:rFonts w:ascii="黑体" w:eastAsia="黑体"/>
          <w:sz w:val="32"/>
        </w:rPr>
        <w:t>二、决算单位构成</w:t>
      </w:r>
    </w:p>
    <w:p>
      <w:pPr>
        <w:spacing w:after="312" w:afterLines="100"/>
        <w:ind w:firstLine="640" w:firstLineChars="200"/>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沈阳市浑南区第五初级中学是纳入浑南区教育局2021年度决算编制范围的二级预算单位，本单位无下设机构。</w:t>
      </w:r>
    </w:p>
    <w:p>
      <w:pPr>
        <w:spacing w:line="540" w:lineRule="exact"/>
        <w:ind w:firstLine="361" w:firstLineChars="100"/>
        <w:rPr>
          <w:rFonts w:hint="default"/>
          <w:b/>
          <w:sz w:val="36"/>
        </w:rPr>
      </w:pPr>
      <w:r>
        <w:rPr>
          <w:b/>
          <w:sz w:val="36"/>
        </w:rPr>
        <w:t>第二部分 沈阳市浑南区第五初级中学2021年决算情况说明</w:t>
      </w:r>
    </w:p>
    <w:p>
      <w:pPr>
        <w:spacing w:line="540" w:lineRule="exact"/>
        <w:ind w:firstLine="627" w:firstLineChars="196"/>
        <w:rPr>
          <w:rFonts w:hint="default" w:ascii="黑体" w:hAnsi="黑体" w:eastAsia="黑体"/>
          <w:b/>
          <w:bCs/>
          <w:color w:val="FF0000"/>
          <w:sz w:val="32"/>
          <w:szCs w:val="32"/>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（一）收入总计1328.09万元，包括：</w:t>
      </w:r>
    </w:p>
    <w:p>
      <w:pPr>
        <w:pStyle w:val="6"/>
        <w:spacing w:line="560" w:lineRule="exact"/>
        <w:ind w:firstLine="660"/>
        <w:rPr>
          <w:rFonts w:hint="default" w:ascii="仿宋_GB2312" w:eastAsia="仿宋_GB2312"/>
          <w:sz w:val="32"/>
        </w:rPr>
      </w:pPr>
      <w:r>
        <w:rPr>
          <w:rFonts w:ascii="仿宋_GB2312" w:eastAsia="仿宋_GB2312"/>
          <w:sz w:val="32"/>
        </w:rPr>
        <w:t>1.财政拨款收入1134.01万元，占收入总计的85.39%。其中：一般公共预算财政拨款收入1134.01万元，政府性基金收入0万元，国有资本经营预算财政拨款收入0万元。</w:t>
      </w:r>
    </w:p>
    <w:p>
      <w:pPr>
        <w:pStyle w:val="6"/>
        <w:spacing w:line="560" w:lineRule="exact"/>
        <w:ind w:firstLine="660"/>
        <w:rPr>
          <w:rFonts w:hint="default" w:ascii="仿宋_GB2312" w:eastAsia="仿宋_GB2312"/>
          <w:sz w:val="32"/>
        </w:rPr>
      </w:pPr>
      <w:r>
        <w:rPr>
          <w:rFonts w:ascii="仿宋_GB2312" w:eastAsia="仿宋_GB2312"/>
          <w:sz w:val="32"/>
        </w:rPr>
        <w:t>2.其他收入68.04万元，占收入总计的5.12%。主要是其他普通教育收入。</w:t>
      </w:r>
    </w:p>
    <w:p>
      <w:pPr>
        <w:pStyle w:val="6"/>
        <w:spacing w:line="560" w:lineRule="exact"/>
        <w:ind w:firstLine="660"/>
        <w:rPr>
          <w:rFonts w:hint="default" w:ascii="仿宋_GB2312" w:eastAsia="仿宋_GB2312"/>
          <w:sz w:val="32"/>
        </w:rPr>
      </w:pPr>
      <w:r>
        <w:rPr>
          <w:rFonts w:ascii="仿宋_GB2312" w:eastAsia="仿宋_GB2312"/>
          <w:sz w:val="32"/>
        </w:rPr>
        <w:t>3.上年结转和结余126.04万元，占收入总计的9.49%。主要是上年度结余。</w:t>
      </w:r>
    </w:p>
    <w:p>
      <w:pPr>
        <w:pStyle w:val="6"/>
        <w:spacing w:line="560" w:lineRule="exact"/>
        <w:ind w:firstLine="660"/>
        <w:rPr>
          <w:rFonts w:hint="default" w:ascii="仿宋_GB2312" w:eastAsia="仿宋_GB2312"/>
          <w:sz w:val="32"/>
        </w:rPr>
      </w:pPr>
      <w:r>
        <w:rPr>
          <w:rFonts w:ascii="仿宋_GB2312" w:eastAsia="仿宋_GB2312"/>
          <w:sz w:val="32"/>
        </w:rPr>
        <w:t>与上年相比，今年收入增加283.79万元，增长27.18%，主要原因：</w:t>
      </w:r>
      <w:r>
        <w:rPr>
          <w:rFonts w:ascii="黑体" w:eastAsia="黑体"/>
          <w:sz w:val="32"/>
        </w:rPr>
        <w:t>一是</w:t>
      </w:r>
      <w:r>
        <w:rPr>
          <w:rFonts w:ascii="仿宋_GB2312" w:eastAsia="仿宋_GB2312"/>
          <w:sz w:val="32"/>
        </w:rPr>
        <w:t>学生总数增加</w:t>
      </w:r>
      <w:r>
        <w:rPr>
          <w:rFonts w:ascii="黑体" w:eastAsia="黑体"/>
          <w:sz w:val="32"/>
        </w:rPr>
        <w:t>二是</w:t>
      </w:r>
      <w:r>
        <w:rPr>
          <w:rFonts w:ascii="仿宋_GB2312" w:eastAsia="仿宋_GB2312"/>
          <w:sz w:val="32"/>
        </w:rPr>
        <w:t>教师人数增加。</w:t>
      </w:r>
    </w:p>
    <w:p>
      <w:pPr>
        <w:pStyle w:val="6"/>
        <w:spacing w:line="560" w:lineRule="exact"/>
        <w:ind w:firstLine="660"/>
        <w:rPr>
          <w:rFonts w:hint="default" w:ascii="楷体_GB2312" w:eastAsia="楷体_GB2312"/>
          <w:b/>
          <w:sz w:val="32"/>
        </w:rPr>
      </w:pPr>
      <w:r>
        <w:rPr>
          <w:rFonts w:ascii="楷体_GB2312" w:eastAsia="楷体_GB2312"/>
          <w:b/>
          <w:sz w:val="32"/>
        </w:rPr>
        <w:t>（二）支出总计1328.09万元，包括：</w:t>
      </w:r>
    </w:p>
    <w:p>
      <w:pPr>
        <w:pStyle w:val="6"/>
        <w:spacing w:line="560" w:lineRule="exact"/>
        <w:ind w:firstLine="660"/>
        <w:rPr>
          <w:rFonts w:hint="default" w:ascii="仿宋_GB2312" w:eastAsia="仿宋_GB2312"/>
          <w:sz w:val="32"/>
        </w:rPr>
      </w:pPr>
      <w:r>
        <w:rPr>
          <w:rFonts w:ascii="仿宋_GB2312" w:eastAsia="仿宋_GB2312"/>
          <w:sz w:val="32"/>
        </w:rPr>
        <w:t>1.基本支出1014.08万元，占支出总计的76.36%。主要是为保障机构正常运转、完成日常工作任务而发生的各项支出，其中：工资福利支出843.94万元，对个人和家庭的补助支出0.41万元，商品和服务支出145.78万元，资本性支出23.95万元。</w:t>
      </w:r>
    </w:p>
    <w:p>
      <w:pPr>
        <w:pStyle w:val="6"/>
        <w:spacing w:line="560" w:lineRule="exact"/>
        <w:ind w:firstLine="660"/>
        <w:rPr>
          <w:rFonts w:hint="default" w:ascii="仿宋_GB2312" w:eastAsia="仿宋_GB2312"/>
          <w:sz w:val="32"/>
        </w:rPr>
      </w:pPr>
      <w:r>
        <w:rPr>
          <w:rFonts w:ascii="仿宋_GB2312" w:eastAsia="仿宋_GB2312"/>
          <w:sz w:val="32"/>
        </w:rPr>
        <w:t>2.项目支出314.01万元，占支出总计的23.65%。主要电采暖，2020年绩效工资等支出。</w:t>
      </w:r>
    </w:p>
    <w:p>
      <w:pPr>
        <w:pStyle w:val="6"/>
        <w:spacing w:line="560" w:lineRule="exact"/>
        <w:ind w:firstLine="660"/>
        <w:rPr>
          <w:rFonts w:hint="default" w:ascii="仿宋_GB2312" w:eastAsia="仿宋_GB2312"/>
          <w:sz w:val="32"/>
        </w:rPr>
      </w:pPr>
      <w:r>
        <w:rPr>
          <w:rFonts w:ascii="仿宋_GB2312" w:eastAsia="仿宋_GB2312"/>
          <w:sz w:val="32"/>
        </w:rPr>
        <w:t>与上年相比，今年支出增加283.79万元，增长27.18%，主要原因：</w:t>
      </w:r>
      <w:r>
        <w:rPr>
          <w:rFonts w:ascii="黑体" w:eastAsia="黑体"/>
          <w:sz w:val="32"/>
        </w:rPr>
        <w:t>一是</w:t>
      </w:r>
      <w:r>
        <w:rPr>
          <w:rFonts w:ascii="仿宋_GB2312" w:eastAsia="仿宋_GB2312"/>
          <w:sz w:val="32"/>
        </w:rPr>
        <w:t>学生数增加经费增加；</w:t>
      </w:r>
      <w:r>
        <w:rPr>
          <w:rFonts w:ascii="黑体" w:eastAsia="黑体"/>
          <w:sz w:val="32"/>
        </w:rPr>
        <w:t>二是</w:t>
      </w:r>
      <w:r>
        <w:rPr>
          <w:rFonts w:ascii="仿宋_GB2312" w:eastAsia="仿宋_GB2312"/>
          <w:sz w:val="32"/>
        </w:rPr>
        <w:t>教师人数增长人员经费增加。</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（三）年末结转和结余0万元</w:t>
      </w:r>
    </w:p>
    <w:p>
      <w:pPr>
        <w:pStyle w:val="6"/>
        <w:spacing w:line="560" w:lineRule="exact"/>
        <w:ind w:firstLine="660"/>
        <w:rPr>
          <w:rFonts w:hint="default" w:ascii="仿宋_GB2312" w:eastAsia="仿宋_GB2312"/>
          <w:sz w:val="32"/>
        </w:rPr>
      </w:pPr>
      <w:r>
        <w:rPr>
          <w:rFonts w:ascii="仿宋_GB2312" w:eastAsia="仿宋_GB2312"/>
          <w:sz w:val="32"/>
        </w:rPr>
        <w:t>本年没有行程结余。与上年相比，今年结转结余减少4.76万元，主要原因：</w:t>
      </w:r>
      <w:r>
        <w:rPr>
          <w:rFonts w:ascii="黑体" w:eastAsia="黑体"/>
          <w:sz w:val="32"/>
        </w:rPr>
        <w:t>结余减少</w:t>
      </w:r>
      <w:r>
        <w:rPr>
          <w:rFonts w:ascii="仿宋_GB2312" w:eastAsia="仿宋_GB2312"/>
          <w:sz w:val="32"/>
        </w:rPr>
        <w:t>。</w:t>
      </w:r>
    </w:p>
    <w:p>
      <w:pPr>
        <w:pStyle w:val="6"/>
        <w:spacing w:line="560" w:lineRule="exact"/>
        <w:ind w:firstLine="660"/>
        <w:rPr>
          <w:rFonts w:hint="default" w:ascii="黑体" w:eastAsia="黑体"/>
          <w:sz w:val="32"/>
        </w:rPr>
      </w:pPr>
      <w:r>
        <w:rPr>
          <w:rFonts w:ascii="黑体" w:eastAsia="黑体"/>
          <w:sz w:val="32"/>
        </w:rPr>
        <w:t>二、财政拨款收入支出决算情况说明</w:t>
      </w:r>
    </w:p>
    <w:p>
      <w:pPr>
        <w:pStyle w:val="6"/>
        <w:spacing w:line="560" w:lineRule="exact"/>
        <w:ind w:firstLine="660"/>
        <w:rPr>
          <w:rFonts w:hint="default" w:ascii="楷体_GB2312" w:eastAsia="楷体_GB2312"/>
          <w:b/>
          <w:sz w:val="32"/>
        </w:rPr>
      </w:pPr>
      <w:r>
        <w:rPr>
          <w:rFonts w:ascii="楷体_GB2312" w:eastAsia="楷体_GB2312"/>
          <w:b/>
          <w:sz w:val="32"/>
        </w:rPr>
        <w:t>（一）总体情况</w:t>
      </w:r>
    </w:p>
    <w:p>
      <w:pPr>
        <w:pStyle w:val="6"/>
        <w:spacing w:line="560" w:lineRule="exact"/>
        <w:ind w:firstLine="660"/>
        <w:rPr>
          <w:rFonts w:hint="default" w:ascii="仿宋_GB2312" w:eastAsia="仿宋_GB2312"/>
          <w:sz w:val="32"/>
        </w:rPr>
      </w:pPr>
      <w:r>
        <w:rPr>
          <w:rFonts w:ascii="仿宋_GB2312" w:eastAsia="仿宋_GB2312"/>
          <w:sz w:val="32"/>
        </w:rPr>
        <w:t>2021年度财政拨款支出1260.05万元，其中：基本支出1014.08万元，项目支出245.97万元。与上年相比，财政拨款支出增加221.27万元，增长21.3%，主要原因：</w:t>
      </w:r>
      <w:r>
        <w:rPr>
          <w:rFonts w:ascii="黑体" w:eastAsia="黑体"/>
          <w:sz w:val="32"/>
        </w:rPr>
        <w:t>一是</w:t>
      </w:r>
      <w:r>
        <w:rPr>
          <w:rFonts w:ascii="仿宋_GB2312" w:eastAsia="仿宋_GB2312"/>
          <w:sz w:val="32"/>
        </w:rPr>
        <w:t>项目支出增加；</w:t>
      </w:r>
      <w:r>
        <w:rPr>
          <w:rFonts w:ascii="黑体" w:eastAsia="黑体"/>
          <w:sz w:val="32"/>
        </w:rPr>
        <w:t>二是</w:t>
      </w:r>
      <w:r>
        <w:rPr>
          <w:rFonts w:ascii="仿宋_GB2312" w:eastAsia="仿宋_GB2312"/>
          <w:sz w:val="32"/>
        </w:rPr>
        <w:t>人员支出增加。与年初预算相比，2021年度财政拨款支出完成年初预算的100%，其中：基本支出完成年初预算的100%，项目支出完成年初预算的100%。</w:t>
      </w:r>
    </w:p>
    <w:p>
      <w:pPr>
        <w:numPr>
          <w:ilvl w:val="0"/>
          <w:numId w:val="1"/>
        </w:num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一般公共预算财政拨款支出情况。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2021年度一般公共预算财政拨款支出1260.05万元，按支出功能分类科目分，包括：教育支出1138.26万元，占90.33%；社会保障和就业支出71.55万元，占5.68%；卫生健康支出50.24万元，占3.99%。</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1.教育支出1138.26万元，具体包括：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（1）初中教育，1056.2万元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（2）其他普通教育支出10.47万元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（3）教育费附加安排的支出71.59万元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2.社会保障和就业支出71.55万元，具体包括：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（1）行政事业单位养老支出71.23万元，完成年初预算的100%</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（2）机关事业单位职业年金缴费支出0.32万元。完成年初预算0.09%，决算数小于预算数，因本年无退休人员。</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3.卫生健康支出50.24万元，具体包括：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（1）事业单位医疗47.33万元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（2）其他行政事业单位医疗支出2.91万元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（三）政府性基金预算财政拨款支出情况。</w:t>
      </w:r>
    </w:p>
    <w:p>
      <w:pPr>
        <w:spacing w:line="560" w:lineRule="exact"/>
        <w:ind w:firstLine="1324" w:firstLineChars="414"/>
        <w:rPr>
          <w:rFonts w:hint="default" w:ascii="仿宋_GB2312" w:hAnsi="宋体" w:eastAsia="仿宋_GB2312"/>
          <w:sz w:val="32"/>
          <w:szCs w:val="32"/>
        </w:rPr>
      </w:pPr>
      <w:r>
        <w:rPr>
          <w:rFonts w:ascii="仿宋_GB2312" w:hAnsi="宋体" w:eastAsia="仿宋_GB2312"/>
          <w:sz w:val="32"/>
          <w:szCs w:val="32"/>
        </w:rPr>
        <w:t>本年未发生此项资金。</w:t>
      </w:r>
    </w:p>
    <w:p>
      <w:pPr>
        <w:numPr>
          <w:ilvl w:val="0"/>
          <w:numId w:val="1"/>
        </w:num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国有资本经营预算财政拨款支出情况。</w:t>
      </w:r>
    </w:p>
    <w:p>
      <w:pPr>
        <w:spacing w:line="560" w:lineRule="exact"/>
        <w:ind w:left="660" w:firstLine="640" w:firstLineChars="200"/>
        <w:rPr>
          <w:rFonts w:hint="default" w:ascii="仿宋_GB2312" w:hAnsi="宋体" w:eastAsia="楷体_GB2312"/>
          <w:sz w:val="32"/>
          <w:szCs w:val="32"/>
        </w:rPr>
      </w:pPr>
      <w:r>
        <w:rPr>
          <w:rFonts w:ascii="仿宋_GB2312" w:hAnsi="宋体" w:eastAsia="仿宋_GB2312"/>
          <w:sz w:val="32"/>
          <w:szCs w:val="32"/>
        </w:rPr>
        <w:t>本年未发生此项资金。</w:t>
      </w:r>
    </w:p>
    <w:p>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0万元，未安排年初预算，决算数等于年初预算数的主要原因是无此任务。其中：因公出国（境）费0万元，公务接待费0万元，公务用车购置及运行维护费0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1.因公出国（境）费0万元，未安排年初预算，决算数等于年初预算数的主要原因是无此任务。2021年参加出国（境）团组0个，累计0人次</w:t>
      </w:r>
      <w:r>
        <w:rPr>
          <w:rFonts w:ascii="仿宋_GB2312" w:hAnsi="Times New Roman" w:eastAsia="仿宋_GB2312" w:cs="Times New Roman"/>
          <w:kern w:val="0"/>
          <w:sz w:val="32"/>
          <w:szCs w:val="32"/>
        </w:rPr>
        <w:t>。</w:t>
      </w:r>
      <w:r>
        <w:rPr>
          <w:rFonts w:ascii="仿宋_GB2312" w:eastAsia="仿宋_GB2312"/>
          <w:sz w:val="32"/>
        </w:rPr>
        <w:t>2021年因公出国（境）费比上年减少0万元，下降0%，主要是2020年及2021年均无出国任务。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2.公务接待费0万元，未安排年初预算，决算数等于年初预算数的主要原因是无此任务。2021年国内公务接待累计0批次、0人、0万元。2021年公务接待费比上年减少0万元，下降0%，主要是2020年及2021年均无公务招待。</w:t>
      </w:r>
    </w:p>
    <w:p>
      <w:pPr>
        <w:pStyle w:val="6"/>
        <w:spacing w:line="560" w:lineRule="exact"/>
        <w:ind w:firstLine="640" w:firstLineChars="200"/>
        <w:rPr>
          <w:rFonts w:hint="default"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公务用车购置及运行费0万元，未安排年初预算，决算数等于年初预算数的主要原因是无此任务。2021年公务用车购置及运行费比上年减少0万元，下降0%，主要是2020年及2021年均无公务用车购置。</w:t>
      </w:r>
    </w:p>
    <w:p>
      <w:pPr>
        <w:spacing w:line="540" w:lineRule="exact"/>
        <w:ind w:firstLine="645"/>
        <w:rPr>
          <w:rFonts w:hint="default" w:ascii="仿宋_GB2312" w:eastAsia="仿宋_GB2312"/>
          <w:sz w:val="32"/>
        </w:rPr>
      </w:pPr>
      <w:r>
        <w:rPr>
          <w:rFonts w:ascii="仿宋_GB2312" w:hAnsi="宋体" w:eastAsia="仿宋_GB2312"/>
          <w:sz w:val="32"/>
          <w:szCs w:val="32"/>
        </w:rPr>
        <w:t>其中：公务用车购置费0万元，当年购置公务用车0辆。</w:t>
      </w:r>
      <w:r>
        <w:rPr>
          <w:rFonts w:ascii="仿宋_GB2312" w:eastAsia="仿宋_GB2312"/>
          <w:sz w:val="32"/>
        </w:rPr>
        <w:t>未安排年初预算，决算数等于年初预算数的主要原因是无此任务。</w:t>
      </w:r>
    </w:p>
    <w:p>
      <w:pPr>
        <w:pStyle w:val="6"/>
        <w:spacing w:line="560" w:lineRule="exact"/>
        <w:ind w:firstLine="640" w:firstLineChars="200"/>
        <w:rPr>
          <w:rFonts w:hint="default" w:ascii="仿宋_GB2312" w:eastAsia="仿宋_GB2312"/>
          <w:sz w:val="32"/>
        </w:rPr>
      </w:pPr>
      <w:r>
        <w:rPr>
          <w:rFonts w:ascii="仿宋_GB2312" w:eastAsia="仿宋_GB2312"/>
          <w:sz w:val="32"/>
          <w:szCs w:val="32"/>
        </w:rPr>
        <w:t>公务用车运行维护费0万元，截至年末使用一般公共预算财政拨款开支运行维护费的公务用车保有量0辆。</w:t>
      </w:r>
      <w:r>
        <w:rPr>
          <w:rFonts w:ascii="仿宋_GB2312" w:eastAsia="仿宋_GB2312"/>
          <w:sz w:val="32"/>
        </w:rPr>
        <w:t>未安排年初预算，决算数等于年初预算数的主要原因是无此任务。</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1014.08万元，其中：人员经费844.35万元，主要包括基本工资、津贴补贴、奖金、其他社会保障缴费、机关事业单位基本养老保险缴费、其他工资福利支出、离休费、退休费、抚恤金、生活补助、奖励金、住房公积金、采暖补贴、其他对个人和家庭补助的支出；日常公用经费169.73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楷体_GB2312" w:eastAsia="楷体_GB2312"/>
          <w:b/>
          <w:sz w:val="32"/>
        </w:rPr>
      </w:pPr>
      <w:r>
        <w:rPr>
          <w:rFonts w:ascii="楷体_GB2312" w:eastAsia="楷体_GB2312"/>
          <w:b/>
          <w:sz w:val="32"/>
        </w:rPr>
        <w:t>（一）机关运行经费支出情况。</w:t>
      </w:r>
    </w:p>
    <w:p>
      <w:pPr>
        <w:pStyle w:val="6"/>
        <w:spacing w:line="560" w:lineRule="exact"/>
        <w:ind w:firstLine="640"/>
        <w:rPr>
          <w:rFonts w:hint="default" w:ascii="仿宋_GB2312" w:eastAsia="仿宋_GB2312"/>
          <w:sz w:val="32"/>
        </w:rPr>
      </w:pPr>
      <w:r>
        <w:rPr>
          <w:rFonts w:ascii="仿宋_GB2312" w:eastAsia="仿宋_GB2312"/>
          <w:sz w:val="32"/>
        </w:rPr>
        <w:t>2021年机关运行经费支出0万元，与上年持平，主要原因是沈阳市浑南区第五初级中学属于事业单位，无机关运行经费。</w:t>
      </w:r>
    </w:p>
    <w:p>
      <w:pPr>
        <w:pStyle w:val="6"/>
        <w:spacing w:line="560" w:lineRule="exact"/>
        <w:ind w:firstLine="640"/>
        <w:rPr>
          <w:rFonts w:hint="default" w:ascii="楷体_GB2312" w:eastAsia="楷体_GB2312"/>
          <w:b/>
          <w:sz w:val="32"/>
        </w:rPr>
      </w:pPr>
      <w:r>
        <w:rPr>
          <w:rFonts w:ascii="楷体_GB2312" w:eastAsia="楷体_GB2312"/>
          <w:b/>
          <w:sz w:val="32"/>
        </w:rPr>
        <w:t>（二）政府采购支出情况。</w:t>
      </w:r>
    </w:p>
    <w:p>
      <w:pPr>
        <w:pStyle w:val="6"/>
        <w:spacing w:line="560" w:lineRule="exact"/>
        <w:ind w:firstLine="640"/>
        <w:rPr>
          <w:rFonts w:hint="default" w:ascii="仿宋_GB2312" w:eastAsia="仿宋_GB2312"/>
          <w:sz w:val="32"/>
        </w:rPr>
      </w:pPr>
      <w:r>
        <w:rPr>
          <w:rFonts w:ascii="仿宋_GB2312" w:eastAsia="仿宋_GB2312"/>
          <w:sz w:val="32"/>
        </w:rPr>
        <w:t>2021年政府采购支出总额0万元，其中：政府采购货物支出0万元，政府采购工程支出0万元，政府采购服务支出0万元。授予中小企业合同金额0万元，占政府采购支出总额的0%，其中：授予小微企业合同金额0万元，占政府采购支出总额的0%；货物采购授予中小企业合同金额占货物支出金额的0%；工程采购授予中小企业合同金额占工程支出金额的0%；服务采购授予中小企业合同金额占服务支出金额的0%。</w:t>
      </w:r>
    </w:p>
    <w:p>
      <w:pPr>
        <w:pStyle w:val="6"/>
        <w:spacing w:line="560" w:lineRule="exact"/>
        <w:ind w:firstLine="640"/>
        <w:rPr>
          <w:rFonts w:hint="default" w:ascii="楷体_GB2312" w:eastAsia="楷体_GB2312"/>
          <w:b/>
          <w:sz w:val="32"/>
        </w:rPr>
      </w:pPr>
      <w:r>
        <w:rPr>
          <w:rFonts w:ascii="楷体_GB2312" w:eastAsia="楷体_GB2312"/>
          <w:b/>
          <w:sz w:val="32"/>
        </w:rPr>
        <w:t>（三）国有资产占用情况。</w:t>
      </w:r>
    </w:p>
    <w:p>
      <w:pPr>
        <w:pStyle w:val="6"/>
        <w:spacing w:line="560" w:lineRule="exact"/>
        <w:ind w:firstLine="640"/>
        <w:rPr>
          <w:rFonts w:hint="default" w:ascii="仿宋_GB2312" w:eastAsia="仿宋_GB2312"/>
          <w:sz w:val="32"/>
        </w:rPr>
      </w:pPr>
      <w:r>
        <w:rPr>
          <w:rFonts w:ascii="仿宋_GB2312" w:eastAsia="仿宋_GB2312"/>
          <w:sz w:val="32"/>
        </w:rPr>
        <w:t>截至2021年12月31日，共有车辆0辆，其中：副省级以上领导干部用车0辆，主要领导干部用车0辆，机要通讯用车0辆，应急保障用车0辆，执法执勤用车0辆，特种专业技术用车0辆，离退休干部用车0辆，其他用车0辆；单位价值50万元以上通用设备0台（套），单价100万元以上专用设备0台（套）。</w:t>
      </w:r>
    </w:p>
    <w:p>
      <w:pPr>
        <w:widowControl/>
        <w:spacing w:line="540" w:lineRule="exact"/>
        <w:ind w:firstLine="643" w:firstLineChars="200"/>
        <w:jc w:val="left"/>
        <w:rPr>
          <w:rFonts w:hint="default"/>
          <w:b/>
          <w:color w:val="FF0000"/>
        </w:rPr>
      </w:pPr>
      <w:r>
        <w:rPr>
          <w:rFonts w:ascii="楷体_GB2312" w:eastAsia="楷体_GB2312"/>
          <w:b/>
          <w:sz w:val="32"/>
        </w:rPr>
        <w:t>（四）预算绩效管理工作开展情况。</w:t>
      </w:r>
    </w:p>
    <w:p>
      <w:pPr>
        <w:pStyle w:val="6"/>
        <w:spacing w:line="560" w:lineRule="atLeast"/>
        <w:ind w:firstLine="645"/>
        <w:rPr>
          <w:rFonts w:hint="default"/>
          <w:b/>
          <w:sz w:val="36"/>
        </w:rPr>
      </w:pPr>
      <w:r>
        <w:rPr>
          <w:rFonts w:ascii="仿宋_GB2312" w:hAnsi="仿宋_GB2312" w:eastAsia="仿宋_GB2312" w:cs="仿宋_GB2312"/>
          <w:color w:val="000000"/>
          <w:sz w:val="32"/>
          <w:szCs w:val="32"/>
        </w:rPr>
        <w:t>2021年本单位不涉及民生项目和重点支出项目，</w:t>
      </w:r>
      <w:r>
        <w:rPr>
          <w:rFonts w:ascii="仿宋_GB2312" w:eastAsia="仿宋_GB2312"/>
          <w:bCs/>
          <w:color w:val="000000"/>
          <w:sz w:val="32"/>
          <w:szCs w:val="32"/>
        </w:rPr>
        <w:t>因此本单位无绩效自评及部门评价。</w:t>
      </w:r>
    </w:p>
    <w:p>
      <w:pPr>
        <w:pStyle w:val="6"/>
        <w:spacing w:line="560" w:lineRule="exact"/>
        <w:rPr>
          <w:rFonts w:hint="default"/>
          <w:b/>
          <w:sz w:val="36"/>
        </w:rPr>
      </w:pPr>
    </w:p>
    <w:p>
      <w:pPr>
        <w:pStyle w:val="9"/>
        <w:autoSpaceDN w:val="0"/>
        <w:spacing w:line="560" w:lineRule="exact"/>
        <w:ind w:firstLine="2168" w:firstLineChars="600"/>
        <w:rPr>
          <w:rFonts w:hint="eastAsia"/>
          <w:b/>
          <w:bCs/>
          <w:sz w:val="36"/>
          <w:szCs w:val="36"/>
        </w:rPr>
      </w:pPr>
    </w:p>
    <w:p>
      <w:pPr>
        <w:pStyle w:val="9"/>
        <w:autoSpaceDN w:val="0"/>
        <w:spacing w:line="560" w:lineRule="exact"/>
        <w:ind w:firstLine="2168" w:firstLineChars="600"/>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i/>
          <w:sz w:val="32"/>
          <w:u w:val="single"/>
        </w:rPr>
        <w:sectPr>
          <w:headerReference r:id="rId3" w:type="default"/>
          <w:pgSz w:w="11906" w:h="16838"/>
          <w:pgMar w:top="1440" w:right="1800" w:bottom="1440" w:left="1800" w:header="851" w:footer="992" w:gutter="0"/>
          <w:cols w:space="720" w:num="1"/>
          <w:docGrid w:type="lines" w:linePitch="312" w:charSpace="0"/>
        </w:sectPr>
      </w:pPr>
    </w:p>
    <w:p>
      <w:pPr>
        <w:pStyle w:val="6"/>
        <w:spacing w:line="560" w:lineRule="exact"/>
        <w:ind w:firstLine="640"/>
        <w:rPr>
          <w:rFonts w:hint="default" w:ascii="仿宋_GB2312" w:eastAsia="仿宋_GB2312"/>
          <w:i/>
          <w:sz w:val="32"/>
          <w:u w:val="single"/>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第四部分沈阳市浑南区第五初级中学2021年度</w:t>
      </w:r>
      <w:bookmarkStart w:id="0" w:name="_GoBack"/>
      <w:bookmarkEnd w:id="0"/>
      <w:r>
        <w:rPr>
          <w:rFonts w:ascii="仿宋_GB2312" w:hAnsi="仿宋_GB2312" w:eastAsia="仿宋_GB2312" w:cs="仿宋_GB2312"/>
          <w:b/>
          <w:sz w:val="52"/>
          <w:szCs w:val="52"/>
        </w:rPr>
        <w:t>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0EAEE7"/>
    <w:multiLevelType w:val="singleLevel"/>
    <w:tmpl w:val="CB0EAEE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97BD4"/>
    <w:rsid w:val="000B596F"/>
    <w:rsid w:val="00100607"/>
    <w:rsid w:val="001D0B4A"/>
    <w:rsid w:val="001E1405"/>
    <w:rsid w:val="00320394"/>
    <w:rsid w:val="00342E31"/>
    <w:rsid w:val="0038444A"/>
    <w:rsid w:val="00387684"/>
    <w:rsid w:val="0044142C"/>
    <w:rsid w:val="00485722"/>
    <w:rsid w:val="00505889"/>
    <w:rsid w:val="005812D3"/>
    <w:rsid w:val="005814A4"/>
    <w:rsid w:val="00590A8D"/>
    <w:rsid w:val="005C4DCE"/>
    <w:rsid w:val="006B6846"/>
    <w:rsid w:val="00753B9D"/>
    <w:rsid w:val="00756329"/>
    <w:rsid w:val="007F77B9"/>
    <w:rsid w:val="008040A1"/>
    <w:rsid w:val="00883FA0"/>
    <w:rsid w:val="00954778"/>
    <w:rsid w:val="00A17144"/>
    <w:rsid w:val="00A5357A"/>
    <w:rsid w:val="00A57A14"/>
    <w:rsid w:val="00AE7232"/>
    <w:rsid w:val="00B54181"/>
    <w:rsid w:val="00BC09C4"/>
    <w:rsid w:val="00D92303"/>
    <w:rsid w:val="00DC3915"/>
    <w:rsid w:val="00E4305D"/>
    <w:rsid w:val="00F16B2B"/>
    <w:rsid w:val="00F67249"/>
    <w:rsid w:val="00F724E9"/>
    <w:rsid w:val="09AC1B7D"/>
    <w:rsid w:val="09C4782E"/>
    <w:rsid w:val="0ECB7368"/>
    <w:rsid w:val="11612EA5"/>
    <w:rsid w:val="17582BD5"/>
    <w:rsid w:val="1C635C29"/>
    <w:rsid w:val="25256F32"/>
    <w:rsid w:val="2E4F6256"/>
    <w:rsid w:val="2FD00080"/>
    <w:rsid w:val="346A286F"/>
    <w:rsid w:val="358B2308"/>
    <w:rsid w:val="36230505"/>
    <w:rsid w:val="41475340"/>
    <w:rsid w:val="54F6469B"/>
    <w:rsid w:val="5B697371"/>
    <w:rsid w:val="673C6F2C"/>
    <w:rsid w:val="724179B2"/>
    <w:rsid w:val="754F312C"/>
    <w:rsid w:val="7D0248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11</Pages>
  <Words>3985</Words>
  <Characters>4394</Characters>
  <Lines>32</Lines>
  <Paragraphs>9</Paragraphs>
  <TotalTime>1</TotalTime>
  <ScaleCrop>false</ScaleCrop>
  <LinksUpToDate>false</LinksUpToDate>
  <CharactersWithSpaces>4413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2022-09-19T10:34:00Z</cp:lastPrinted>
  <dcterms:modified xsi:type="dcterms:W3CDTF">2023-06-20T02:32:12Z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65795425159446FBA2F98B952D0D13AA_13</vt:lpwstr>
  </property>
</Properties>
</file>