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沈阳市第六十三中学</w:t>
      </w:r>
    </w:p>
    <w:p>
      <w:pPr>
        <w:spacing w:line="540" w:lineRule="exact"/>
        <w:jc w:val="center"/>
        <w:rPr>
          <w:rFonts w:hint="default"/>
          <w:b/>
          <w:sz w:val="44"/>
          <w:szCs w:val="44"/>
          <w:u w:val="single"/>
        </w:rPr>
      </w:pPr>
      <w:r>
        <w:rPr>
          <w:rFonts w:ascii="宋体" w:hAnsi="宋体"/>
          <w:b/>
          <w:sz w:val="52"/>
          <w:szCs w:val="52"/>
        </w:rPr>
        <w:t>2021年度决算情况说明</w:t>
      </w:r>
    </w:p>
    <w:p>
      <w:pPr>
        <w:spacing w:line="540" w:lineRule="exact"/>
        <w:jc w:val="center"/>
        <w:rPr>
          <w:rFonts w:hint="default"/>
          <w:b/>
          <w:sz w:val="44"/>
          <w:szCs w:val="44"/>
          <w:u w:val="single"/>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spacing w:line="540" w:lineRule="exact"/>
        <w:rPr>
          <w:rFonts w:hint="default" w:ascii="黑体" w:hAnsi="黑体" w:eastAsia="黑体"/>
          <w:sz w:val="32"/>
          <w:szCs w:val="32"/>
        </w:rPr>
      </w:pPr>
      <w:r>
        <w:rPr>
          <w:rFonts w:ascii="黑体" w:hAnsi="黑体" w:eastAsia="黑体"/>
          <w:sz w:val="32"/>
          <w:szCs w:val="32"/>
        </w:rPr>
        <w:t>第一部分   沈阳市第六十三中学概况</w:t>
      </w:r>
    </w:p>
    <w:p>
      <w:pPr>
        <w:numPr>
          <w:ilvl w:val="0"/>
          <w:numId w:val="1"/>
        </w:numPr>
        <w:spacing w:line="540" w:lineRule="exact"/>
        <w:rPr>
          <w:rFonts w:hint="default" w:ascii="仿宋_GB2312" w:hAnsi="黑体" w:eastAsia="仿宋_GB2312"/>
          <w:sz w:val="32"/>
          <w:szCs w:val="32"/>
        </w:rPr>
      </w:pPr>
      <w:r>
        <w:rPr>
          <w:rFonts w:ascii="仿宋_GB2312" w:hAnsi="黑体" w:eastAsia="仿宋_GB2312"/>
          <w:sz w:val="32"/>
          <w:szCs w:val="32"/>
        </w:rPr>
        <w:t>主要职责</w:t>
      </w:r>
    </w:p>
    <w:p>
      <w:pPr>
        <w:numPr>
          <w:ilvl w:val="0"/>
          <w:numId w:val="1"/>
        </w:numPr>
        <w:spacing w:line="540" w:lineRule="exact"/>
        <w:rPr>
          <w:rFonts w:hint="default" w:ascii="仿宋_GB2312" w:hAnsi="黑体" w:eastAsia="仿宋_GB2312"/>
          <w:sz w:val="32"/>
          <w:szCs w:val="32"/>
        </w:rPr>
      </w:pPr>
      <w:r>
        <w:rPr>
          <w:rFonts w:ascii="仿宋_GB2312" w:hAnsi="黑体" w:eastAsia="仿宋_GB2312"/>
          <w:sz w:val="32"/>
          <w:szCs w:val="32"/>
        </w:rPr>
        <w:t>决算单位构成</w:t>
      </w:r>
    </w:p>
    <w:p>
      <w:pPr>
        <w:spacing w:line="540" w:lineRule="exact"/>
        <w:rPr>
          <w:rFonts w:hint="default" w:ascii="黑体" w:hAnsi="黑体" w:eastAsia="黑体"/>
          <w:sz w:val="32"/>
          <w:szCs w:val="32"/>
        </w:rPr>
      </w:pPr>
      <w:r>
        <w:rPr>
          <w:rFonts w:ascii="黑体" w:hAnsi="黑体" w:eastAsia="黑体"/>
          <w:sz w:val="32"/>
          <w:szCs w:val="32"/>
        </w:rPr>
        <w:t>第二部分   沈阳市第六十三中学2021年度决算情况说明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szCs w:val="21"/>
        </w:rPr>
      </w:pPr>
      <w:r>
        <w:rPr>
          <w:rFonts w:ascii="仿宋_GB2312" w:eastAsia="仿宋_GB2312"/>
          <w:sz w:val="32"/>
        </w:rPr>
        <w:t>五、其他重要事项的情况说明</w:t>
      </w:r>
    </w:p>
    <w:p>
      <w:pPr>
        <w:spacing w:line="540" w:lineRule="exact"/>
        <w:rPr>
          <w:rFonts w:hint="default" w:ascii="黑体" w:hAnsi="黑体" w:eastAsia="黑体"/>
          <w:sz w:val="32"/>
          <w:szCs w:val="32"/>
        </w:rPr>
      </w:pPr>
      <w:r>
        <w:rPr>
          <w:rFonts w:ascii="黑体" w:hAnsi="黑体" w:eastAsia="黑体"/>
          <w:sz w:val="32"/>
          <w:szCs w:val="32"/>
        </w:rPr>
        <w:t>第三部分    名词解释</w:t>
      </w:r>
    </w:p>
    <w:p>
      <w:pPr>
        <w:spacing w:line="540" w:lineRule="exact"/>
        <w:rPr>
          <w:rFonts w:hint="default" w:ascii="黑体" w:hAnsi="黑体" w:eastAsia="黑体"/>
          <w:sz w:val="32"/>
          <w:szCs w:val="32"/>
        </w:rPr>
      </w:pPr>
      <w:r>
        <w:rPr>
          <w:rFonts w:ascii="黑体" w:hAnsi="黑体" w:eastAsia="黑体"/>
          <w:sz w:val="32"/>
          <w:szCs w:val="32"/>
        </w:rPr>
        <w:t>第四部分   沈阳市第六十三中学2021年度决算报表</w:t>
      </w:r>
    </w:p>
    <w:p>
      <w:pPr>
        <w:spacing w:line="540" w:lineRule="exact"/>
        <w:rPr>
          <w:rFonts w:hint="default" w:ascii="仿宋_GB2312" w:hAnsi="黑体" w:eastAsia="仿宋_GB2312"/>
          <w:sz w:val="32"/>
          <w:szCs w:val="32"/>
        </w:rPr>
      </w:pPr>
      <w:r>
        <w:rPr>
          <w:rFonts w:ascii="仿宋_GB2312" w:eastAsia="仿宋_GB2312"/>
          <w:sz w:val="32"/>
          <w:szCs w:val="32"/>
        </w:rPr>
        <w:t>一、</w:t>
      </w:r>
      <w:r>
        <w:rPr>
          <w:rFonts w:ascii="仿宋_GB2312" w:hAnsi="仿宋" w:eastAsia="仿宋_GB2312"/>
          <w:sz w:val="32"/>
          <w:szCs w:val="32"/>
        </w:rPr>
        <w:t>2021年度收入支出决算总表</w:t>
      </w:r>
    </w:p>
    <w:p>
      <w:pPr>
        <w:spacing w:line="540" w:lineRule="exact"/>
        <w:rPr>
          <w:rFonts w:hint="default" w:ascii="仿宋_GB2312" w:eastAsia="仿宋_GB2312"/>
          <w:sz w:val="32"/>
          <w:szCs w:val="32"/>
        </w:rPr>
      </w:pPr>
      <w:r>
        <w:rPr>
          <w:rFonts w:ascii="仿宋_GB2312" w:eastAsia="仿宋_GB2312"/>
          <w:sz w:val="32"/>
          <w:szCs w:val="32"/>
        </w:rPr>
        <w:t>二、2021</w:t>
      </w:r>
      <w:r>
        <w:rPr>
          <w:rFonts w:ascii="仿宋_GB2312" w:hAnsi="仿宋" w:eastAsia="仿宋_GB2312"/>
          <w:sz w:val="32"/>
          <w:szCs w:val="32"/>
        </w:rPr>
        <w:t>年度</w:t>
      </w:r>
      <w:r>
        <w:rPr>
          <w:rFonts w:ascii="仿宋_GB2312" w:eastAsia="仿宋_GB2312"/>
          <w:sz w:val="32"/>
          <w:szCs w:val="32"/>
        </w:rPr>
        <w:t>收入决算表</w:t>
      </w:r>
    </w:p>
    <w:p>
      <w:pPr>
        <w:spacing w:line="540" w:lineRule="exact"/>
        <w:rPr>
          <w:rFonts w:hint="default" w:ascii="仿宋_GB2312" w:eastAsia="仿宋_GB2312"/>
          <w:sz w:val="32"/>
          <w:szCs w:val="32"/>
        </w:rPr>
      </w:pPr>
      <w:r>
        <w:rPr>
          <w:rFonts w:ascii="仿宋_GB2312" w:eastAsia="仿宋_GB2312"/>
          <w:sz w:val="32"/>
          <w:szCs w:val="32"/>
        </w:rPr>
        <w:t>三、2021</w:t>
      </w:r>
      <w:r>
        <w:rPr>
          <w:rFonts w:ascii="仿宋_GB2312" w:hAnsi="仿宋" w:eastAsia="仿宋_GB2312"/>
          <w:sz w:val="32"/>
          <w:szCs w:val="32"/>
        </w:rPr>
        <w:t>年度</w:t>
      </w:r>
      <w:r>
        <w:rPr>
          <w:rFonts w:ascii="仿宋_GB2312" w:eastAsia="仿宋_GB2312"/>
          <w:sz w:val="32"/>
          <w:szCs w:val="32"/>
        </w:rPr>
        <w:t>支出决算表</w:t>
      </w:r>
    </w:p>
    <w:p>
      <w:pPr>
        <w:spacing w:line="540" w:lineRule="exact"/>
        <w:rPr>
          <w:rFonts w:hint="default" w:ascii="仿宋_GB2312" w:hAnsi="黑体" w:eastAsia="仿宋_GB2312"/>
          <w:sz w:val="32"/>
          <w:szCs w:val="32"/>
        </w:rPr>
      </w:pPr>
      <w:r>
        <w:rPr>
          <w:rFonts w:ascii="仿宋_GB2312" w:eastAsia="仿宋_GB2312"/>
          <w:sz w:val="32"/>
          <w:szCs w:val="32"/>
        </w:rPr>
        <w:t>四、</w:t>
      </w:r>
      <w:r>
        <w:rPr>
          <w:rFonts w:ascii="仿宋_GB2312" w:hAnsi="仿宋" w:eastAsia="仿宋_GB2312"/>
          <w:sz w:val="32"/>
          <w:szCs w:val="32"/>
        </w:rPr>
        <w:t>2021年度财政拨款收入支出决算表</w:t>
      </w:r>
    </w:p>
    <w:p>
      <w:pPr>
        <w:spacing w:line="540" w:lineRule="exact"/>
        <w:rPr>
          <w:rFonts w:hint="default" w:ascii="仿宋_GB2312" w:eastAsia="仿宋_GB2312"/>
          <w:sz w:val="32"/>
          <w:szCs w:val="32"/>
        </w:rPr>
      </w:pPr>
      <w:r>
        <w:rPr>
          <w:rFonts w:ascii="仿宋_GB2312" w:eastAsia="仿宋_GB2312"/>
          <w:sz w:val="32"/>
          <w:szCs w:val="32"/>
        </w:rPr>
        <w:t>五、2021年度一般公共预算财政拨款支出决算表</w:t>
      </w:r>
    </w:p>
    <w:p>
      <w:pPr>
        <w:spacing w:line="540" w:lineRule="exact"/>
        <w:rPr>
          <w:rFonts w:hint="default" w:ascii="仿宋_GB2312" w:eastAsia="仿宋_GB2312"/>
          <w:sz w:val="32"/>
          <w:szCs w:val="32"/>
        </w:rPr>
      </w:pPr>
      <w:r>
        <w:rPr>
          <w:rFonts w:ascii="仿宋_GB2312" w:eastAsia="仿宋_GB2312"/>
          <w:sz w:val="32"/>
          <w:szCs w:val="32"/>
        </w:rPr>
        <w:t>六、2021年度一般公共预算财政拨款基本支出决算表</w:t>
      </w:r>
    </w:p>
    <w:p>
      <w:pPr>
        <w:spacing w:line="540" w:lineRule="exact"/>
        <w:rPr>
          <w:rFonts w:hint="default" w:ascii="仿宋_GB2312" w:eastAsia="仿宋_GB2312"/>
          <w:sz w:val="32"/>
          <w:szCs w:val="32"/>
        </w:rPr>
      </w:pPr>
      <w:r>
        <w:rPr>
          <w:rFonts w:ascii="仿宋_GB2312" w:eastAsia="仿宋_GB2312"/>
          <w:sz w:val="32"/>
          <w:szCs w:val="32"/>
        </w:rPr>
        <w:t>七、2021年度政府性基金预算财政拨款支出决算表</w:t>
      </w:r>
    </w:p>
    <w:p>
      <w:pPr>
        <w:spacing w:line="540" w:lineRule="exact"/>
        <w:ind w:left="640" w:hanging="640" w:hangingChars="200"/>
        <w:rPr>
          <w:rFonts w:hint="default" w:ascii="仿宋_GB2312" w:eastAsia="仿宋_GB2312"/>
          <w:sz w:val="32"/>
          <w:szCs w:val="32"/>
        </w:rPr>
      </w:pPr>
      <w:r>
        <w:rPr>
          <w:rFonts w:ascii="仿宋_GB2312" w:eastAsia="仿宋_GB2312"/>
          <w:sz w:val="32"/>
          <w:szCs w:val="32"/>
        </w:rPr>
        <w:t>八、2021</w:t>
      </w:r>
      <w:r>
        <w:rPr>
          <w:rFonts w:ascii="仿宋_GB2312" w:hAnsi="仿宋" w:eastAsia="仿宋_GB2312"/>
          <w:sz w:val="32"/>
          <w:szCs w:val="32"/>
        </w:rPr>
        <w:t>年度</w:t>
      </w:r>
      <w:r>
        <w:rPr>
          <w:rFonts w:ascii="仿宋_GB2312" w:eastAsia="仿宋_GB2312"/>
          <w:sz w:val="32"/>
          <w:szCs w:val="32"/>
        </w:rPr>
        <w:t>一般公共预算财政拨款“三公”经费支出决算表</w:t>
      </w:r>
    </w:p>
    <w:p>
      <w:pPr>
        <w:spacing w:line="540" w:lineRule="exact"/>
        <w:ind w:left="640" w:hanging="640" w:hangingChars="200"/>
        <w:rPr>
          <w:rFonts w:hint="default" w:ascii="仿宋_GB2312" w:eastAsia="仿宋_GB2312"/>
          <w:sz w:val="32"/>
          <w:szCs w:val="32"/>
        </w:rPr>
      </w:pPr>
      <w:r>
        <w:rPr>
          <w:rFonts w:ascii="仿宋_GB2312" w:eastAsia="仿宋_GB2312"/>
          <w:sz w:val="32"/>
          <w:szCs w:val="32"/>
        </w:rPr>
        <w:t>九、2021年度国有资本经营预算财政拨款支出决算表</w:t>
      </w:r>
    </w:p>
    <w:p>
      <w:pPr>
        <w:spacing w:line="540" w:lineRule="exact"/>
        <w:ind w:left="640" w:hanging="640" w:hangingChars="200"/>
        <w:rPr>
          <w:rFonts w:hint="default" w:ascii="仿宋_GB2312" w:eastAsia="仿宋_GB2312"/>
          <w:sz w:val="32"/>
          <w:szCs w:val="32"/>
        </w:rPr>
      </w:pPr>
    </w:p>
    <w:p>
      <w:pPr>
        <w:spacing w:line="540" w:lineRule="exact"/>
        <w:ind w:left="640" w:hanging="640" w:hangingChars="200"/>
        <w:rPr>
          <w:rFonts w:hint="default" w:ascii="仿宋_GB2312" w:eastAsia="仿宋_GB2312"/>
          <w:sz w:val="32"/>
          <w:szCs w:val="32"/>
        </w:rPr>
      </w:pPr>
    </w:p>
    <w:p>
      <w:pPr>
        <w:spacing w:line="540" w:lineRule="exact"/>
        <w:jc w:val="center"/>
        <w:rPr>
          <w:rFonts w:hint="default" w:ascii="宋体" w:hAnsi="宋体"/>
          <w:b/>
          <w:sz w:val="36"/>
          <w:szCs w:val="36"/>
        </w:rPr>
      </w:pPr>
      <w:r>
        <w:rPr>
          <w:rFonts w:ascii="宋体" w:hAnsi="宋体"/>
          <w:b/>
          <w:sz w:val="36"/>
          <w:szCs w:val="36"/>
        </w:rPr>
        <w:t>第一部分  沈阳市第六十三中学概况</w:t>
      </w:r>
    </w:p>
    <w:p>
      <w:pPr>
        <w:spacing w:line="540" w:lineRule="exact"/>
        <w:ind w:firstLine="643" w:firstLineChars="200"/>
        <w:jc w:val="left"/>
        <w:rPr>
          <w:rFonts w:hint="default" w:ascii="黑体" w:eastAsia="黑体"/>
          <w:b/>
          <w:sz w:val="32"/>
          <w:szCs w:val="32"/>
        </w:rPr>
      </w:pPr>
    </w:p>
    <w:p>
      <w:pPr>
        <w:spacing w:line="540" w:lineRule="exact"/>
        <w:jc w:val="center"/>
        <w:rPr>
          <w:rFonts w:hint="default" w:ascii="宋体" w:hAnsi="宋体"/>
          <w:b/>
          <w:sz w:val="36"/>
          <w:szCs w:val="36"/>
        </w:rPr>
      </w:pPr>
    </w:p>
    <w:p>
      <w:pPr>
        <w:spacing w:line="540" w:lineRule="exact"/>
        <w:ind w:firstLine="640" w:firstLineChars="200"/>
        <w:jc w:val="left"/>
        <w:rPr>
          <w:rFonts w:hint="default" w:ascii="黑体" w:eastAsia="黑体"/>
          <w:sz w:val="32"/>
          <w:szCs w:val="32"/>
        </w:rPr>
      </w:pPr>
      <w:r>
        <w:rPr>
          <w:rFonts w:ascii="黑体" w:eastAsia="黑体"/>
          <w:sz w:val="32"/>
          <w:szCs w:val="32"/>
        </w:rPr>
        <w:t>一、主要职责</w:t>
      </w:r>
    </w:p>
    <w:p>
      <w:pPr>
        <w:pStyle w:val="6"/>
        <w:spacing w:line="560" w:lineRule="atLeast"/>
        <w:ind w:firstLine="640"/>
        <w:rPr>
          <w:rFonts w:hint="default" w:ascii="仿宋_GB2312" w:hAnsi="仿宋_GB2312" w:eastAsia="仿宋_GB2312"/>
          <w:sz w:val="32"/>
        </w:rPr>
      </w:pPr>
      <w:r>
        <w:rPr>
          <w:rFonts w:ascii="仿宋_GB2312" w:eastAsia="仿宋_GB2312"/>
          <w:sz w:val="32"/>
          <w:szCs w:val="32"/>
        </w:rPr>
        <w:t>（一）</w:t>
      </w:r>
      <w:r>
        <w:rPr>
          <w:rFonts w:ascii="仿宋_GB2312" w:hAnsi="仿宋_GB2312" w:eastAsia="仿宋_GB2312"/>
          <w:sz w:val="32"/>
        </w:rPr>
        <w:t>组织教育教学、科学研究活动，保证教育教学质量。维护教职工利益，保障教职工合法权益，以教职工和学生的人生幸福和</w:t>
      </w:r>
      <w:r>
        <w:fldChar w:fldCharType="begin"/>
      </w:r>
      <w:r>
        <w:instrText xml:space="preserve"> HYPERLINK "http://www.baidu.com/s?wd=%E7%94%9F%E5%91%BD%E8%B4%A8%E9%87%8F&amp;tn=44039180_cpr&amp;fenlei=mv6quAkxTZn0IZRqIHckPjm4nH00T1YkPHwWnHDsm1nsmH6zujfk0ZwV5Hcvrjm3rH6sPfKWUMw85HfYnjn4nH6sgvPsT6KdThsqpZwYTjCEQLGCpyw9Uz4Bmy-bIi4WUvYETgN-TLwGUv3En1c1rj0kn1Ts" \t "_blank" </w:instrText>
      </w:r>
      <w:r>
        <w:fldChar w:fldCharType="separate"/>
      </w:r>
      <w:r>
        <w:rPr>
          <w:rFonts w:ascii="仿宋_GB2312" w:hAnsi="仿宋_GB2312" w:eastAsia="仿宋_GB2312"/>
          <w:sz w:val="32"/>
        </w:rPr>
        <w:t>生命质量</w:t>
      </w:r>
      <w:r>
        <w:rPr>
          <w:rFonts w:ascii="仿宋_GB2312" w:hAnsi="仿宋_GB2312" w:eastAsia="仿宋_GB2312"/>
          <w:sz w:val="32"/>
        </w:rPr>
        <w:fldChar w:fldCharType="end"/>
      </w:r>
      <w:r>
        <w:rPr>
          <w:rFonts w:ascii="仿宋_GB2312" w:hAnsi="仿宋_GB2312" w:eastAsia="仿宋_GB2312"/>
          <w:sz w:val="32"/>
        </w:rPr>
        <w:t>作为重点。</w:t>
      </w:r>
    </w:p>
    <w:p>
      <w:pPr>
        <w:pStyle w:val="6"/>
        <w:spacing w:line="560" w:lineRule="atLeast"/>
        <w:ind w:firstLine="640"/>
        <w:rPr>
          <w:rFonts w:hint="default" w:ascii="仿宋_GB2312" w:eastAsia="仿宋_GB2312"/>
          <w:sz w:val="32"/>
          <w:szCs w:val="32"/>
        </w:rPr>
      </w:pPr>
      <w:r>
        <w:rPr>
          <w:rFonts w:ascii="仿宋_GB2312" w:eastAsia="仿宋_GB2312"/>
          <w:sz w:val="32"/>
          <w:szCs w:val="32"/>
        </w:rPr>
        <w:t>（二）制定学校发展规划，并抓好组织实施和落实情况。</w:t>
      </w:r>
    </w:p>
    <w:p>
      <w:pPr>
        <w:pStyle w:val="6"/>
        <w:spacing w:line="560" w:lineRule="atLeast"/>
        <w:ind w:firstLine="640"/>
        <w:rPr>
          <w:rFonts w:hint="default" w:ascii="仿宋_GB2312" w:eastAsia="仿宋_GB2312"/>
          <w:sz w:val="32"/>
          <w:szCs w:val="32"/>
        </w:rPr>
      </w:pPr>
      <w:r>
        <w:rPr>
          <w:rFonts w:ascii="仿宋_GB2312" w:eastAsia="仿宋_GB2312"/>
          <w:sz w:val="32"/>
          <w:szCs w:val="32"/>
        </w:rPr>
        <w:t>（三）科学管理、合理使用学校的设施和经费，并积极筹措办学资金，改善办学条件。</w:t>
      </w:r>
    </w:p>
    <w:p>
      <w:pPr>
        <w:pStyle w:val="6"/>
        <w:spacing w:line="560" w:lineRule="atLeast"/>
        <w:ind w:firstLine="640"/>
        <w:rPr>
          <w:rFonts w:hint="default" w:ascii="仿宋_GB2312" w:eastAsia="仿宋_GB2312"/>
          <w:sz w:val="32"/>
          <w:szCs w:val="32"/>
        </w:rPr>
      </w:pPr>
      <w:r>
        <w:rPr>
          <w:rFonts w:ascii="仿宋_GB2312" w:eastAsia="仿宋_GB2312"/>
          <w:sz w:val="32"/>
          <w:szCs w:val="32"/>
        </w:rPr>
        <w:t>（四）依法接受各级教育行政部门的检查指导和人民群众的监督。</w:t>
      </w:r>
    </w:p>
    <w:p>
      <w:pPr>
        <w:spacing w:after="312" w:afterLines="100"/>
        <w:ind w:firstLine="640" w:firstLineChars="200"/>
        <w:rPr>
          <w:rFonts w:hint="default" w:ascii="仿宋_GB2312" w:hAnsi="仿宋_GB2312" w:eastAsia="仿宋_GB2312" w:cs="仿宋_GB2312"/>
          <w:b/>
          <w:bCs/>
          <w:color w:val="FF0000"/>
          <w:sz w:val="32"/>
          <w:szCs w:val="32"/>
        </w:rPr>
      </w:pPr>
      <w:r>
        <w:rPr>
          <w:rFonts w:ascii="黑体" w:eastAsia="黑体"/>
          <w:sz w:val="32"/>
          <w:szCs w:val="32"/>
        </w:rPr>
        <w:t>二、部门决算单位构成</w:t>
      </w:r>
    </w:p>
    <w:p>
      <w:pPr>
        <w:spacing w:after="312" w:afterLines="100"/>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沈阳市第六十三中学是纳入浑南区教育局2021年度部门决算编制范围的二级预算单位，本单位无下设机构。</w:t>
      </w:r>
    </w:p>
    <w:p>
      <w:pPr>
        <w:pStyle w:val="6"/>
        <w:numPr>
          <w:ilvl w:val="0"/>
          <w:numId w:val="2"/>
        </w:numPr>
        <w:spacing w:line="560" w:lineRule="exact"/>
        <w:jc w:val="center"/>
        <w:rPr>
          <w:rFonts w:hint="default"/>
          <w:b/>
          <w:sz w:val="36"/>
        </w:rPr>
      </w:pPr>
      <w:r>
        <w:rPr>
          <w:b/>
          <w:sz w:val="36"/>
        </w:rPr>
        <w:t>沈阳市第六十三中学2021年</w:t>
      </w:r>
    </w:p>
    <w:p>
      <w:pPr>
        <w:pStyle w:val="6"/>
        <w:spacing w:line="560" w:lineRule="exact"/>
        <w:ind w:firstLine="2891" w:firstLineChars="800"/>
        <w:rPr>
          <w:rFonts w:hint="default"/>
          <w:b/>
          <w:sz w:val="36"/>
        </w:rPr>
      </w:pPr>
      <w:r>
        <w:rPr>
          <w:b/>
          <w:sz w:val="36"/>
        </w:rPr>
        <w:t>决算情况说明</w:t>
      </w:r>
    </w:p>
    <w:p>
      <w:pPr>
        <w:pStyle w:val="6"/>
        <w:spacing w:line="560" w:lineRule="exact"/>
        <w:ind w:firstLine="640" w:firstLineChars="200"/>
        <w:rPr>
          <w:rFonts w:hint="default" w:ascii="黑体" w:eastAsia="黑体"/>
          <w:sz w:val="32"/>
        </w:rPr>
      </w:pP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一、收入支出决算总体情况说明</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（一）收入总计4676.09万元，包括：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1.财政拨款收入4247.06万元，占收入总计的90.83%。其中：一般公共预算财政拨款收入4247.06万元，政府性基金收入0万元，国有资本经营预算财政拨款收入0万元。</w:t>
      </w:r>
    </w:p>
    <w:p>
      <w:pPr>
        <w:spacing w:line="54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2</w:t>
      </w:r>
      <w:r>
        <w:rPr>
          <w:rFonts w:ascii="仿宋_GB2312" w:hAnsi="宋体" w:eastAsia="仿宋_GB2312"/>
          <w:sz w:val="32"/>
          <w:szCs w:val="32"/>
        </w:rPr>
        <w:t>.事业收入40万元，占收入总计的0.85%，主要是幼儿园保教费收入。</w:t>
      </w:r>
    </w:p>
    <w:p>
      <w:pPr>
        <w:spacing w:line="54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3</w:t>
      </w:r>
      <w:r>
        <w:rPr>
          <w:rFonts w:ascii="仿宋_GB2312" w:hAnsi="宋体" w:eastAsia="仿宋_GB2312"/>
          <w:sz w:val="32"/>
          <w:szCs w:val="32"/>
        </w:rPr>
        <w:t>.其他收入170.93万元，占收入总计的3.66%。主要是教育局拨入绩效工资等收入。</w:t>
      </w:r>
    </w:p>
    <w:p>
      <w:pPr>
        <w:spacing w:line="54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4</w:t>
      </w:r>
      <w:r>
        <w:rPr>
          <w:rFonts w:ascii="仿宋_GB2312" w:hAnsi="宋体" w:eastAsia="仿宋_GB2312"/>
          <w:sz w:val="32"/>
          <w:szCs w:val="32"/>
        </w:rPr>
        <w:t>.上年结转和结余218.10万元，占收入总计的4.66%。主要是上年结转和结余等。</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与上年相比，今年收入增加1064.49万元，增长29.47%，主要原因：</w:t>
      </w:r>
      <w:r>
        <w:rPr>
          <w:rFonts w:ascii="仿宋" w:hAnsi="仿宋" w:eastAsia="仿宋"/>
          <w:sz w:val="32"/>
          <w:szCs w:val="32"/>
        </w:rPr>
        <w:t>一是学生人数增加，公用经费增加；二是教师人数增加，人员经费增加</w:t>
      </w:r>
      <w:r>
        <w:rPr>
          <w:rFonts w:ascii="仿宋_GB2312" w:hAnsi="宋体" w:eastAsia="仿宋_GB2312"/>
          <w:sz w:val="32"/>
          <w:szCs w:val="32"/>
        </w:rPr>
        <w:t>。</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（二）支出总计4669.06万元，包括：</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1.基本支出3711.53万元，占支出总计的79.49%。主要是为保障机构正常运转、完成日常工作任务而发生的各项支出，其中：工资福利支出2475.88万元，对个人和家庭的补助支出833.39万元，商品和服务支出367.02万元，资本性支出35.24万元。</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2.项目支出957.53万元，占支出总计的20、51%。主要包括幼儿园经费、办公位供取暖费等业务支出。</w:t>
      </w:r>
    </w:p>
    <w:p>
      <w:pPr>
        <w:spacing w:line="540" w:lineRule="exact"/>
        <w:ind w:firstLine="640" w:firstLineChars="200"/>
        <w:rPr>
          <w:rFonts w:hint="default" w:ascii="仿宋_GB2312" w:hAnsi="宋体" w:eastAsia="仿宋_GB2312"/>
          <w:sz w:val="32"/>
          <w:szCs w:val="32"/>
        </w:rPr>
      </w:pPr>
      <w:r>
        <w:rPr>
          <w:rFonts w:ascii="仿宋_GB2312" w:hAnsi="宋体" w:eastAsia="仿宋_GB2312"/>
          <w:sz w:val="32"/>
          <w:szCs w:val="32"/>
        </w:rPr>
        <w:t>与上年相比，今年支出增加1057.46万元，增长29.28%，主要原因：</w:t>
      </w:r>
      <w:r>
        <w:rPr>
          <w:rFonts w:ascii="仿宋" w:hAnsi="仿宋" w:eastAsia="仿宋" w:cs="仿宋"/>
          <w:sz w:val="32"/>
          <w:szCs w:val="32"/>
        </w:rPr>
        <w:t>一是人员工资调整；二是项目增加</w:t>
      </w:r>
      <w:r>
        <w:rPr>
          <w:rFonts w:ascii="仿宋_GB2312" w:hAnsi="宋体" w:eastAsia="仿宋_GB2312"/>
          <w:sz w:val="32"/>
          <w:szCs w:val="32"/>
        </w:rPr>
        <w:t>。</w:t>
      </w:r>
    </w:p>
    <w:p>
      <w:pPr>
        <w:spacing w:line="540" w:lineRule="exact"/>
        <w:ind w:firstLine="660"/>
        <w:rPr>
          <w:rFonts w:hint="default" w:ascii="楷体_GB2312" w:hAnsi="宋体" w:eastAsia="楷体_GB2312"/>
          <w:b/>
          <w:sz w:val="32"/>
          <w:szCs w:val="32"/>
        </w:rPr>
      </w:pPr>
      <w:r>
        <w:rPr>
          <w:rFonts w:ascii="楷体_GB2312" w:hAnsi="宋体" w:eastAsia="楷体_GB2312"/>
          <w:b/>
          <w:sz w:val="32"/>
          <w:szCs w:val="32"/>
        </w:rPr>
        <w:t>（三）年末结转和结余7.03万元。</w:t>
      </w:r>
    </w:p>
    <w:p>
      <w:pPr>
        <w:spacing w:line="540" w:lineRule="exact"/>
        <w:ind w:firstLine="660"/>
        <w:rPr>
          <w:rFonts w:hint="eastAsia" w:ascii="仿宋_GB2312" w:hAnsi="仿宋_GB2312" w:eastAsia="仿宋_GB2312" w:cs="仿宋_GB2312"/>
          <w:sz w:val="32"/>
          <w:szCs w:val="32"/>
        </w:rPr>
      </w:pPr>
      <w:r>
        <w:rPr>
          <w:rFonts w:ascii="仿宋_GB2312" w:hAnsi="宋体" w:eastAsia="仿宋_GB2312"/>
          <w:sz w:val="32"/>
          <w:szCs w:val="32"/>
        </w:rPr>
        <w:t>主要是电费等原因形成的结余。与上年相比，今年结转结余减少1.92万元，降低21.45%，主要原因：</w:t>
      </w:r>
      <w:r>
        <w:rPr>
          <w:rFonts w:hint="eastAsia" w:ascii="仿宋_GB2312" w:hAnsi="仿宋_GB2312" w:eastAsia="仿宋_GB2312" w:cs="仿宋_GB2312"/>
          <w:sz w:val="32"/>
          <w:szCs w:val="32"/>
        </w:rPr>
        <w:t>幼儿收费减少 。</w:t>
      </w:r>
    </w:p>
    <w:p>
      <w:pPr>
        <w:pStyle w:val="6"/>
        <w:spacing w:line="560" w:lineRule="exact"/>
        <w:rPr>
          <w:rFonts w:hint="default" w:ascii="黑体" w:eastAsia="黑体"/>
          <w:sz w:val="32"/>
        </w:rPr>
      </w:pPr>
    </w:p>
    <w:p>
      <w:pPr>
        <w:pStyle w:val="6"/>
        <w:spacing w:line="560" w:lineRule="exact"/>
        <w:ind w:firstLine="320" w:firstLineChars="100"/>
        <w:rPr>
          <w:rFonts w:hint="default" w:ascii="黑体" w:eastAsia="黑体"/>
          <w:sz w:val="32"/>
        </w:rPr>
      </w:pPr>
      <w:r>
        <w:rPr>
          <w:rFonts w:ascii="黑体" w:eastAsia="黑体"/>
          <w:sz w:val="32"/>
        </w:rPr>
        <w:t>二、财政拨款收入支出决算情况说明</w:t>
      </w:r>
    </w:p>
    <w:p>
      <w:pPr>
        <w:pStyle w:val="6"/>
        <w:spacing w:line="560" w:lineRule="exact"/>
        <w:ind w:left="420" w:leftChars="200"/>
        <w:rPr>
          <w:rFonts w:hint="default" w:ascii="楷体_GB2312" w:eastAsia="楷体_GB2312"/>
          <w:b/>
          <w:sz w:val="32"/>
        </w:rPr>
      </w:pPr>
      <w:r>
        <w:rPr>
          <w:rFonts w:ascii="楷体_GB2312" w:eastAsia="楷体_GB2312"/>
          <w:b/>
          <w:sz w:val="32"/>
        </w:rPr>
        <w:t>（一）总体情况</w:t>
      </w:r>
    </w:p>
    <w:p>
      <w:pPr>
        <w:spacing w:line="540" w:lineRule="exact"/>
        <w:ind w:firstLine="660"/>
        <w:rPr>
          <w:rFonts w:hint="default" w:ascii="仿宋_GB2312" w:hAnsi="宋体" w:eastAsia="仿宋_GB2312"/>
          <w:sz w:val="32"/>
          <w:szCs w:val="32"/>
        </w:rPr>
      </w:pPr>
      <w:r>
        <w:rPr>
          <w:rFonts w:ascii="仿宋_GB2312" w:eastAsia="仿宋_GB2312"/>
          <w:sz w:val="32"/>
        </w:rPr>
        <w:t>2021年度财政拨款支出4456.91万元，其中：基本支出3711.53万元，项目支出745.38万元。与上年相比，财政拨款支出增加1057.46万元，增长29.28%，</w:t>
      </w:r>
      <w:r>
        <w:rPr>
          <w:rFonts w:ascii="仿宋_GB2312" w:hAnsi="宋体" w:eastAsia="仿宋_GB2312"/>
          <w:sz w:val="32"/>
          <w:szCs w:val="32"/>
        </w:rPr>
        <w:t>主要原因：</w:t>
      </w:r>
      <w:r>
        <w:rPr>
          <w:rFonts w:ascii="仿宋_GB2312" w:hAnsi="宋体" w:eastAsia="仿宋_GB2312" w:cs="Times New Roman"/>
          <w:sz w:val="32"/>
          <w:szCs w:val="32"/>
        </w:rPr>
        <w:t>人员经费和公用经费费增加，支出增加。与年初预算2745.29万元相比，2021年度财</w:t>
      </w:r>
      <w:r>
        <w:rPr>
          <w:rFonts w:ascii="仿宋_GB2312" w:hAnsi="宋体" w:eastAsia="仿宋_GB2312"/>
          <w:sz w:val="32"/>
          <w:szCs w:val="32"/>
        </w:rPr>
        <w:t>政拨款支出完成年初预算的162.35%，其中：基本支出完成年初预算的135.20%，学校没有单独安排项目支出年初预算，由教育局统一安排。</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pStyle w:val="6"/>
        <w:spacing w:line="560" w:lineRule="atLeast"/>
        <w:ind w:firstLine="660"/>
        <w:rPr>
          <w:rFonts w:hint="default" w:ascii="仿宋_GB2312" w:eastAsia="仿宋_GB2312"/>
          <w:sz w:val="32"/>
          <w:szCs w:val="32"/>
        </w:rPr>
      </w:pPr>
      <w:r>
        <w:rPr>
          <w:rFonts w:ascii="仿宋_GB2312" w:eastAsia="仿宋_GB2312"/>
          <w:sz w:val="32"/>
          <w:szCs w:val="32"/>
        </w:rPr>
        <w:t>2021年度一般公共预算财政拨款支出4456.91万元，包括：包括教育支出4039.02万元，社会保障与就业支出285.01万元，卫生健康支出132.88万元。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1.教育支出4039.02万元，包括：</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（1）普通教育支出3790.72万元，主要用于办公费、维修费、水电费等商品服务支出支出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（2）教育附加安排支出248.30万元，主要包括工资绩效支出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2.社会保障与就业支出285.01万元，包括：事业单位离退休6.57万元，养老支出223.72万元，职业年金支出54.72万元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3、卫生健康支出132.88万元，包括：单位医疗支出119.94万元，其他行政事业单位医疗支出12.94万元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pStyle w:val="6"/>
        <w:spacing w:line="560" w:lineRule="exact"/>
        <w:ind w:firstLine="640" w:firstLineChars="200"/>
        <w:rPr>
          <w:rFonts w:hint="default" w:ascii="黑体" w:eastAsia="黑体"/>
          <w:sz w:val="32"/>
        </w:rPr>
      </w:pPr>
      <w:r>
        <w:rPr>
          <w:rFonts w:ascii="黑体" w:eastAsia="黑体"/>
          <w:sz w:val="32"/>
        </w:rPr>
        <w:t>三、一般公共预算财政拨款“三公”经费支出决算情况说明</w:t>
      </w:r>
    </w:p>
    <w:p>
      <w:pPr>
        <w:spacing w:line="540" w:lineRule="exact"/>
        <w:ind w:firstLine="640" w:firstLineChars="200"/>
        <w:rPr>
          <w:rFonts w:hint="default" w:ascii="仿宋_GB2312" w:hAnsi="宋体" w:eastAsia="仿宋_GB2312"/>
          <w:sz w:val="32"/>
          <w:szCs w:val="32"/>
        </w:rPr>
      </w:pPr>
      <w:r>
        <w:rPr>
          <w:rFonts w:ascii="仿宋_GB2312" w:hAnsi="宋体" w:eastAsia="仿宋_GB2312"/>
          <w:sz w:val="32"/>
          <w:szCs w:val="32"/>
        </w:rPr>
        <w:t>2021年度一般公共预算财政拨款安排的“三公”经费支出1.79万元，</w:t>
      </w:r>
      <w:r>
        <w:rPr>
          <w:rFonts w:ascii="仿宋_GB2312" w:eastAsia="仿宋_GB2312"/>
          <w:sz w:val="32"/>
        </w:rPr>
        <w:t>我单位没有安排</w:t>
      </w:r>
      <w:r>
        <w:rPr>
          <w:rFonts w:ascii="仿宋_GB2312" w:eastAsia="仿宋_GB2312"/>
          <w:sz w:val="32"/>
          <w:szCs w:val="32"/>
        </w:rPr>
        <w:t>“三公”</w:t>
      </w:r>
      <w:r>
        <w:rPr>
          <w:rFonts w:ascii="仿宋_GB2312" w:eastAsia="仿宋_GB2312"/>
          <w:sz w:val="32"/>
        </w:rPr>
        <w:t>经费年初预算，决算数大于年初预算数的主要原因是</w:t>
      </w:r>
      <w:r>
        <w:rPr>
          <w:rFonts w:ascii="仿宋_GB2312" w:hAnsi="宋体" w:eastAsia="仿宋_GB2312"/>
          <w:sz w:val="32"/>
          <w:szCs w:val="32"/>
        </w:rPr>
        <w:t>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其中：因公出国（境）费0万元，公务接待费0万元，公务用车购置及运行维护费1.79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spacing w:line="540" w:lineRule="exact"/>
        <w:ind w:firstLine="645"/>
        <w:rPr>
          <w:rFonts w:hint="default" w:ascii="仿宋_GB2312" w:hAnsi="宋体" w:eastAsia="仿宋_GB2312"/>
          <w:sz w:val="32"/>
          <w:szCs w:val="32"/>
        </w:rPr>
      </w:pPr>
      <w:r>
        <w:rPr>
          <w:rFonts w:ascii="仿宋_GB2312" w:eastAsia="仿宋_GB2312"/>
          <w:sz w:val="32"/>
        </w:rPr>
        <w:t>2.公务接待费0万元，未安排年初预算，决算数等于年初预算数的主要原因是无此任务。2021年国内公务接待累计0批次、0人、0万元。2021年公务接待费比上年减少0万元，下降0%，主要是2020年及2021年均无公务招待。</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3.</w:t>
      </w:r>
      <w:r>
        <w:t xml:space="preserve"> </w:t>
      </w:r>
      <w:r>
        <w:rPr>
          <w:rFonts w:ascii="仿宋_GB2312" w:hAnsi="宋体" w:eastAsia="仿宋_GB2312"/>
          <w:sz w:val="32"/>
          <w:szCs w:val="32"/>
        </w:rPr>
        <w:t>公务用车购置及运行费1.79万元，占“三公”经费支出的100%。比上年增加0.46万元，增长34.59%，主要是车辆外出增加及有料涨价因素。</w:t>
      </w:r>
    </w:p>
    <w:p>
      <w:pPr>
        <w:spacing w:line="540" w:lineRule="exact"/>
        <w:ind w:firstLine="645"/>
        <w:rPr>
          <w:rFonts w:hint="default" w:ascii="仿宋_GB2312" w:eastAsia="仿宋_GB2312"/>
          <w:sz w:val="32"/>
        </w:rPr>
      </w:pPr>
      <w:r>
        <w:rPr>
          <w:rFonts w:ascii="仿宋_GB2312" w:hAnsi="宋体" w:eastAsia="仿宋_GB2312"/>
          <w:sz w:val="32"/>
          <w:szCs w:val="32"/>
        </w:rPr>
        <w:t>其中：</w:t>
      </w:r>
      <w:r>
        <w:rPr>
          <w:rFonts w:ascii="仿宋_GB2312" w:eastAsia="仿宋_GB2312"/>
          <w:sz w:val="32"/>
        </w:rPr>
        <w:t>公务用车购置费0万元，完成年初预算的0%，</w:t>
      </w:r>
      <w:r>
        <w:rPr>
          <w:rFonts w:ascii="仿宋_GB2312" w:eastAsia="仿宋_GB2312" w:cs="Times New Roman"/>
          <w:kern w:val="0"/>
          <w:sz w:val="32"/>
          <w:szCs w:val="32"/>
        </w:rPr>
        <w:t>与上年一致，</w:t>
      </w:r>
      <w:r>
        <w:rPr>
          <w:rFonts w:ascii="仿宋_GB2312" w:eastAsia="仿宋_GB2312"/>
          <w:sz w:val="32"/>
        </w:rPr>
        <w:t>当年无购置公务用车。</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公务用车运行维护费1.79万元，</w:t>
      </w:r>
      <w:r>
        <w:rPr>
          <w:rFonts w:ascii="仿宋_GB2312" w:eastAsia="仿宋_GB2312"/>
          <w:sz w:val="32"/>
        </w:rPr>
        <w:t>主要用于加油费、维修维护、车检等费用</w:t>
      </w:r>
      <w:r>
        <w:rPr>
          <w:rFonts w:hint="default" w:ascii="仿宋_GB2312" w:eastAsia="仿宋_GB2312"/>
          <w:sz w:val="32"/>
        </w:rPr>
        <w:t>,</w:t>
      </w:r>
      <w:r>
        <w:rPr>
          <w:rFonts w:ascii="仿宋_GB2312" w:eastAsia="仿宋_GB2312"/>
          <w:sz w:val="32"/>
        </w:rPr>
        <w:t>截至年末使用一般公共预算财政拨款开支的公务用车保有量1辆。决算数大于年初预算数的原因主要是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3711.53万元，其中：人员经费3309.27万元，主要包括基本工资、津贴补贴、奖金、其他社会保障缴费、机关事业单位基本养老保险缴费、其他工资福利支出、离休费、退休费、抚恤金、生活补助、奖励金、住房公积金、采暖补贴、其他对个人和家庭补助的支出；日常公用经费402.26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2021年机关运行经费支出0万元，与上年持平，主要原因是我单位属于事业单位，无机关运行经费。</w:t>
      </w:r>
    </w:p>
    <w:p>
      <w:pPr>
        <w:pStyle w:val="6"/>
        <w:spacing w:line="560" w:lineRule="exact"/>
        <w:ind w:firstLine="643" w:firstLineChars="200"/>
        <w:rPr>
          <w:rFonts w:hint="default" w:ascii="楷体_GB2312" w:eastAsia="楷体_GB2312"/>
          <w:b/>
          <w:color w:val="000000" w:themeColor="text1"/>
          <w:sz w:val="32"/>
          <w14:textFill>
            <w14:solidFill>
              <w14:schemeClr w14:val="tx1"/>
            </w14:solidFill>
          </w14:textFill>
        </w:rPr>
      </w:pPr>
      <w:r>
        <w:rPr>
          <w:rFonts w:ascii="楷体_GB2312" w:eastAsia="楷体_GB2312"/>
          <w:b/>
          <w:color w:val="000000" w:themeColor="text1"/>
          <w:sz w:val="32"/>
          <w14:textFill>
            <w14:solidFill>
              <w14:schemeClr w14:val="tx1"/>
            </w14:solidFill>
          </w14:textFill>
        </w:rPr>
        <w:t>（二）政府采购支出情况。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2021年政府采购支出总额0万元，其中：政府采购货物支出0万元，政府采购工程支出0万元，政府采购服务支出0万元。</w:t>
      </w:r>
    </w:p>
    <w:p>
      <w:pPr>
        <w:pStyle w:val="6"/>
        <w:spacing w:line="560" w:lineRule="exact"/>
        <w:ind w:firstLine="643" w:firstLineChars="200"/>
        <w:rPr>
          <w:rFonts w:hint="default" w:ascii="楷体_GB2312" w:eastAsia="楷体_GB2312"/>
          <w:b/>
          <w:sz w:val="32"/>
        </w:rPr>
      </w:pPr>
      <w:r>
        <w:rPr>
          <w:rFonts w:ascii="楷体_GB2312" w:eastAsia="楷体_GB2312"/>
          <w:b/>
          <w:sz w:val="32"/>
        </w:rPr>
        <w:t>（三）国有资产占用情况。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截至2021年12月31日，共有车辆1辆，为应急保障用车，其中：</w:t>
      </w:r>
      <w:r>
        <w:rPr>
          <w:rFonts w:ascii="仿宋_GB2312" w:hAnsi="宋体" w:eastAsia="仿宋_GB2312" w:cs="宋体"/>
          <w:kern w:val="0"/>
          <w:sz w:val="32"/>
          <w:szCs w:val="32"/>
        </w:rPr>
        <w:t>一般公务用车0辆。</w:t>
      </w:r>
      <w:r>
        <w:rPr>
          <w:rFonts w:ascii="仿宋_GB2312" w:hAnsi="黑体" w:eastAsia="仿宋_GB2312"/>
          <w:sz w:val="32"/>
          <w:szCs w:val="32"/>
        </w:rPr>
        <w:t>单位价值50万元以上通用设备0台（套），单价100万元以上专用设备0台（套）。</w:t>
      </w:r>
    </w:p>
    <w:p>
      <w:pPr>
        <w:widowControl/>
        <w:spacing w:line="560" w:lineRule="exact"/>
        <w:ind w:firstLine="643" w:firstLineChars="200"/>
        <w:rPr>
          <w:rFonts w:hint="default" w:ascii="楷体_GB2312" w:eastAsia="楷体_GB2312"/>
          <w:b/>
          <w:sz w:val="32"/>
        </w:rPr>
      </w:pPr>
      <w:r>
        <w:rPr>
          <w:rFonts w:ascii="楷体_GB2312" w:eastAsia="楷体_GB2312"/>
          <w:b/>
          <w:sz w:val="32"/>
        </w:rPr>
        <w:t>（四）预算绩效管理工作开展情况。</w:t>
      </w:r>
    </w:p>
    <w:p>
      <w:pPr>
        <w:widowControl/>
        <w:spacing w:line="560" w:lineRule="exact"/>
        <w:ind w:left="420" w:leftChars="200" w:firstLine="320" w:firstLineChars="100"/>
        <w:rPr>
          <w:rFonts w:hint="default"/>
          <w:b/>
          <w:sz w:val="36"/>
        </w:rPr>
      </w:pPr>
      <w:r>
        <w:rPr>
          <w:rFonts w:ascii="仿宋_GB2312" w:hAnsi="黑体" w:eastAsia="仿宋_GB2312" w:cs="Times New Roman"/>
          <w:sz w:val="32"/>
          <w:szCs w:val="32"/>
        </w:rPr>
        <w:t>2021年不涉及民生项目和重点支出项目。</w:t>
      </w:r>
      <w:r>
        <w:rPr>
          <w:rFonts w:ascii="仿宋_GB2312" w:hAnsi="黑体" w:eastAsia="仿宋_GB2312" w:cs="Times New Roman"/>
          <w:sz w:val="32"/>
          <w:szCs w:val="32"/>
        </w:rPr>
        <w:br w:type="page"/>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425"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沈阳市浑南区第一小学2021年度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2257D2"/>
    <w:multiLevelType w:val="singleLevel"/>
    <w:tmpl w:val="BB2257D2"/>
    <w:lvl w:ilvl="0" w:tentative="0">
      <w:start w:val="2"/>
      <w:numFmt w:val="chineseCounting"/>
      <w:suff w:val="space"/>
      <w:lvlText w:val="第%1部分"/>
      <w:lvlJc w:val="left"/>
      <w:rPr>
        <w:rFonts w:hint="eastAsia"/>
      </w:r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0D5F26"/>
    <w:rsid w:val="00100607"/>
    <w:rsid w:val="00175B2D"/>
    <w:rsid w:val="001D0B4A"/>
    <w:rsid w:val="00222336"/>
    <w:rsid w:val="00320394"/>
    <w:rsid w:val="00342E31"/>
    <w:rsid w:val="0038444A"/>
    <w:rsid w:val="00387684"/>
    <w:rsid w:val="0044142C"/>
    <w:rsid w:val="00485722"/>
    <w:rsid w:val="004D74A7"/>
    <w:rsid w:val="00505889"/>
    <w:rsid w:val="005812D3"/>
    <w:rsid w:val="005814A4"/>
    <w:rsid w:val="00590A8D"/>
    <w:rsid w:val="005C4DCE"/>
    <w:rsid w:val="006D18E7"/>
    <w:rsid w:val="007012C0"/>
    <w:rsid w:val="00753B9D"/>
    <w:rsid w:val="00756329"/>
    <w:rsid w:val="007F2DA7"/>
    <w:rsid w:val="007F77B9"/>
    <w:rsid w:val="008040A1"/>
    <w:rsid w:val="00954778"/>
    <w:rsid w:val="00A17144"/>
    <w:rsid w:val="00A5357A"/>
    <w:rsid w:val="00A57A14"/>
    <w:rsid w:val="00AC236A"/>
    <w:rsid w:val="00B54181"/>
    <w:rsid w:val="00BC09C4"/>
    <w:rsid w:val="00D23C1B"/>
    <w:rsid w:val="00DC3915"/>
    <w:rsid w:val="00E4305D"/>
    <w:rsid w:val="00F10790"/>
    <w:rsid w:val="00F16B2B"/>
    <w:rsid w:val="00F67249"/>
    <w:rsid w:val="00F724E9"/>
    <w:rsid w:val="048A62CE"/>
    <w:rsid w:val="09C4782E"/>
    <w:rsid w:val="0ECB7368"/>
    <w:rsid w:val="0F5C3E92"/>
    <w:rsid w:val="111222EB"/>
    <w:rsid w:val="11612EA5"/>
    <w:rsid w:val="12BD24FE"/>
    <w:rsid w:val="13D4106B"/>
    <w:rsid w:val="1A3966CB"/>
    <w:rsid w:val="1BBD4773"/>
    <w:rsid w:val="1C635C29"/>
    <w:rsid w:val="1DA45EC1"/>
    <w:rsid w:val="22877591"/>
    <w:rsid w:val="23503E27"/>
    <w:rsid w:val="23737E80"/>
    <w:rsid w:val="259D531E"/>
    <w:rsid w:val="26284BE7"/>
    <w:rsid w:val="2E282F27"/>
    <w:rsid w:val="2E4F6256"/>
    <w:rsid w:val="31AA525F"/>
    <w:rsid w:val="36230505"/>
    <w:rsid w:val="3A830B2E"/>
    <w:rsid w:val="3E1026D9"/>
    <w:rsid w:val="3E843E30"/>
    <w:rsid w:val="42F66D16"/>
    <w:rsid w:val="43DF5027"/>
    <w:rsid w:val="45C226BA"/>
    <w:rsid w:val="45F04A21"/>
    <w:rsid w:val="491F7CB6"/>
    <w:rsid w:val="4DF90002"/>
    <w:rsid w:val="50541B71"/>
    <w:rsid w:val="51C712C4"/>
    <w:rsid w:val="52F448FA"/>
    <w:rsid w:val="54F6469B"/>
    <w:rsid w:val="564F5444"/>
    <w:rsid w:val="58475F8F"/>
    <w:rsid w:val="59A33FA9"/>
    <w:rsid w:val="5ADE040C"/>
    <w:rsid w:val="5B196A77"/>
    <w:rsid w:val="5B697371"/>
    <w:rsid w:val="5C827B2E"/>
    <w:rsid w:val="636B0E18"/>
    <w:rsid w:val="660F20DE"/>
    <w:rsid w:val="673C6F2C"/>
    <w:rsid w:val="69F04FE9"/>
    <w:rsid w:val="6A661AE5"/>
    <w:rsid w:val="724179B2"/>
    <w:rsid w:val="73620B6D"/>
    <w:rsid w:val="7C6A6C95"/>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12</Pages>
  <Words>3875</Words>
  <Characters>4303</Characters>
  <Lines>33</Lines>
  <Paragraphs>9</Paragraphs>
  <TotalTime>1</TotalTime>
  <ScaleCrop>false</ScaleCrop>
  <LinksUpToDate>false</LinksUpToDate>
  <CharactersWithSpaces>4329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2023-05-15T08:57:00Z</cp:lastPrinted>
  <dcterms:modified xsi:type="dcterms:W3CDTF">2023-06-20T02:48:31Z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