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沈阳市第七十二中学</w:t>
      </w: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ascii="黑体" w:hAnsi="黑体" w:eastAsia="黑体"/>
          <w:sz w:val="32"/>
        </w:rPr>
        <w:t>沈阳市第七十二中学概况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ascii="黑体" w:hAnsi="黑体" w:eastAsia="黑体"/>
          <w:sz w:val="32"/>
        </w:rPr>
        <w:t>沈阳市第七十二中学</w:t>
      </w:r>
      <w:r>
        <w:rPr>
          <w:rFonts w:ascii="黑体" w:hAnsi="黑体" w:eastAsia="黑体"/>
          <w:sz w:val="32"/>
          <w:szCs w:val="32"/>
        </w:rPr>
        <w:t>2021年决算情况说明</w:t>
      </w:r>
      <w:r>
        <w:rPr>
          <w:rFonts w:ascii="黑体" w:eastAsia="黑体"/>
          <w:sz w:val="32"/>
        </w:rPr>
        <w:t xml:space="preserve"> </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hAnsi="黑体" w:eastAsia="黑体"/>
          <w:sz w:val="32"/>
          <w:szCs w:val="32"/>
        </w:rPr>
      </w:pPr>
      <w:r>
        <w:rPr>
          <w:rFonts w:ascii="黑体" w:eastAsia="黑体"/>
          <w:sz w:val="32"/>
        </w:rPr>
        <w:t xml:space="preserve">第四部分    </w:t>
      </w:r>
      <w:r>
        <w:rPr>
          <w:rFonts w:ascii="黑体" w:hAnsi="黑体" w:eastAsia="黑体"/>
          <w:sz w:val="32"/>
        </w:rPr>
        <w:t>沈阳市第七十二中学</w:t>
      </w:r>
      <w:r>
        <w:rPr>
          <w:rFonts w:ascii="黑体" w:hAnsi="黑体" w:eastAsia="黑体"/>
          <w:sz w:val="32"/>
          <w:szCs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ascii="黑体" w:eastAsia="黑体"/>
          <w:sz w:val="32"/>
        </w:rPr>
      </w:pPr>
      <w:r>
        <w:rPr>
          <w:b/>
          <w:sz w:val="36"/>
          <w:szCs w:val="36"/>
        </w:rPr>
        <w:t xml:space="preserve">第一部分 </w:t>
      </w:r>
      <w:r>
        <w:rPr>
          <w:rFonts w:cs="宋体"/>
          <w:b/>
          <w:bCs/>
          <w:sz w:val="36"/>
          <w:szCs w:val="36"/>
        </w:rPr>
        <w:t>沈阳市第七十二中学概况</w:t>
      </w:r>
    </w:p>
    <w:p>
      <w:pPr>
        <w:spacing w:line="540" w:lineRule="exact"/>
        <w:ind w:firstLine="640" w:firstLineChars="200"/>
        <w:jc w:val="left"/>
        <w:rPr>
          <w:rFonts w:hint="default" w:ascii="黑体" w:eastAsia="黑体"/>
          <w:sz w:val="32"/>
          <w:szCs w:val="32"/>
        </w:rPr>
      </w:pPr>
      <w:r>
        <w:rPr>
          <w:rFonts w:ascii="黑体" w:eastAsia="黑体"/>
          <w:sz w:val="32"/>
          <w:szCs w:val="32"/>
        </w:rPr>
        <w:t>一、主要职责</w:t>
      </w:r>
    </w:p>
    <w:p>
      <w:pPr>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sz w:val="32"/>
        </w:rPr>
        <w:t>（一）我校是沈阳市浑南区所属九年一贯制学校，属于全额拨款单位，业务范围是实施本地区学前教育和1—9年级义务教育，宗旨是促进基础教育发展，保质保量地完成本学区义务教育阶段教育教学工作。</w:t>
      </w:r>
    </w:p>
    <w:p>
      <w:pPr>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sz w:val="32"/>
        </w:rPr>
        <w:t>1、全面贯彻国家教育方针，即教育必须为社会主义现代化建设服务、为人民服务，必须与生产劳动和社会实践相结合，培养德、智、体、美等方面全面发展的社会主义建设者和接班人。</w:t>
      </w:r>
    </w:p>
    <w:p>
      <w:pPr>
        <w:ind w:firstLine="640" w:firstLineChars="200"/>
        <w:jc w:val="left"/>
        <w:rPr>
          <w:rFonts w:hint="eastAsia" w:ascii="仿宋_GB2312" w:hAnsi="仿宋_GB2312" w:eastAsia="仿宋_GB2312" w:cs="仿宋_GB2312"/>
          <w:bCs/>
          <w:sz w:val="32"/>
        </w:rPr>
      </w:pPr>
      <w:r>
        <w:rPr>
          <w:rFonts w:hint="eastAsia" w:ascii="仿宋_GB2312" w:hAnsi="仿宋_GB2312" w:eastAsia="仿宋_GB2312" w:cs="仿宋_GB2312"/>
          <w:bCs/>
          <w:sz w:val="32"/>
        </w:rPr>
        <w:t>2、组织教育教学、科学研究活动，保证教育教学质量。维护教职工利益，保障教职工合法权益，以教职工和学生的人生幸福和生命质量作为重点。制定学校发展规划，并抓好组织实施和落实情况。科学管理、合理使用学校的设施和经费，并积极筹措办学资金，改善办学条件。依法接受各级教育行政部门的检查指导和人民群众的监督。</w:t>
      </w:r>
    </w:p>
    <w:p>
      <w:pPr>
        <w:ind w:firstLine="640" w:firstLineChars="200"/>
        <w:jc w:val="left"/>
        <w:rPr>
          <w:rFonts w:hint="eastAsia" w:ascii="仿宋_GB2312" w:hAnsi="仿宋_GB2312" w:eastAsia="仿宋_GB2312" w:cs="仿宋_GB2312"/>
          <w:bCs/>
          <w:sz w:val="32"/>
        </w:rPr>
      </w:pPr>
      <w:r>
        <w:rPr>
          <w:rFonts w:hint="eastAsia" w:ascii="仿宋_GB2312" w:hAnsi="仿宋_GB2312" w:eastAsia="仿宋_GB2312" w:cs="仿宋_GB2312"/>
          <w:bCs/>
          <w:sz w:val="32"/>
        </w:rPr>
        <w:t>3、财务管理方面：</w:t>
      </w:r>
    </w:p>
    <w:p>
      <w:pPr>
        <w:ind w:firstLine="640" w:firstLineChars="200"/>
        <w:jc w:val="left"/>
        <w:rPr>
          <w:rFonts w:hint="eastAsia" w:ascii="仿宋_GB2312" w:hAnsi="仿宋_GB2312" w:eastAsia="仿宋_GB2312" w:cs="仿宋_GB2312"/>
          <w:bCs/>
          <w:sz w:val="32"/>
        </w:rPr>
      </w:pPr>
      <w:r>
        <w:rPr>
          <w:rFonts w:hint="eastAsia" w:ascii="仿宋_GB2312" w:hAnsi="仿宋_GB2312" w:eastAsia="仿宋_GB2312" w:cs="仿宋_GB2312"/>
          <w:bCs/>
          <w:sz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640" w:firstLineChars="200"/>
        <w:jc w:val="left"/>
        <w:rPr>
          <w:rFonts w:hint="eastAsia" w:ascii="仿宋_GB2312" w:hAnsi="仿宋_GB2312" w:eastAsia="仿宋_GB2312" w:cs="仿宋_GB2312"/>
          <w:bCs/>
          <w:sz w:val="32"/>
        </w:rPr>
      </w:pPr>
      <w:r>
        <w:rPr>
          <w:rFonts w:hint="eastAsia" w:ascii="仿宋_GB2312" w:hAnsi="仿宋_GB2312" w:eastAsia="仿宋_GB2312" w:cs="仿宋_GB2312"/>
          <w:bCs/>
          <w:sz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ind w:firstLine="640" w:firstLineChars="200"/>
        <w:jc w:val="left"/>
        <w:rPr>
          <w:rFonts w:hint="eastAsia" w:ascii="仿宋_GB2312" w:hAnsi="仿宋_GB2312" w:eastAsia="仿宋_GB2312" w:cs="仿宋_GB2312"/>
          <w:bCs/>
          <w:sz w:val="32"/>
        </w:rPr>
      </w:pPr>
      <w:r>
        <w:rPr>
          <w:rFonts w:hint="eastAsia" w:ascii="仿宋_GB2312" w:hAnsi="仿宋_GB2312" w:eastAsia="仿宋_GB2312" w:cs="仿宋_GB2312"/>
          <w:bCs/>
          <w:sz w:val="32"/>
        </w:rPr>
        <w:t>（二）内设机构：我校为公益一类、全额拨款事业单位。</w:t>
      </w:r>
    </w:p>
    <w:p>
      <w:pPr>
        <w:ind w:firstLine="640" w:firstLineChars="200"/>
        <w:jc w:val="left"/>
        <w:rPr>
          <w:rFonts w:hint="eastAsia" w:ascii="仿宋_GB2312" w:hAnsi="仿宋_GB2312" w:eastAsia="仿宋_GB2312" w:cs="仿宋_GB2312"/>
          <w:bCs/>
          <w:sz w:val="32"/>
        </w:rPr>
      </w:pPr>
      <w:r>
        <w:rPr>
          <w:rFonts w:hint="eastAsia" w:ascii="仿宋_GB2312" w:hAnsi="仿宋_GB2312" w:eastAsia="仿宋_GB2312" w:cs="仿宋_GB2312"/>
          <w:bCs/>
          <w:sz w:val="32"/>
        </w:rPr>
        <w:t>内设机构有：教导处、德育处、总务处、办公室、团委。</w:t>
      </w:r>
    </w:p>
    <w:p>
      <w:pPr>
        <w:ind w:firstLine="640" w:firstLineChars="200"/>
        <w:jc w:val="left"/>
        <w:rPr>
          <w:rFonts w:hint="default" w:ascii="宋体" w:hAnsi="宋体" w:cs="宋体"/>
          <w:bCs/>
          <w:sz w:val="32"/>
        </w:rPr>
      </w:pPr>
      <w:r>
        <w:rPr>
          <w:rFonts w:hint="eastAsia" w:ascii="仿宋_GB2312" w:hAnsi="仿宋_GB2312" w:eastAsia="仿宋_GB2312" w:cs="仿宋_GB2312"/>
          <w:bCs/>
          <w:sz w:val="32"/>
        </w:rPr>
        <w:t>（三）人员编制：根据沈阳市浑南区机构编制委员会办公室下发的沈浑南编办发文件，我校的编制数为92人。</w:t>
      </w:r>
    </w:p>
    <w:p>
      <w:pPr>
        <w:spacing w:after="312" w:afterLines="100"/>
        <w:ind w:firstLine="640" w:firstLineChars="200"/>
        <w:rPr>
          <w:rFonts w:hint="default" w:ascii="黑体" w:eastAsia="黑体"/>
          <w:sz w:val="32"/>
          <w:szCs w:val="32"/>
        </w:rPr>
      </w:pPr>
      <w:r>
        <w:rPr>
          <w:rFonts w:ascii="黑体" w:eastAsia="黑体"/>
          <w:sz w:val="32"/>
          <w:szCs w:val="32"/>
        </w:rPr>
        <w:t>二、决算单位构成</w:t>
      </w:r>
    </w:p>
    <w:p>
      <w:pPr>
        <w:spacing w:after="312" w:afterLines="100"/>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沈阳市第七十二中学是纳入浑南区教育局2021年度决算编制范围的二级预算单位，本单位无下设机构。</w:t>
      </w:r>
    </w:p>
    <w:p>
      <w:pPr>
        <w:spacing w:line="540" w:lineRule="exact"/>
        <w:jc w:val="center"/>
        <w:rPr>
          <w:rFonts w:hint="default" w:ascii="宋体" w:hAnsi="宋体"/>
          <w:b/>
          <w:sz w:val="36"/>
          <w:szCs w:val="36"/>
        </w:rPr>
      </w:pPr>
      <w:r>
        <w:rPr>
          <w:rFonts w:ascii="宋体" w:hAnsi="宋体"/>
          <w:b/>
          <w:sz w:val="36"/>
          <w:szCs w:val="36"/>
        </w:rPr>
        <w:t xml:space="preserve">第二部分 </w:t>
      </w:r>
      <w:r>
        <w:rPr>
          <w:rFonts w:ascii="宋体" w:hAnsi="宋体"/>
          <w:b/>
          <w:sz w:val="36"/>
        </w:rPr>
        <w:t>沈阳市第七十二中学</w:t>
      </w:r>
      <w:r>
        <w:rPr>
          <w:rFonts w:ascii="宋体" w:hAnsi="宋体"/>
          <w:b/>
          <w:sz w:val="36"/>
          <w:szCs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（一）收入总计2458.20万元，包括：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1.财政拨款收入2312.07万元，占收入总计的94.06%。其中：一般公共预算财政拨款收入2312.07万元，政府性基金收入0万元，国有资本经营预算财政拨款收入0万元。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.事业收入6.26万元，占收入总计的0.25%。主要是</w:t>
      </w:r>
      <w:r>
        <w:rPr>
          <w:rFonts w:ascii="仿宋_GB2312" w:eastAsia="仿宋_GB2312"/>
          <w:sz w:val="32"/>
          <w:szCs w:val="32"/>
        </w:rPr>
        <w:t>幼儿园保教费</w:t>
      </w:r>
      <w:r>
        <w:rPr>
          <w:rFonts w:ascii="仿宋_GB2312" w:eastAsia="仿宋_GB2312"/>
          <w:sz w:val="32"/>
        </w:rPr>
        <w:t>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.其他收入71.97万元，占收入总计的2.93%。主要是教育局转2020年绩效工资71.97万元。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.上年结转和结余67.90万元，占收入总计的2.76%。主要是一、结转事业基金5.40万元；二、</w:t>
      </w:r>
      <w:r>
        <w:rPr>
          <w:rFonts w:hint="default" w:ascii="仿宋_GB2312" w:eastAsia="仿宋_GB2312"/>
          <w:sz w:val="32"/>
        </w:rPr>
        <w:t>教育局归集调入</w:t>
      </w:r>
      <w:r>
        <w:rPr>
          <w:rFonts w:ascii="仿宋_GB2312" w:eastAsia="仿宋_GB2312"/>
          <w:sz w:val="32"/>
        </w:rPr>
        <w:t>：(1)</w:t>
      </w:r>
      <w:r>
        <w:rPr>
          <w:rFonts w:hint="default" w:ascii="仿宋_GB2312" w:eastAsia="仿宋_GB2312"/>
          <w:sz w:val="32"/>
        </w:rPr>
        <w:t>弹性离校18</w:t>
      </w:r>
      <w:r>
        <w:rPr>
          <w:rFonts w:ascii="仿宋_GB2312" w:eastAsia="仿宋_GB2312"/>
          <w:sz w:val="32"/>
        </w:rPr>
        <w:t>.</w:t>
      </w:r>
      <w:r>
        <w:rPr>
          <w:rFonts w:hint="default" w:ascii="仿宋_GB2312" w:eastAsia="仿宋_GB2312"/>
          <w:sz w:val="32"/>
        </w:rPr>
        <w:t>12</w:t>
      </w:r>
      <w:r>
        <w:rPr>
          <w:rFonts w:ascii="仿宋_GB2312" w:eastAsia="仿宋_GB2312"/>
          <w:sz w:val="32"/>
        </w:rPr>
        <w:t>万</w:t>
      </w:r>
      <w:r>
        <w:rPr>
          <w:rFonts w:hint="default" w:ascii="仿宋_GB2312" w:eastAsia="仿宋_GB2312"/>
          <w:sz w:val="32"/>
        </w:rPr>
        <w:t>元</w:t>
      </w:r>
      <w:r>
        <w:rPr>
          <w:rFonts w:ascii="仿宋_GB2312" w:eastAsia="仿宋_GB2312"/>
          <w:sz w:val="32"/>
        </w:rPr>
        <w:t>; (2)</w:t>
      </w:r>
      <w:r>
        <w:rPr>
          <w:rFonts w:hint="default" w:ascii="仿宋_GB2312" w:eastAsia="仿宋_GB2312"/>
          <w:sz w:val="32"/>
        </w:rPr>
        <w:t>市转移支付资金33</w:t>
      </w:r>
      <w:r>
        <w:rPr>
          <w:rFonts w:ascii="仿宋_GB2312" w:eastAsia="仿宋_GB2312"/>
          <w:sz w:val="32"/>
        </w:rPr>
        <w:t>.</w:t>
      </w:r>
      <w:r>
        <w:rPr>
          <w:rFonts w:hint="default" w:ascii="仿宋_GB2312" w:eastAsia="仿宋_GB2312"/>
          <w:sz w:val="32"/>
        </w:rPr>
        <w:t>48</w:t>
      </w:r>
      <w:r>
        <w:rPr>
          <w:rFonts w:ascii="仿宋_GB2312" w:eastAsia="仿宋_GB2312"/>
          <w:sz w:val="32"/>
        </w:rPr>
        <w:t>万</w:t>
      </w:r>
      <w:r>
        <w:rPr>
          <w:rFonts w:hint="default" w:ascii="仿宋_GB2312" w:eastAsia="仿宋_GB2312"/>
          <w:sz w:val="32"/>
        </w:rPr>
        <w:t>元</w:t>
      </w:r>
      <w:r>
        <w:rPr>
          <w:rFonts w:ascii="仿宋_GB2312" w:eastAsia="仿宋_GB2312"/>
          <w:sz w:val="32"/>
        </w:rPr>
        <w:t>；(3)</w:t>
      </w:r>
      <w:r>
        <w:rPr>
          <w:rFonts w:hint="default" w:ascii="仿宋_GB2312" w:eastAsia="仿宋_GB2312"/>
          <w:sz w:val="32"/>
        </w:rPr>
        <w:t>市转移支付资金3</w:t>
      </w:r>
      <w:r>
        <w:rPr>
          <w:rFonts w:ascii="仿宋_GB2312" w:eastAsia="仿宋_GB2312"/>
          <w:sz w:val="32"/>
        </w:rPr>
        <w:t>.</w:t>
      </w:r>
      <w:r>
        <w:rPr>
          <w:rFonts w:hint="default" w:ascii="仿宋_GB2312" w:eastAsia="仿宋_GB2312"/>
          <w:sz w:val="32"/>
        </w:rPr>
        <w:t>41</w:t>
      </w:r>
      <w:r>
        <w:rPr>
          <w:rFonts w:ascii="仿宋_GB2312" w:eastAsia="仿宋_GB2312"/>
          <w:sz w:val="32"/>
        </w:rPr>
        <w:t>万</w:t>
      </w:r>
      <w:r>
        <w:rPr>
          <w:rFonts w:hint="default" w:ascii="仿宋_GB2312" w:eastAsia="仿宋_GB2312"/>
          <w:sz w:val="32"/>
        </w:rPr>
        <w:t>元</w:t>
      </w:r>
      <w:r>
        <w:rPr>
          <w:rFonts w:ascii="仿宋_GB2312" w:eastAsia="仿宋_GB2312"/>
          <w:sz w:val="32"/>
        </w:rPr>
        <w:t>；(4)</w:t>
      </w:r>
      <w:r>
        <w:rPr>
          <w:rFonts w:hint="default" w:ascii="仿宋_GB2312" w:eastAsia="仿宋_GB2312"/>
          <w:sz w:val="32"/>
        </w:rPr>
        <w:t>学生桌椅</w:t>
      </w:r>
      <w:r>
        <w:rPr>
          <w:rFonts w:ascii="仿宋_GB2312" w:eastAsia="仿宋_GB2312"/>
          <w:sz w:val="32"/>
        </w:rPr>
        <w:t>0.</w:t>
      </w:r>
      <w:r>
        <w:rPr>
          <w:rFonts w:hint="default" w:ascii="仿宋_GB2312" w:eastAsia="仿宋_GB2312"/>
          <w:sz w:val="32"/>
        </w:rPr>
        <w:t>9</w:t>
      </w:r>
      <w:r>
        <w:rPr>
          <w:rFonts w:ascii="仿宋_GB2312" w:eastAsia="仿宋_GB2312"/>
          <w:sz w:val="32"/>
        </w:rPr>
        <w:t>2万</w:t>
      </w:r>
      <w:r>
        <w:rPr>
          <w:rFonts w:hint="default" w:ascii="仿宋_GB2312" w:eastAsia="仿宋_GB2312"/>
          <w:sz w:val="32"/>
        </w:rPr>
        <w:t>元</w:t>
      </w:r>
      <w:r>
        <w:rPr>
          <w:rFonts w:ascii="仿宋_GB2312" w:eastAsia="仿宋_GB2312"/>
          <w:sz w:val="32"/>
        </w:rPr>
        <w:t>；(5)中小学饮用水3.97万元等。</w:t>
      </w:r>
    </w:p>
    <w:p>
      <w:pPr>
        <w:pStyle w:val="6"/>
        <w:spacing w:line="560" w:lineRule="exact"/>
        <w:ind w:firstLine="660"/>
        <w:rPr>
          <w:rFonts w:hint="default" w:ascii="仿宋_GB2312" w:eastAsia="仿宋_GB2312"/>
          <w:sz w:val="32"/>
        </w:rPr>
      </w:pPr>
      <w:r>
        <w:rPr>
          <w:rFonts w:ascii="仿宋_GB2312" w:eastAsia="仿宋_GB2312"/>
          <w:sz w:val="32"/>
        </w:rPr>
        <w:t>与上年收入总计1786.72万元相比，今年收入增加671.48万元，增长37.58%，主要原因：一是公用经费增加，其中补发退休教师的住房补贴654.10万元；二是人员经费增加，其中今年新增8位新入职教师。</w:t>
      </w:r>
    </w:p>
    <w:p>
      <w:pPr>
        <w:pStyle w:val="6"/>
        <w:spacing w:line="560" w:lineRule="exact"/>
        <w:ind w:firstLine="660"/>
        <w:rPr>
          <w:rFonts w:hint="default" w:ascii="楷体_GB2312" w:eastAsia="楷体_GB2312"/>
          <w:b/>
          <w:sz w:val="32"/>
        </w:rPr>
      </w:pPr>
      <w:r>
        <w:rPr>
          <w:rFonts w:ascii="楷体_GB2312" w:eastAsia="楷体_GB2312"/>
          <w:b/>
          <w:sz w:val="32"/>
        </w:rPr>
        <w:t>（二）支出总计2452.80万元，包括：</w:t>
      </w:r>
    </w:p>
    <w:p>
      <w:pPr>
        <w:pStyle w:val="6"/>
        <w:spacing w:line="560" w:lineRule="exact"/>
        <w:ind w:firstLine="660"/>
        <w:rPr>
          <w:rFonts w:hint="default" w:ascii="仿宋_GB2312" w:eastAsia="仿宋_GB2312"/>
          <w:sz w:val="32"/>
        </w:rPr>
      </w:pPr>
      <w:r>
        <w:rPr>
          <w:rFonts w:ascii="仿宋_GB2312" w:eastAsia="仿宋_GB2312"/>
          <w:sz w:val="32"/>
        </w:rPr>
        <w:t>1.基本支出2099.23万元，占支出总计的85.59%。主要是为保障机构正常运转、完成日常工作任务而发生的各项支出，其中：工资福利支出1236.86万元，对个人和家庭的补助支出738.23万元，商品和服务支出123.68万元，</w:t>
      </w:r>
      <w:r>
        <w:rPr>
          <w:rFonts w:ascii="仿宋_GB2312" w:eastAsia="仿宋_GB2312"/>
          <w:sz w:val="32"/>
          <w:szCs w:val="32"/>
        </w:rPr>
        <w:t>资本性支出0.46万元</w:t>
      </w:r>
      <w:r>
        <w:rPr>
          <w:rFonts w:ascii="仿宋_GB2312" w:eastAsia="仿宋_GB2312"/>
          <w:sz w:val="32"/>
        </w:rPr>
        <w:t>。</w:t>
      </w:r>
    </w:p>
    <w:p>
      <w:pPr>
        <w:spacing w:line="540" w:lineRule="exact"/>
        <w:ind w:firstLine="660"/>
        <w:rPr>
          <w:rFonts w:hint="default" w:ascii="仿宋_GB2312" w:hAnsi="宋体" w:eastAsia="仿宋_GB2312"/>
          <w:sz w:val="32"/>
          <w:szCs w:val="32"/>
        </w:rPr>
      </w:pPr>
      <w:r>
        <w:rPr>
          <w:rFonts w:ascii="仿宋_GB2312" w:eastAsia="仿宋_GB2312"/>
          <w:sz w:val="32"/>
        </w:rPr>
        <w:t>2.项目支出353.57万元，占支出总计的14.41%。</w:t>
      </w:r>
      <w:r>
        <w:rPr>
          <w:rFonts w:ascii="仿宋_GB2312" w:hAnsi="宋体" w:eastAsia="仿宋_GB2312"/>
          <w:sz w:val="32"/>
          <w:szCs w:val="32"/>
        </w:rPr>
        <w:t>主要包括商品和服务支出274.32万元，对个人和家庭的补助支出1.29万元，资本性支出77.96万元等业务支出。</w:t>
      </w:r>
    </w:p>
    <w:p>
      <w:pPr>
        <w:pStyle w:val="6"/>
        <w:spacing w:line="560" w:lineRule="exact"/>
        <w:ind w:firstLine="660"/>
        <w:rPr>
          <w:rFonts w:hint="default" w:ascii="仿宋_GB2312" w:eastAsia="仿宋_GB2312"/>
          <w:sz w:val="32"/>
        </w:rPr>
      </w:pPr>
      <w:r>
        <w:rPr>
          <w:rFonts w:ascii="仿宋_GB2312" w:eastAsia="仿宋_GB2312"/>
          <w:sz w:val="32"/>
        </w:rPr>
        <w:t>与上年支出总计1777.42万元相比，今年支出增加675.38万元，增长38%，主要原因：一是公用经费增加，其中补发退休教师的住房补贴654.10万元；二是人员经费增加，其中今年新增8位新入职教师。</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（三）年末结转和结余5.40万元</w:t>
      </w:r>
    </w:p>
    <w:p>
      <w:pPr>
        <w:pStyle w:val="6"/>
        <w:spacing w:line="560" w:lineRule="exact"/>
        <w:ind w:firstLine="660"/>
        <w:rPr>
          <w:rFonts w:hint="default" w:ascii="仿宋_GB2312" w:eastAsia="仿宋_GB2312"/>
          <w:sz w:val="32"/>
        </w:rPr>
      </w:pPr>
      <w:r>
        <w:rPr>
          <w:rFonts w:ascii="仿宋_GB2312" w:eastAsia="仿宋_GB2312"/>
          <w:sz w:val="32"/>
        </w:rPr>
        <w:t>主要是年初结转和结余事业基金5.40万元。与上年相比，今年结转结余减少3.9万元，降低41.94%，主要原因是上年</w:t>
      </w:r>
      <w:r>
        <w:rPr>
          <w:rFonts w:ascii="仿宋_GB2312" w:eastAsia="仿宋_GB2312"/>
          <w:sz w:val="32"/>
          <w:szCs w:val="32"/>
        </w:rPr>
        <w:t>上级结构性缺编教师经费拨款未花完，导致上年初结转3.70万元</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2021年度财政拨款支出2452.80万元，其中：基本支出2099.23万元，项目支出353.57万元。与上年相比，财政拨款支出增加675.38万元，增长38%，主要原因是补发退休教师的住房补贴654.1万元。</w:t>
      </w:r>
      <w:r>
        <w:rPr>
          <w:rFonts w:ascii="仿宋_GB2312" w:eastAsia="仿宋_GB2312" w:cs="Times New Roman"/>
          <w:sz w:val="32"/>
          <w:szCs w:val="32"/>
        </w:rPr>
        <w:t>与年初预算1375.32万元相比，2021年度财</w:t>
      </w:r>
      <w:r>
        <w:rPr>
          <w:rFonts w:ascii="仿宋_GB2312" w:eastAsia="仿宋_GB2312"/>
          <w:sz w:val="32"/>
          <w:szCs w:val="32"/>
        </w:rPr>
        <w:t>政拨款支出完成年初预算的178.34%，其中：基本支出完成年初预算的152.64%，学校没有单独安排项目支出年初预算，由教育局统一安排。</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2021年度一般公共预算财政拨款支出2374.37万元，按支出功能分类科目分，包括：教育支出2167.95万元，社会保障与就业支出134.97万元，卫生健康支出71.45万元。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1.教育支出2167.95万元，包括：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（1）学前教育支出33.62万元，主要用于幼儿园办公费、维修费、水电费等商品服务支出支出33.62万元。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（2）初中教育支出2000.89万元，主要是工资福利支出1040.75万元、商品服务支出219.03万元、对个人和家庭补助支出725.68等支出,办公设备购置等资本性支出15.43万元。</w:t>
      </w:r>
    </w:p>
    <w:p>
      <w:pPr>
        <w:pStyle w:val="6"/>
        <w:numPr>
          <w:ilvl w:val="0"/>
          <w:numId w:val="1"/>
        </w:numPr>
        <w:spacing w:line="560" w:lineRule="atLeast"/>
        <w:ind w:firstLine="660"/>
        <w:rPr>
          <w:rFonts w:hint="default" w:ascii="仿宋_GB2312" w:eastAsia="仿宋_GB2312"/>
          <w:sz w:val="32"/>
          <w:szCs w:val="32"/>
        </w:rPr>
      </w:pPr>
      <w:r>
        <w:rPr>
          <w:rFonts w:ascii="仿宋_GB2312" w:eastAsia="仿宋_GB2312"/>
          <w:sz w:val="32"/>
          <w:szCs w:val="32"/>
        </w:rPr>
        <w:t>其他普通教育支出32.01万元，主要包括工资福利支出2.4万元，商品服务支出4.42万元，资本性支出25.19万元。</w:t>
      </w:r>
    </w:p>
    <w:p>
      <w:pPr>
        <w:pStyle w:val="6"/>
        <w:numPr>
          <w:ilvl w:val="0"/>
          <w:numId w:val="1"/>
        </w:numPr>
        <w:spacing w:line="560" w:lineRule="atLeast"/>
        <w:ind w:firstLine="660"/>
        <w:rPr>
          <w:rFonts w:hint="default" w:ascii="仿宋_GB2312" w:eastAsia="仿宋_GB2312"/>
          <w:sz w:val="32"/>
          <w:szCs w:val="32"/>
        </w:rPr>
      </w:pPr>
      <w:r>
        <w:rPr>
          <w:rFonts w:ascii="仿宋_GB2312" w:eastAsia="仿宋_GB2312"/>
          <w:sz w:val="32"/>
          <w:szCs w:val="32"/>
        </w:rPr>
        <w:t>教育费附加安排的支出99.93万元，主要是商品服务支出61.29万元，对个人和家庭补助支出0.83万元支出,资本性支37.81万元。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（5）其他教育支出1.5万元，主要是商品服务支出1.5万元支出。</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2.社会保障与就业支出134.97万元，包括：工资福利支出122.26万元，对个人和家庭补助支出12.71万元。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3、卫生健康支出71.45万元，包括：工资福利支出71.45万元。</w:t>
      </w:r>
    </w:p>
    <w:p>
      <w:pPr>
        <w:pStyle w:val="6"/>
        <w:spacing w:line="560" w:lineRule="exact"/>
        <w:ind w:firstLine="660"/>
        <w:rPr>
          <w:rFonts w:hint="default" w:ascii="黑体" w:hAnsi="黑体" w:eastAsia="黑体" w:cs="黑体"/>
          <w:b/>
          <w:color w:val="FF0000"/>
          <w:sz w:val="32"/>
          <w:szCs w:val="32"/>
        </w:rPr>
      </w:pPr>
      <w:r>
        <w:rPr>
          <w:rFonts w:ascii="仿宋_GB2312" w:eastAsia="仿宋_GB2312"/>
          <w:sz w:val="32"/>
          <w:szCs w:val="32"/>
        </w:rPr>
        <w:t>年初预算1375.32万元，与决算数2374.37万元相比增加999.05万元，完成年初预算的172.64%，决算数大于年初预算数的</w:t>
      </w:r>
      <w:r>
        <w:rPr>
          <w:rFonts w:ascii="仿宋_GB2312" w:eastAsia="仿宋_GB2312"/>
          <w:sz w:val="32"/>
        </w:rPr>
        <w:t>主要原因：一是公用经费增加，其中补发退休教师的住房补贴654.10万元；二是人员经费增加，其中今年新增8位新入职教师；三是一般公共预算中包括项目支出353.57万元，</w:t>
      </w:r>
      <w:r>
        <w:rPr>
          <w:rFonts w:ascii="仿宋_GB2312" w:eastAsia="仿宋_GB2312"/>
          <w:sz w:val="32"/>
          <w:szCs w:val="32"/>
        </w:rPr>
        <w:t>学校没有单独安排项目支出年初预算，由教育局统一安排。</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pStyle w:val="6"/>
        <w:numPr>
          <w:ilvl w:val="0"/>
          <w:numId w:val="2"/>
        </w:numPr>
        <w:spacing w:line="560" w:lineRule="exact"/>
        <w:ind w:firstLine="660"/>
        <w:rPr>
          <w:rFonts w:hint="default" w:ascii="黑体" w:eastAsia="黑体"/>
          <w:sz w:val="32"/>
        </w:rPr>
      </w:pPr>
      <w:r>
        <w:rPr>
          <w:rFonts w:ascii="黑体" w:eastAsia="黑体"/>
          <w:sz w:val="32"/>
        </w:rPr>
        <w:t>一般公共预算财政拨款“三公”经费支出决算情况说明</w:t>
      </w:r>
    </w:p>
    <w:p>
      <w:pPr>
        <w:pStyle w:val="6"/>
        <w:autoSpaceDN w:val="0"/>
        <w:spacing w:line="560" w:lineRule="exact"/>
        <w:ind w:firstLine="640" w:firstLineChars="200"/>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0" w:firstLineChars="200"/>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480" w:firstLineChars="15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480" w:firstLineChars="150"/>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0"/>
        <w:rPr>
          <w:rFonts w:hint="default" w:ascii="仿宋_GB2312" w:eastAsia="仿宋_GB2312"/>
          <w:sz w:val="32"/>
        </w:rPr>
      </w:pPr>
      <w:r>
        <w:rPr>
          <w:rFonts w:ascii="仿宋_GB2312" w:eastAsia="仿宋_GB2312"/>
          <w:sz w:val="32"/>
        </w:rPr>
        <w:t>2021年度一般公共预算财政拨款基本支出2092.97万元，其中：人员经费1975.09万元，主要包括基本工资、津贴补贴、奖金、其他社会保障缴费、机关事业单位基本养老保险缴费、其他工资福利支出、离休费、退休费、抚恤金、生活补助、奖励金、住房公积金、采暖补贴、其他对个人和家庭补助的支出；日常公用经费117.88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spacing w:line="560" w:lineRule="exact"/>
        <w:ind w:left="420" w:leftChars="200"/>
        <w:rPr>
          <w:rFonts w:hint="default" w:ascii="楷体_GB2312" w:eastAsia="楷体_GB2312"/>
          <w:b/>
          <w:color w:val="000000" w:themeColor="text1"/>
          <w:sz w:val="32"/>
          <w14:textFill>
            <w14:solidFill>
              <w14:schemeClr w14:val="tx1"/>
            </w14:solidFill>
          </w14:textFill>
        </w:rPr>
      </w:pPr>
      <w:r>
        <w:rPr>
          <w:rFonts w:ascii="楷体_GB2312" w:eastAsia="楷体_GB2312"/>
          <w:b/>
          <w:sz w:val="32"/>
        </w:rPr>
        <w:t>（二）</w:t>
      </w:r>
      <w:r>
        <w:rPr>
          <w:rFonts w:ascii="楷体_GB2312" w:eastAsia="楷体_GB2312"/>
          <w:b/>
          <w:color w:val="000000" w:themeColor="text1"/>
          <w:sz w:val="32"/>
          <w14:textFill>
            <w14:solidFill>
              <w14:schemeClr w14:val="tx1"/>
            </w14:solidFill>
          </w14:textFill>
        </w:rPr>
        <w:t>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r>
        <w:rPr>
          <w:rFonts w:ascii="仿宋_GB2312" w:eastAsia="仿宋_GB2312"/>
          <w:sz w:val="32"/>
          <w:szCs w:val="32"/>
        </w:rPr>
        <w:t>授予中小企业合同金额0万元，占政府采购支出总额的0%，其中：授予小微企业合同金额0万元，占政府采购支出总额的0%</w:t>
      </w:r>
      <w:r>
        <w:rPr>
          <w:rFonts w:ascii="仿宋_GB2312" w:hAnsi="黑体" w:eastAsia="仿宋_GB2312"/>
          <w:sz w:val="32"/>
          <w:szCs w:val="32"/>
        </w:rPr>
        <w:t>。</w:t>
      </w:r>
      <w:r>
        <w:rPr>
          <w:rFonts w:ascii="仿宋_GB2312" w:eastAsia="仿宋_GB2312"/>
          <w:sz w:val="32"/>
        </w:rPr>
        <w:t>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3" w:firstLineChars="200"/>
        <w:rPr>
          <w:rFonts w:hint="default" w:ascii="楷体_GB2312" w:eastAsia="楷体_GB2312"/>
          <w:b/>
          <w:sz w:val="32"/>
        </w:rPr>
      </w:pPr>
      <w:r>
        <w:rPr>
          <w:rFonts w:ascii="楷体_GB2312" w:eastAsia="楷体_GB2312"/>
          <w:b/>
          <w:sz w:val="32"/>
        </w:rPr>
        <w:t>（三）国有资产占用情况。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截至2021年12月31日，共有车辆1辆，其中：</w:t>
      </w:r>
      <w:r>
        <w:rPr>
          <w:rFonts w:ascii="仿宋_GB2312" w:hAnsi="宋体" w:eastAsia="仿宋_GB2312" w:cs="宋体"/>
          <w:kern w:val="0"/>
          <w:sz w:val="32"/>
          <w:szCs w:val="32"/>
        </w:rPr>
        <w:t>一般公务用车1辆。</w:t>
      </w:r>
      <w:r>
        <w:rPr>
          <w:rFonts w:ascii="仿宋_GB2312" w:hAnsi="黑体" w:eastAsia="仿宋_GB2312"/>
          <w:sz w:val="32"/>
          <w:szCs w:val="32"/>
        </w:rPr>
        <w:t>单位价值50万元以上通用设备0台（套），单价100万元以上专用设备0台（套）。</w:t>
      </w:r>
    </w:p>
    <w:p>
      <w:pPr>
        <w:widowControl/>
        <w:spacing w:line="560" w:lineRule="exact"/>
        <w:ind w:firstLine="643" w:firstLineChars="200"/>
        <w:rPr>
          <w:rFonts w:hint="default" w:ascii="楷体_GB2312" w:eastAsia="楷体_GB2312"/>
          <w:b/>
          <w:sz w:val="32"/>
        </w:rPr>
      </w:pPr>
      <w:r>
        <w:rPr>
          <w:rFonts w:ascii="楷体_GB2312" w:eastAsia="楷体_GB2312"/>
          <w:b/>
          <w:sz w:val="32"/>
        </w:rPr>
        <w:t>（四）预算绩效管理工作开展情况。</w:t>
      </w:r>
    </w:p>
    <w:p>
      <w:pPr>
        <w:pStyle w:val="6"/>
        <w:spacing w:line="560" w:lineRule="exact"/>
        <w:ind w:firstLine="640" w:firstLineChars="200"/>
        <w:rPr>
          <w:rFonts w:hint="default" w:ascii="仿宋_GB2312" w:hAnsi="仿宋_GB2312" w:eastAsia="仿宋_GB2312" w:cs="仿宋_GB2312"/>
          <w:b/>
          <w:bCs/>
          <w:color w:val="FF0000"/>
          <w:sz w:val="32"/>
          <w:szCs w:val="32"/>
        </w:rPr>
      </w:pPr>
      <w:r>
        <w:rPr>
          <w:rFonts w:ascii="仿宋_GB2312" w:hAnsi="黑体" w:eastAsia="仿宋_GB2312" w:cs="Times New Roman"/>
          <w:sz w:val="32"/>
          <w:szCs w:val="32"/>
        </w:rPr>
        <w:t>2021年不涉及民生项目和重点支出项目。因</w:t>
      </w:r>
      <w:r>
        <w:rPr>
          <w:rFonts w:ascii="仿宋_GB2312" w:eastAsia="仿宋_GB2312"/>
          <w:bCs/>
          <w:color w:val="000000"/>
          <w:sz w:val="32"/>
          <w:szCs w:val="32"/>
        </w:rPr>
        <w:t>此本单位无绩效自评及部门评价。</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sectPr>
          <w:headerReference r:id="rId3" w:type="default"/>
          <w:pgSz w:w="11906" w:h="16838"/>
          <w:pgMar w:top="1803" w:right="1440" w:bottom="1803" w:left="1440" w:header="851" w:footer="992" w:gutter="0"/>
          <w:cols w:space="0"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b/>
          <w:sz w:val="52"/>
          <w:szCs w:val="52"/>
        </w:rPr>
        <w:t>沈阳市第七十二中学</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pStyle w:val="6"/>
        <w:rPr>
          <w:rFonts w:hint="default" w:ascii="黑体" w:eastAsia="黑体"/>
          <w:sz w:val="32"/>
        </w:rPr>
      </w:pPr>
    </w:p>
    <w:sectPr>
      <w:pgSz w:w="16838" w:h="11906" w:orient="landscape"/>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BB3FEA"/>
    <w:multiLevelType w:val="singleLevel"/>
    <w:tmpl w:val="F1BB3FEA"/>
    <w:lvl w:ilvl="0" w:tentative="0">
      <w:start w:val="3"/>
      <w:numFmt w:val="chineseCounting"/>
      <w:suff w:val="nothing"/>
      <w:lvlText w:val="%1、"/>
      <w:lvlJc w:val="left"/>
      <w:rPr>
        <w:rFonts w:hint="eastAsia"/>
      </w:rPr>
    </w:lvl>
  </w:abstractNum>
  <w:abstractNum w:abstractNumId="1">
    <w:nsid w:val="2F3143B5"/>
    <w:multiLevelType w:val="singleLevel"/>
    <w:tmpl w:val="2F3143B5"/>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85116D"/>
    <w:rsid w:val="00954778"/>
    <w:rsid w:val="00A17144"/>
    <w:rsid w:val="00A5357A"/>
    <w:rsid w:val="00A57A14"/>
    <w:rsid w:val="00B208CF"/>
    <w:rsid w:val="00B54181"/>
    <w:rsid w:val="00BC09C4"/>
    <w:rsid w:val="00C85199"/>
    <w:rsid w:val="00CF486C"/>
    <w:rsid w:val="00DC3915"/>
    <w:rsid w:val="00E4305D"/>
    <w:rsid w:val="00F103DB"/>
    <w:rsid w:val="00F16B2B"/>
    <w:rsid w:val="00F4098D"/>
    <w:rsid w:val="00F67249"/>
    <w:rsid w:val="00F724E9"/>
    <w:rsid w:val="01374D1F"/>
    <w:rsid w:val="01E60E3C"/>
    <w:rsid w:val="03446B41"/>
    <w:rsid w:val="03B7227C"/>
    <w:rsid w:val="04335DA6"/>
    <w:rsid w:val="04BF7FD7"/>
    <w:rsid w:val="050140F6"/>
    <w:rsid w:val="052D6C99"/>
    <w:rsid w:val="05687CD1"/>
    <w:rsid w:val="063B3638"/>
    <w:rsid w:val="06E900E6"/>
    <w:rsid w:val="074B1D32"/>
    <w:rsid w:val="07FB50B6"/>
    <w:rsid w:val="08490134"/>
    <w:rsid w:val="092959CA"/>
    <w:rsid w:val="09567328"/>
    <w:rsid w:val="096E162E"/>
    <w:rsid w:val="09C4782E"/>
    <w:rsid w:val="0A061BE7"/>
    <w:rsid w:val="0A375EC4"/>
    <w:rsid w:val="0AF72E95"/>
    <w:rsid w:val="0D1A7CC7"/>
    <w:rsid w:val="0E5928AD"/>
    <w:rsid w:val="0EAE5EE3"/>
    <w:rsid w:val="0ECB7368"/>
    <w:rsid w:val="0EE7435D"/>
    <w:rsid w:val="0FCC17C8"/>
    <w:rsid w:val="1017657C"/>
    <w:rsid w:val="11612EA5"/>
    <w:rsid w:val="120E2F13"/>
    <w:rsid w:val="13E97E92"/>
    <w:rsid w:val="14495172"/>
    <w:rsid w:val="14A73107"/>
    <w:rsid w:val="171A4BA4"/>
    <w:rsid w:val="18ED276F"/>
    <w:rsid w:val="19152D8C"/>
    <w:rsid w:val="193F08F1"/>
    <w:rsid w:val="19DB2D10"/>
    <w:rsid w:val="1A472B8C"/>
    <w:rsid w:val="1C635C29"/>
    <w:rsid w:val="1CAD6A29"/>
    <w:rsid w:val="1E7A71D1"/>
    <w:rsid w:val="1EEE7042"/>
    <w:rsid w:val="1F615A66"/>
    <w:rsid w:val="1FA56F61"/>
    <w:rsid w:val="1FC102B2"/>
    <w:rsid w:val="20911BED"/>
    <w:rsid w:val="21596DDD"/>
    <w:rsid w:val="224E71F7"/>
    <w:rsid w:val="2285757C"/>
    <w:rsid w:val="22F56556"/>
    <w:rsid w:val="23F041A3"/>
    <w:rsid w:val="243343E0"/>
    <w:rsid w:val="27F522DB"/>
    <w:rsid w:val="280255D6"/>
    <w:rsid w:val="29A115EE"/>
    <w:rsid w:val="2B5746AC"/>
    <w:rsid w:val="2BE20CF3"/>
    <w:rsid w:val="2DB553C8"/>
    <w:rsid w:val="2E4F6256"/>
    <w:rsid w:val="2E5E589F"/>
    <w:rsid w:val="2EF17B64"/>
    <w:rsid w:val="30487B1A"/>
    <w:rsid w:val="31212557"/>
    <w:rsid w:val="328C6723"/>
    <w:rsid w:val="34E9707D"/>
    <w:rsid w:val="354955AC"/>
    <w:rsid w:val="354A3431"/>
    <w:rsid w:val="36230505"/>
    <w:rsid w:val="36D63FF5"/>
    <w:rsid w:val="3704762D"/>
    <w:rsid w:val="376036FC"/>
    <w:rsid w:val="38846DF5"/>
    <w:rsid w:val="3A586350"/>
    <w:rsid w:val="3A9E189E"/>
    <w:rsid w:val="3AB111F7"/>
    <w:rsid w:val="3D170B76"/>
    <w:rsid w:val="3E1B553A"/>
    <w:rsid w:val="42C27D1A"/>
    <w:rsid w:val="43525E03"/>
    <w:rsid w:val="44EA72CA"/>
    <w:rsid w:val="45FB31D9"/>
    <w:rsid w:val="461B197A"/>
    <w:rsid w:val="467E6B57"/>
    <w:rsid w:val="46EA51DB"/>
    <w:rsid w:val="47E0311C"/>
    <w:rsid w:val="492B486B"/>
    <w:rsid w:val="4A8C102A"/>
    <w:rsid w:val="4ACA68D0"/>
    <w:rsid w:val="4BE8122B"/>
    <w:rsid w:val="4C892144"/>
    <w:rsid w:val="4CB6269D"/>
    <w:rsid w:val="4F7D23C8"/>
    <w:rsid w:val="4FA2515B"/>
    <w:rsid w:val="5051105B"/>
    <w:rsid w:val="508723FB"/>
    <w:rsid w:val="51805E4A"/>
    <w:rsid w:val="51952E01"/>
    <w:rsid w:val="52157E66"/>
    <w:rsid w:val="521D148B"/>
    <w:rsid w:val="546867E4"/>
    <w:rsid w:val="548966D2"/>
    <w:rsid w:val="54C7212B"/>
    <w:rsid w:val="54F6469B"/>
    <w:rsid w:val="558F73B7"/>
    <w:rsid w:val="565D5CAB"/>
    <w:rsid w:val="571C7DDE"/>
    <w:rsid w:val="572D7A00"/>
    <w:rsid w:val="59F64753"/>
    <w:rsid w:val="5A8F0897"/>
    <w:rsid w:val="5B697371"/>
    <w:rsid w:val="5C3D2493"/>
    <w:rsid w:val="5CD728E8"/>
    <w:rsid w:val="5E331B66"/>
    <w:rsid w:val="5ECE7D1A"/>
    <w:rsid w:val="609E1E47"/>
    <w:rsid w:val="65CB0B10"/>
    <w:rsid w:val="66B65AB2"/>
    <w:rsid w:val="673C6F2C"/>
    <w:rsid w:val="67D53EC8"/>
    <w:rsid w:val="67F00D02"/>
    <w:rsid w:val="68A50039"/>
    <w:rsid w:val="68C1694F"/>
    <w:rsid w:val="69176598"/>
    <w:rsid w:val="69DE2152"/>
    <w:rsid w:val="6B947BF6"/>
    <w:rsid w:val="6E4A0A40"/>
    <w:rsid w:val="6EDD654A"/>
    <w:rsid w:val="6F857F81"/>
    <w:rsid w:val="6FB85E0E"/>
    <w:rsid w:val="709571E2"/>
    <w:rsid w:val="724179B2"/>
    <w:rsid w:val="731D6B1E"/>
    <w:rsid w:val="735E7467"/>
    <w:rsid w:val="73DB5089"/>
    <w:rsid w:val="74811FDD"/>
    <w:rsid w:val="75CE3AF4"/>
    <w:rsid w:val="785F4F0B"/>
    <w:rsid w:val="786B7CEF"/>
    <w:rsid w:val="78895CA5"/>
    <w:rsid w:val="78A53442"/>
    <w:rsid w:val="7A37624F"/>
    <w:rsid w:val="7A9F63BC"/>
    <w:rsid w:val="7B564EC8"/>
    <w:rsid w:val="7B73597D"/>
    <w:rsid w:val="7B9B4A66"/>
    <w:rsid w:val="7D024843"/>
    <w:rsid w:val="7D091BB4"/>
    <w:rsid w:val="7DBC6459"/>
    <w:rsid w:val="7E854806"/>
    <w:rsid w:val="7EEB65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14</Pages>
  <Words>5102</Words>
  <Characters>5676</Characters>
  <Lines>41</Lines>
  <Paragraphs>11</Paragraphs>
  <TotalTime>2</TotalTime>
  <ScaleCrop>false</ScaleCrop>
  <LinksUpToDate>false</LinksUpToDate>
  <CharactersWithSpaces>5707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2023-06-20T02:52:36Z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