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沈阳市浑南区高坎中学</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b/>
          <w:sz w:val="44"/>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沈阳市浑南区高坎中学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沈阳市浑南区高坎中学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val="en-US" w:eastAsia="zh-CN"/>
        </w:rPr>
        <w:t>沈阳市浑南区高坎中学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沈阳市浑南区高坎中学</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atLeast"/>
        <w:ind w:firstLine="960" w:firstLineChars="3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一）</w:t>
      </w:r>
      <w:r>
        <w:rPr>
          <w:rFonts w:hint="eastAsia" w:ascii="仿宋_GB2312" w:eastAsia="仿宋_GB2312"/>
          <w:sz w:val="32"/>
          <w:szCs w:val="32"/>
        </w:rPr>
        <w:t>实施初中义务教育，促进基础教育发展，初中学历教育。</w:t>
      </w:r>
    </w:p>
    <w:p>
      <w:pPr>
        <w:pStyle w:val="6"/>
        <w:spacing w:line="560" w:lineRule="atLeast"/>
        <w:ind w:firstLine="960" w:firstLineChars="300"/>
        <w:rPr>
          <w:rFonts w:hint="default" w:ascii="仿宋_GB2312" w:eastAsia="仿宋_GB2312"/>
          <w:sz w:val="32"/>
          <w:szCs w:val="32"/>
          <w:lang w:val="en-US" w:eastAsia="zh-CN"/>
        </w:rPr>
      </w:pPr>
      <w:r>
        <w:rPr>
          <w:rFonts w:hint="eastAsia" w:ascii="仿宋_GB2312" w:eastAsia="仿宋_GB2312"/>
          <w:sz w:val="32"/>
          <w:szCs w:val="32"/>
          <w:lang w:eastAsia="zh-CN"/>
        </w:rPr>
        <w:t>（</w:t>
      </w:r>
      <w:r>
        <w:rPr>
          <w:rFonts w:hint="eastAsia" w:ascii="仿宋_GB2312" w:eastAsia="仿宋_GB2312"/>
          <w:sz w:val="32"/>
          <w:szCs w:val="32"/>
          <w:lang w:val="en-US" w:eastAsia="zh-CN"/>
        </w:rPr>
        <w:t>二）提高财政资金使用效益。</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b w:val="0"/>
          <w:bCs/>
          <w:sz w:val="36"/>
        </w:rPr>
      </w:pPr>
      <w:r>
        <w:rPr>
          <w:rFonts w:ascii="仿宋_GB2312" w:hAnsi="仿宋_GB2312" w:eastAsia="仿宋_GB2312" w:cs="仿宋_GB2312"/>
          <w:b w:val="0"/>
          <w:bCs/>
          <w:sz w:val="32"/>
          <w:szCs w:val="32"/>
        </w:rPr>
        <w:t>纳入</w:t>
      </w:r>
      <w:r>
        <w:rPr>
          <w:rFonts w:hint="eastAsia" w:ascii="仿宋_GB2312" w:hAnsi="仿宋_GB2312" w:eastAsia="仿宋_GB2312" w:cs="仿宋_GB2312"/>
          <w:b w:val="0"/>
          <w:bCs/>
          <w:sz w:val="32"/>
          <w:szCs w:val="32"/>
          <w:lang w:val="en-US" w:eastAsia="zh-CN"/>
        </w:rPr>
        <w:t>本单位</w:t>
      </w:r>
      <w:r>
        <w:rPr>
          <w:rFonts w:ascii="仿宋_GB2312" w:hAnsi="仿宋_GB2312" w:eastAsia="仿宋_GB2312" w:cs="仿宋_GB2312"/>
          <w:b w:val="0"/>
          <w:bCs/>
          <w:sz w:val="32"/>
          <w:szCs w:val="32"/>
        </w:rPr>
        <w:t>2021年决算编制范围的二级预算单位</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sz w:val="32"/>
          <w:szCs w:val="32"/>
          <w:lang w:val="en-US" w:eastAsia="zh-CN"/>
        </w:rPr>
        <w:t>本单位无下设机构</w:t>
      </w:r>
    </w:p>
    <w:p>
      <w:pPr>
        <w:pStyle w:val="6"/>
        <w:spacing w:line="560" w:lineRule="exact"/>
        <w:rPr>
          <w:rFonts w:hint="default"/>
          <w:b/>
          <w:sz w:val="36"/>
        </w:rPr>
      </w:pPr>
    </w:p>
    <w:p>
      <w:pPr>
        <w:pStyle w:val="6"/>
        <w:spacing w:line="560" w:lineRule="exact"/>
        <w:jc w:val="center"/>
        <w:rPr>
          <w:rFonts w:hint="default"/>
          <w:b/>
          <w:sz w:val="36"/>
        </w:rPr>
      </w:pPr>
      <w:r>
        <w:rPr>
          <w:b/>
          <w:sz w:val="36"/>
        </w:rPr>
        <w:t xml:space="preserve">第二部分 </w:t>
      </w:r>
      <w:r>
        <w:rPr>
          <w:rFonts w:hint="eastAsia"/>
          <w:b/>
          <w:sz w:val="36"/>
          <w:lang w:val="en-US" w:eastAsia="zh-CN"/>
        </w:rPr>
        <w:t>沈阳市浑南区高坎中学</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1787.15</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1525，75</w:t>
      </w:r>
      <w:r>
        <w:rPr>
          <w:rFonts w:ascii="仿宋_GB2312" w:eastAsia="仿宋_GB2312"/>
          <w:sz w:val="32"/>
        </w:rPr>
        <w:t>万元，占收入总计的</w:t>
      </w:r>
      <w:r>
        <w:rPr>
          <w:rFonts w:hint="eastAsia" w:ascii="仿宋_GB2312" w:eastAsia="仿宋_GB2312"/>
          <w:sz w:val="32"/>
          <w:lang w:val="en-US" w:eastAsia="zh-CN"/>
        </w:rPr>
        <w:t>85.37</w:t>
      </w:r>
      <w:r>
        <w:rPr>
          <w:rFonts w:ascii="仿宋_GB2312" w:eastAsia="仿宋_GB2312"/>
          <w:sz w:val="32"/>
        </w:rPr>
        <w:t>%。其中：一般公共预算财政拨款收入</w:t>
      </w:r>
      <w:r>
        <w:rPr>
          <w:rFonts w:hint="eastAsia" w:ascii="仿宋_GB2312" w:eastAsia="仿宋_GB2312"/>
          <w:sz w:val="32"/>
          <w:lang w:val="en-US" w:eastAsia="zh-CN"/>
        </w:rPr>
        <w:t>1525.75</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ascii="仿宋_GB2312" w:eastAsia="仿宋_GB2312"/>
          <w:sz w:val="32"/>
        </w:rPr>
        <w:t>6.其他收入</w:t>
      </w:r>
      <w:r>
        <w:rPr>
          <w:rFonts w:hint="eastAsia" w:ascii="仿宋_GB2312" w:eastAsia="仿宋_GB2312"/>
          <w:sz w:val="32"/>
          <w:lang w:val="en-US" w:eastAsia="zh-CN"/>
        </w:rPr>
        <w:t>58.92</w:t>
      </w:r>
      <w:r>
        <w:rPr>
          <w:rFonts w:ascii="仿宋_GB2312" w:eastAsia="仿宋_GB2312"/>
          <w:sz w:val="32"/>
        </w:rPr>
        <w:t>万元，占收入总计的</w:t>
      </w:r>
      <w:r>
        <w:rPr>
          <w:rFonts w:hint="eastAsia" w:ascii="仿宋_GB2312" w:eastAsia="仿宋_GB2312"/>
          <w:sz w:val="32"/>
          <w:lang w:val="en-US" w:eastAsia="zh-CN"/>
        </w:rPr>
        <w:t>3.3</w:t>
      </w:r>
      <w:r>
        <w:rPr>
          <w:rFonts w:ascii="仿宋_GB2312" w:eastAsia="仿宋_GB2312"/>
          <w:sz w:val="32"/>
        </w:rPr>
        <w:t>%。主要是</w:t>
      </w:r>
      <w:r>
        <w:rPr>
          <w:rFonts w:hint="eastAsia" w:ascii="仿宋_GB2312" w:eastAsia="仿宋_GB2312"/>
          <w:sz w:val="32"/>
          <w:lang w:val="en-US" w:eastAsia="zh-CN"/>
        </w:rPr>
        <w:t>其他普通教育</w:t>
      </w:r>
      <w:r>
        <w:rPr>
          <w:rFonts w:ascii="仿宋_GB2312" w:eastAsia="仿宋_GB2312"/>
          <w:sz w:val="32"/>
        </w:rPr>
        <w:t>收入。</w:t>
      </w:r>
    </w:p>
    <w:p>
      <w:pPr>
        <w:pStyle w:val="6"/>
        <w:spacing w:line="560" w:lineRule="exact"/>
        <w:ind w:firstLine="660"/>
        <w:rPr>
          <w:rFonts w:hint="default" w:ascii="仿宋_GB2312" w:eastAsia="仿宋_GB2312"/>
          <w:sz w:val="32"/>
        </w:rPr>
      </w:pPr>
      <w:r>
        <w:rPr>
          <w:rFonts w:ascii="仿宋_GB2312" w:eastAsia="仿宋_GB2312"/>
          <w:sz w:val="32"/>
        </w:rPr>
        <w:t>8.上年结转和结余</w:t>
      </w:r>
      <w:r>
        <w:rPr>
          <w:rFonts w:hint="eastAsia" w:ascii="仿宋_GB2312" w:eastAsia="仿宋_GB2312"/>
          <w:sz w:val="32"/>
          <w:lang w:val="en-US" w:eastAsia="zh-CN"/>
        </w:rPr>
        <w:t>202.48</w:t>
      </w:r>
      <w:r>
        <w:rPr>
          <w:rFonts w:ascii="仿宋_GB2312" w:eastAsia="仿宋_GB2312"/>
          <w:sz w:val="32"/>
        </w:rPr>
        <w:t>万元，占收入总计的</w:t>
      </w:r>
      <w:r>
        <w:rPr>
          <w:rFonts w:hint="eastAsia" w:ascii="仿宋_GB2312" w:eastAsia="仿宋_GB2312"/>
          <w:sz w:val="32"/>
          <w:lang w:val="en-US" w:eastAsia="zh-CN"/>
        </w:rPr>
        <w:t>11.33</w:t>
      </w:r>
      <w:r>
        <w:rPr>
          <w:rFonts w:ascii="仿宋_GB2312" w:eastAsia="仿宋_GB2312"/>
          <w:sz w:val="32"/>
        </w:rPr>
        <w:t>%。主要是</w:t>
      </w:r>
      <w:r>
        <w:rPr>
          <w:rFonts w:hint="eastAsia" w:ascii="仿宋_GB2312" w:eastAsia="仿宋_GB2312"/>
          <w:sz w:val="32"/>
          <w:lang w:val="en-US" w:eastAsia="zh-CN"/>
        </w:rPr>
        <w:t>归集调入市转移支付资金</w:t>
      </w:r>
      <w:r>
        <w:rPr>
          <w:rFonts w:ascii="仿宋_GB2312" w:eastAsia="仿宋_GB2312"/>
          <w:sz w:val="32"/>
        </w:rPr>
        <w:t>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319.54</w:t>
      </w:r>
      <w:r>
        <w:rPr>
          <w:rFonts w:ascii="仿宋_GB2312" w:eastAsia="仿宋_GB2312"/>
          <w:sz w:val="32"/>
        </w:rPr>
        <w:t>万元，增长</w:t>
      </w:r>
      <w:r>
        <w:rPr>
          <w:rFonts w:hint="eastAsia" w:ascii="仿宋_GB2312" w:eastAsia="仿宋_GB2312"/>
          <w:sz w:val="32"/>
          <w:lang w:val="en-US" w:eastAsia="zh-CN"/>
        </w:rPr>
        <w:t>21.77</w:t>
      </w:r>
      <w:r>
        <w:rPr>
          <w:rFonts w:ascii="仿宋_GB2312" w:eastAsia="仿宋_GB2312"/>
          <w:sz w:val="32"/>
        </w:rPr>
        <w:t>%，主要原因：</w:t>
      </w:r>
      <w:r>
        <w:rPr>
          <w:rFonts w:ascii="黑体" w:eastAsia="黑体"/>
          <w:sz w:val="32"/>
        </w:rPr>
        <w:t>一</w:t>
      </w:r>
      <w:r>
        <w:rPr>
          <w:rFonts w:hint="eastAsia" w:ascii="黑体" w:eastAsia="黑体"/>
          <w:sz w:val="32"/>
          <w:lang w:val="en-US" w:eastAsia="zh-CN"/>
        </w:rPr>
        <w:t>人员经费增加。</w:t>
      </w:r>
    </w:p>
    <w:p>
      <w:pPr>
        <w:pStyle w:val="6"/>
        <w:spacing w:line="560" w:lineRule="exact"/>
        <w:ind w:firstLine="660"/>
        <w:rPr>
          <w:rFonts w:hint="default"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1787.15</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1551.93</w:t>
      </w:r>
      <w:r>
        <w:rPr>
          <w:rFonts w:ascii="仿宋_GB2312" w:eastAsia="仿宋_GB2312"/>
          <w:sz w:val="32"/>
        </w:rPr>
        <w:t>万元，占支出总计的</w:t>
      </w:r>
      <w:r>
        <w:rPr>
          <w:rFonts w:hint="eastAsia" w:ascii="仿宋_GB2312" w:eastAsia="仿宋_GB2312"/>
          <w:sz w:val="32"/>
          <w:lang w:val="en-US" w:eastAsia="zh-CN"/>
        </w:rPr>
        <w:t>87</w:t>
      </w:r>
      <w:r>
        <w:rPr>
          <w:rFonts w:ascii="仿宋_GB2312" w:eastAsia="仿宋_GB2312"/>
          <w:sz w:val="32"/>
        </w:rPr>
        <w:t>%。主要是为保障机构正常运转、完成日常工作任务而发生的各项支出，其中：</w:t>
      </w:r>
      <w:r>
        <w:rPr>
          <w:rFonts w:hint="eastAsia" w:ascii="仿宋_GB2312" w:eastAsia="仿宋_GB2312"/>
          <w:sz w:val="32"/>
          <w:lang w:val="en-US" w:eastAsia="zh-CN"/>
        </w:rPr>
        <w:t>社会保障和就业支出113.99万元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319.54</w:t>
      </w:r>
      <w:r>
        <w:rPr>
          <w:rFonts w:ascii="仿宋_GB2312" w:eastAsia="仿宋_GB2312"/>
          <w:sz w:val="32"/>
        </w:rPr>
        <w:t>万元，增长</w:t>
      </w:r>
      <w:r>
        <w:rPr>
          <w:rFonts w:hint="eastAsia" w:ascii="仿宋_GB2312" w:eastAsia="仿宋_GB2312"/>
          <w:sz w:val="32"/>
          <w:lang w:val="en-US" w:eastAsia="zh-CN"/>
        </w:rPr>
        <w:t>18</w:t>
      </w:r>
      <w:r>
        <w:rPr>
          <w:rFonts w:ascii="仿宋_GB2312" w:eastAsia="仿宋_GB2312"/>
          <w:sz w:val="32"/>
        </w:rPr>
        <w:t>%，主要原因：</w:t>
      </w:r>
      <w:r>
        <w:rPr>
          <w:rFonts w:hint="eastAsia" w:ascii="仿宋_GB2312" w:eastAsia="仿宋_GB2312"/>
          <w:sz w:val="32"/>
          <w:lang w:val="en-US" w:eastAsia="zh-CN"/>
        </w:rPr>
        <w:t>人员经费增加。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60.29</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主要是</w:t>
      </w:r>
      <w:r>
        <w:rPr>
          <w:rFonts w:hint="eastAsia" w:ascii="仿宋_GB2312" w:eastAsia="仿宋_GB2312"/>
          <w:sz w:val="32"/>
          <w:lang w:val="en-US" w:eastAsia="zh-CN"/>
        </w:rPr>
        <w:t>往来款</w:t>
      </w:r>
      <w:r>
        <w:rPr>
          <w:rFonts w:ascii="仿宋_GB2312" w:eastAsia="仿宋_GB2312"/>
          <w:sz w:val="32"/>
        </w:rPr>
        <w:t>等原因形成的结余。与上年相比，今年结转结余减少</w:t>
      </w:r>
      <w:r>
        <w:rPr>
          <w:rFonts w:hint="eastAsia" w:ascii="仿宋_GB2312" w:eastAsia="仿宋_GB2312"/>
          <w:sz w:val="32"/>
          <w:lang w:val="en-US" w:eastAsia="zh-CN"/>
        </w:rPr>
        <w:t>1.84</w:t>
      </w:r>
      <w:r>
        <w:rPr>
          <w:rFonts w:ascii="仿宋_GB2312" w:eastAsia="仿宋_GB2312"/>
          <w:sz w:val="32"/>
        </w:rPr>
        <w:t>万元，降低</w:t>
      </w:r>
      <w:r>
        <w:rPr>
          <w:rFonts w:hint="eastAsia" w:ascii="仿宋_GB2312" w:eastAsia="仿宋_GB2312"/>
          <w:sz w:val="32"/>
          <w:lang w:val="en-US" w:eastAsia="zh-CN"/>
        </w:rPr>
        <w:t>3</w:t>
      </w:r>
      <w:r>
        <w:rPr>
          <w:rFonts w:ascii="仿宋_GB2312" w:eastAsia="仿宋_GB2312"/>
          <w:sz w:val="32"/>
        </w:rPr>
        <w:t>%，主要原因：</w:t>
      </w:r>
      <w:r>
        <w:rPr>
          <w:rFonts w:ascii="黑体" w:eastAsia="黑体"/>
          <w:sz w:val="32"/>
        </w:rPr>
        <w:t>一是</w:t>
      </w:r>
      <w:r>
        <w:rPr>
          <w:rFonts w:hint="eastAsia" w:ascii="黑体" w:eastAsia="黑体"/>
          <w:sz w:val="32"/>
          <w:lang w:val="en-US" w:eastAsia="zh-CN"/>
        </w:rPr>
        <w:t>往来款清算</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1525.75</w:t>
      </w:r>
      <w:r>
        <w:rPr>
          <w:rFonts w:ascii="仿宋_GB2312" w:eastAsia="仿宋_GB2312"/>
          <w:sz w:val="32"/>
        </w:rPr>
        <w:t>万元，其中：基本支出</w:t>
      </w:r>
      <w:r>
        <w:rPr>
          <w:rFonts w:hint="eastAsia" w:ascii="仿宋_GB2312" w:eastAsia="仿宋_GB2312"/>
          <w:sz w:val="32"/>
          <w:lang w:val="en-US" w:eastAsia="zh-CN"/>
        </w:rPr>
        <w:t>1350.82</w:t>
      </w:r>
      <w:r>
        <w:rPr>
          <w:rFonts w:ascii="仿宋_GB2312" w:eastAsia="仿宋_GB2312"/>
          <w:sz w:val="32"/>
        </w:rPr>
        <w:t>万元。与上年相比，财政拨款支出增加</w:t>
      </w:r>
      <w:r>
        <w:rPr>
          <w:rFonts w:hint="eastAsia" w:ascii="仿宋_GB2312" w:eastAsia="仿宋_GB2312"/>
          <w:sz w:val="32"/>
          <w:lang w:val="en-US" w:eastAsia="zh-CN"/>
        </w:rPr>
        <w:t>120.27</w:t>
      </w:r>
      <w:r>
        <w:rPr>
          <w:rFonts w:ascii="仿宋_GB2312" w:eastAsia="仿宋_GB2312"/>
          <w:sz w:val="32"/>
        </w:rPr>
        <w:t>万元，增长</w:t>
      </w:r>
      <w:r>
        <w:rPr>
          <w:rFonts w:hint="eastAsia" w:ascii="仿宋_GB2312" w:eastAsia="仿宋_GB2312"/>
          <w:sz w:val="32"/>
          <w:lang w:val="en-US" w:eastAsia="zh-CN"/>
        </w:rPr>
        <w:t>9</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100</w:t>
      </w:r>
      <w:r>
        <w:rPr>
          <w:rFonts w:ascii="仿宋_GB2312" w:eastAsia="仿宋_GB2312"/>
          <w:sz w:val="32"/>
        </w:rPr>
        <w:t>%，项目支出完成年初预算的</w:t>
      </w:r>
      <w:r>
        <w:rPr>
          <w:rFonts w:hint="eastAsia" w:ascii="仿宋_GB2312" w:eastAsia="仿宋_GB2312"/>
          <w:sz w:val="32"/>
          <w:lang w:val="en-US" w:eastAsia="zh-CN"/>
        </w:rPr>
        <w:t>100</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1668.49</w:t>
      </w:r>
      <w:r>
        <w:rPr>
          <w:rFonts w:ascii="仿宋_GB2312" w:hAnsi="宋体" w:eastAsia="仿宋_GB2312"/>
          <w:sz w:val="32"/>
          <w:szCs w:val="32"/>
        </w:rPr>
        <w:t>万元，按支出功能分类科目分，包括：</w:t>
      </w:r>
      <w:r>
        <w:rPr>
          <w:rFonts w:hint="eastAsia" w:ascii="仿宋_GB2312" w:hAnsi="宋体" w:eastAsia="仿宋_GB2312"/>
          <w:sz w:val="32"/>
          <w:szCs w:val="32"/>
          <w:lang w:val="en-US" w:eastAsia="zh-CN"/>
        </w:rPr>
        <w:t>基本</w:t>
      </w:r>
      <w:r>
        <w:rPr>
          <w:rFonts w:ascii="仿宋_GB2312" w:hAnsi="宋体" w:eastAsia="仿宋_GB2312"/>
          <w:sz w:val="32"/>
          <w:szCs w:val="32"/>
        </w:rPr>
        <w:t>支出</w:t>
      </w:r>
      <w:r>
        <w:rPr>
          <w:rFonts w:hint="eastAsia" w:ascii="仿宋_GB2312" w:hAnsi="宋体" w:eastAsia="仿宋_GB2312"/>
          <w:sz w:val="32"/>
          <w:szCs w:val="32"/>
          <w:lang w:val="en-US" w:eastAsia="zh-CN"/>
        </w:rPr>
        <w:t>1379.83</w:t>
      </w:r>
      <w:r>
        <w:rPr>
          <w:rFonts w:ascii="仿宋_GB2312" w:hAnsi="宋体" w:eastAsia="仿宋_GB2312"/>
          <w:sz w:val="32"/>
          <w:szCs w:val="32"/>
        </w:rPr>
        <w:t>万元，占</w:t>
      </w:r>
      <w:r>
        <w:rPr>
          <w:rFonts w:hint="eastAsia" w:ascii="仿宋_GB2312" w:hAnsi="宋体" w:eastAsia="仿宋_GB2312"/>
          <w:sz w:val="32"/>
          <w:szCs w:val="32"/>
          <w:lang w:val="en-US" w:eastAsia="zh-CN"/>
        </w:rPr>
        <w:t>83</w:t>
      </w:r>
      <w:r>
        <w:rPr>
          <w:rFonts w:ascii="仿宋_GB2312" w:hAnsi="宋体" w:eastAsia="仿宋_GB2312"/>
          <w:sz w:val="32"/>
          <w:szCs w:val="32"/>
        </w:rPr>
        <w:t>%；</w:t>
      </w:r>
      <w:r>
        <w:rPr>
          <w:rFonts w:hint="eastAsia" w:ascii="仿宋_GB2312" w:hAnsi="宋体" w:eastAsia="仿宋_GB2312"/>
          <w:sz w:val="32"/>
          <w:szCs w:val="32"/>
          <w:lang w:val="en-US" w:eastAsia="zh-CN"/>
        </w:rPr>
        <w:t>项目支出288.66万元，占17</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1379.83</w:t>
      </w:r>
      <w:r>
        <w:rPr>
          <w:rFonts w:ascii="仿宋_GB2312" w:hAnsi="宋体" w:eastAsia="仿宋_GB2312"/>
          <w:sz w:val="32"/>
          <w:szCs w:val="32"/>
        </w:rPr>
        <w:t>万元，具体包括：</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（1）一般公共服务支出（类）财政事务（款）行政运行（项）</w:t>
      </w:r>
      <w:r>
        <w:rPr>
          <w:rFonts w:hint="eastAsia" w:ascii="仿宋_GB2312" w:hAnsi="宋体" w:eastAsia="仿宋_GB2312"/>
          <w:sz w:val="32"/>
          <w:szCs w:val="32"/>
          <w:highlight w:val="none"/>
          <w:lang w:val="en-US" w:eastAsia="zh-CN"/>
        </w:rPr>
        <w:t>1204.9</w:t>
      </w:r>
      <w:r>
        <w:rPr>
          <w:rFonts w:ascii="仿宋_GB2312" w:hAnsi="宋体" w:eastAsia="仿宋_GB2312"/>
          <w:sz w:val="32"/>
          <w:szCs w:val="32"/>
        </w:rPr>
        <w:t>万元，主要是</w:t>
      </w:r>
      <w:r>
        <w:rPr>
          <w:rFonts w:hint="eastAsia" w:ascii="仿宋_GB2312" w:hAnsi="宋体" w:eastAsia="仿宋_GB2312"/>
          <w:sz w:val="32"/>
          <w:szCs w:val="32"/>
          <w:lang w:val="en-US" w:eastAsia="zh-CN"/>
        </w:rPr>
        <w:t>初中教育</w:t>
      </w:r>
      <w:r>
        <w:rPr>
          <w:rFonts w:ascii="仿宋_GB2312" w:hAnsi="宋体" w:eastAsia="仿宋_GB2312"/>
          <w:sz w:val="32"/>
          <w:szCs w:val="32"/>
        </w:rPr>
        <w:t>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40" w:lineRule="exact"/>
        <w:ind w:firstLine="660"/>
        <w:rPr>
          <w:rFonts w:hint="eastAsia" w:ascii="仿宋_GB2312" w:hAnsi="宋体" w:eastAsia="仿宋_GB2312"/>
          <w:sz w:val="32"/>
          <w:szCs w:val="32"/>
          <w:lang w:eastAsia="zh-CN"/>
        </w:rPr>
      </w:pPr>
      <w:r>
        <w:rPr>
          <w:rFonts w:ascii="仿宋_GB2312" w:hAnsi="宋体" w:eastAsia="仿宋_GB2312"/>
          <w:sz w:val="32"/>
          <w:szCs w:val="32"/>
        </w:rPr>
        <w:t>2.</w:t>
      </w:r>
      <w:r>
        <w:rPr>
          <w:rFonts w:hint="eastAsia" w:ascii="仿宋_GB2312" w:hAnsi="宋体" w:eastAsia="仿宋_GB2312"/>
          <w:sz w:val="32"/>
          <w:szCs w:val="32"/>
        </w:rPr>
        <w:t>一般公共服务支出社会保障和就业支出（类）财政事务（款）行政运行（项）113.</w:t>
      </w:r>
      <w:r>
        <w:rPr>
          <w:rFonts w:hint="eastAsia" w:ascii="仿宋_GB2312" w:hAnsi="宋体" w:eastAsia="仿宋_GB2312"/>
          <w:sz w:val="32"/>
          <w:szCs w:val="32"/>
          <w:lang w:val="en-US" w:eastAsia="zh-CN"/>
        </w:rPr>
        <w:t>99</w:t>
      </w:r>
      <w:r>
        <w:rPr>
          <w:rFonts w:hint="eastAsia" w:ascii="仿宋_GB2312" w:hAnsi="宋体" w:eastAsia="仿宋_GB2312"/>
          <w:sz w:val="32"/>
          <w:szCs w:val="32"/>
        </w:rPr>
        <w:t>万元，主要是养老保险等支出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spacing w:line="540" w:lineRule="exact"/>
        <w:ind w:firstLine="660"/>
        <w:rPr>
          <w:rFonts w:hint="eastAsia" w:ascii="仿宋_GB2312" w:hAnsi="宋体" w:eastAsia="仿宋_GB2312"/>
          <w:sz w:val="32"/>
          <w:szCs w:val="32"/>
          <w:lang w:eastAsia="zh-CN"/>
        </w:rPr>
      </w:pPr>
      <w:r>
        <w:rPr>
          <w:rFonts w:hint="eastAsia" w:ascii="仿宋_GB2312" w:hAnsi="宋体" w:eastAsia="仿宋_GB2312"/>
          <w:sz w:val="32"/>
          <w:szCs w:val="32"/>
        </w:rPr>
        <w:t>3.一般公共服务支出卫生和健康支出（类）财政事务（款）行政运行（项）</w:t>
      </w:r>
      <w:r>
        <w:rPr>
          <w:rFonts w:hint="eastAsia" w:ascii="仿宋_GB2312" w:hAnsi="宋体" w:eastAsia="仿宋_GB2312"/>
          <w:sz w:val="32"/>
          <w:szCs w:val="32"/>
          <w:lang w:val="en-US" w:eastAsia="zh-CN"/>
        </w:rPr>
        <w:t>60.94</w:t>
      </w:r>
      <w:r>
        <w:rPr>
          <w:rFonts w:hint="eastAsia" w:ascii="仿宋_GB2312" w:hAnsi="宋体" w:eastAsia="仿宋_GB2312"/>
          <w:sz w:val="32"/>
          <w:szCs w:val="32"/>
        </w:rPr>
        <w:t>万元，主要是医疗保险等支出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hAnsi="宋体" w:eastAsia="仿宋_GB2312"/>
          <w:sz w:val="32"/>
          <w:szCs w:val="32"/>
          <w:lang w:eastAsia="zh-CN"/>
        </w:rPr>
        <w:t>。</w:t>
      </w:r>
    </w:p>
    <w:p>
      <w:pPr>
        <w:numPr>
          <w:ilvl w:val="0"/>
          <w:numId w:val="1"/>
        </w:numPr>
        <w:spacing w:line="540" w:lineRule="exact"/>
        <w:ind w:firstLine="66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政府性基金预算财政拨款支出情况。</w:t>
      </w:r>
    </w:p>
    <w:p>
      <w:pPr>
        <w:keepNext w:val="0"/>
        <w:keepLines w:val="0"/>
        <w:pageBreakBefore w:val="0"/>
        <w:kinsoku/>
        <w:wordWrap/>
        <w:overflowPunct/>
        <w:topLinePunct w:val="0"/>
        <w:autoSpaceDE/>
        <w:bidi w:val="0"/>
        <w:adjustRightInd/>
        <w:snapToGrid/>
        <w:spacing w:before="0" w:beforeLines="0" w:after="0" w:afterLines="0" w:line="560" w:lineRule="exact"/>
        <w:ind w:left="0" w:leftChars="0" w:right="0" w:rightChars="0" w:firstLine="660"/>
        <w:textAlignment w:val="auto"/>
        <w:outlineLvl w:val="9"/>
        <w:rPr>
          <w:rFonts w:hint="default" w:ascii="仿宋_GB2312" w:hAnsi="宋体" w:eastAsia="仿宋_GB2312"/>
          <w:sz w:val="32"/>
          <w:szCs w:val="32"/>
        </w:rPr>
      </w:pPr>
      <w:r>
        <w:rPr>
          <w:rFonts w:ascii="仿宋_GB2312" w:hAnsi="宋体" w:eastAsia="仿宋_GB2312"/>
          <w:sz w:val="32"/>
          <w:szCs w:val="32"/>
        </w:rPr>
        <w:t>2021年度政府性基金预算财政拨款支出</w:t>
      </w:r>
      <w:r>
        <w:rPr>
          <w:rFonts w:hint="eastAsia" w:ascii="仿宋_GB2312" w:hAnsi="宋体" w:eastAsia="仿宋_GB2312"/>
          <w:sz w:val="32"/>
          <w:szCs w:val="32"/>
          <w:lang w:val="en-US" w:eastAsia="zh-CN"/>
        </w:rPr>
        <w:t>0</w:t>
      </w:r>
      <w:r>
        <w:rPr>
          <w:rFonts w:ascii="仿宋_GB2312" w:hAnsi="宋体" w:eastAsia="仿宋_GB2312"/>
          <w:sz w:val="32"/>
          <w:szCs w:val="32"/>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0%，主要是本年无此业务</w:t>
      </w:r>
      <w:r>
        <w:rPr>
          <w:rFonts w:hint="eastAsia" w:ascii="仿宋_GB2312" w:hAnsi="宋体" w:eastAsia="仿宋_GB2312"/>
          <w:sz w:val="32"/>
          <w:szCs w:val="32"/>
          <w:highlight w:val="none"/>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40" w:lineRule="exact"/>
        <w:ind w:firstLine="660"/>
        <w:rPr>
          <w:rFonts w:hint="default" w:ascii="仿宋_GB2312" w:hAnsi="宋体" w:eastAsia="仿宋_GB2312"/>
          <w:sz w:val="32"/>
          <w:szCs w:val="32"/>
        </w:rPr>
      </w:pPr>
      <w:r>
        <w:rPr>
          <w:rFonts w:ascii="仿宋_GB2312" w:hAnsi="宋体" w:eastAsia="仿宋_GB2312"/>
          <w:sz w:val="32"/>
          <w:szCs w:val="32"/>
        </w:rPr>
        <w:t>2021年度国有资本经营预算财政拨款支出</w:t>
      </w:r>
      <w:r>
        <w:rPr>
          <w:rFonts w:hint="eastAsia" w:ascii="仿宋_GB2312" w:hAnsi="宋体" w:eastAsia="仿宋_GB2312"/>
          <w:sz w:val="32"/>
          <w:szCs w:val="32"/>
          <w:highlight w:val="none"/>
          <w:lang w:val="en-US" w:eastAsia="zh-CN"/>
        </w:rPr>
        <w:t>0</w:t>
      </w:r>
      <w:r>
        <w:rPr>
          <w:rFonts w:hint="eastAsia" w:ascii="仿宋_GB2312" w:hAnsi="宋体" w:eastAsia="仿宋_GB2312"/>
          <w:sz w:val="32"/>
          <w:szCs w:val="32"/>
          <w:highlight w:val="none"/>
        </w:rPr>
        <w:t>万元，</w:t>
      </w:r>
      <w:r>
        <w:rPr>
          <w:rFonts w:hint="eastAsia" w:ascii="仿宋_GB2312" w:hAnsi="宋体" w:eastAsia="仿宋_GB2312"/>
          <w:sz w:val="32"/>
          <w:szCs w:val="32"/>
          <w:highlight w:val="none"/>
          <w:lang w:eastAsia="zh-CN"/>
        </w:rPr>
        <w:t>占</w:t>
      </w:r>
      <w:r>
        <w:rPr>
          <w:rFonts w:hint="eastAsia" w:ascii="仿宋_GB2312" w:hAnsi="宋体" w:eastAsia="仿宋_GB2312"/>
          <w:sz w:val="32"/>
          <w:szCs w:val="32"/>
          <w:highlight w:val="none"/>
          <w:lang w:val="en-US" w:eastAsia="zh-CN"/>
        </w:rPr>
        <w:t>0%，主要是本年无此业务。</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1.38</w:t>
      </w:r>
      <w:r>
        <w:rPr>
          <w:rFonts w:ascii="仿宋_GB2312" w:eastAsia="仿宋_GB2312"/>
          <w:sz w:val="32"/>
        </w:rPr>
        <w:t>万元，其中：因公出国（境）费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1.38</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人次,主要为参加</w:t>
      </w:r>
      <w:r>
        <w:rPr>
          <w:rFonts w:hint="eastAsia" w:ascii="仿宋_GB2312" w:eastAsia="仿宋_GB2312"/>
          <w:sz w:val="32"/>
          <w:lang w:val="en-US" w:eastAsia="zh-CN"/>
        </w:rPr>
        <w:t>0</w:t>
      </w:r>
      <w:r>
        <w:rPr>
          <w:rFonts w:ascii="仿宋_GB2312" w:eastAsia="仿宋_GB2312"/>
          <w:sz w:val="32"/>
        </w:rPr>
        <w:t>团等。</w:t>
      </w:r>
      <w:r>
        <w:rPr>
          <w:rFonts w:hint="eastAsia" w:ascii="仿宋_GB2312" w:hAnsi="宋体" w:eastAsia="仿宋_GB2312"/>
          <w:sz w:val="32"/>
          <w:szCs w:val="32"/>
          <w:highlight w:val="none"/>
          <w:lang w:eastAsia="zh-CN"/>
        </w:rPr>
        <w:t>202</w:t>
      </w:r>
      <w:r>
        <w:rPr>
          <w:rFonts w:hint="eastAsia" w:ascii="仿宋_GB2312" w:eastAsia="仿宋_GB2312"/>
          <w:sz w:val="32"/>
          <w:szCs w:val="32"/>
          <w:highlight w:val="none"/>
          <w:lang w:val="en-US" w:eastAsia="zh-CN"/>
        </w:rPr>
        <w:t>1</w:t>
      </w:r>
      <w:r>
        <w:rPr>
          <w:rFonts w:hint="eastAsia" w:ascii="仿宋_GB2312" w:hAnsi="宋体" w:eastAsia="仿宋_GB2312"/>
          <w:sz w:val="32"/>
          <w:szCs w:val="32"/>
          <w:highlight w:val="none"/>
        </w:rPr>
        <w:t>年因公出国（境）费比年初预算</w:t>
      </w:r>
      <w:r>
        <w:rPr>
          <w:rFonts w:hint="eastAsia" w:ascii="仿宋_GB2312" w:hAnsi="宋体" w:eastAsia="仿宋_GB2312"/>
          <w:sz w:val="32"/>
          <w:szCs w:val="32"/>
          <w:highlight w:val="none"/>
          <w:lang w:eastAsia="zh-CN"/>
        </w:rPr>
        <w:t>持平，</w:t>
      </w:r>
      <w:r>
        <w:rPr>
          <w:rFonts w:hint="eastAsia" w:ascii="仿宋_GB2312" w:hAnsi="宋体" w:eastAsia="仿宋_GB2312"/>
          <w:sz w:val="32"/>
          <w:szCs w:val="32"/>
          <w:highlight w:val="none"/>
          <w:lang w:val="en-US" w:eastAsia="zh-CN"/>
        </w:rPr>
        <w:t>0万元</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无此业务的</w:t>
      </w:r>
      <w:r>
        <w:rPr>
          <w:rFonts w:hint="eastAsia" w:ascii="仿宋_GB2312" w:hAnsi="宋体" w:eastAsia="仿宋_GB2312"/>
          <w:sz w:val="32"/>
          <w:szCs w:val="32"/>
          <w:highlight w:val="none"/>
        </w:rPr>
        <w:t>原因。</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hAnsi="宋体" w:eastAsia="仿宋_GB2312"/>
          <w:sz w:val="32"/>
          <w:szCs w:val="32"/>
          <w:highlight w:val="none"/>
          <w:lang w:eastAsia="zh-CN"/>
        </w:rPr>
        <w:t>202</w:t>
      </w:r>
      <w:r>
        <w:rPr>
          <w:rFonts w:hint="eastAsia" w:ascii="仿宋_GB2312" w:eastAsia="仿宋_GB2312"/>
          <w:sz w:val="32"/>
          <w:szCs w:val="32"/>
          <w:highlight w:val="none"/>
          <w:lang w:val="en-US" w:eastAsia="zh-CN"/>
        </w:rPr>
        <w:t>1</w:t>
      </w:r>
      <w:r>
        <w:rPr>
          <w:rFonts w:hint="eastAsia" w:ascii="仿宋_GB2312" w:hAnsi="宋体" w:eastAsia="仿宋_GB2312"/>
          <w:sz w:val="32"/>
          <w:szCs w:val="32"/>
          <w:highlight w:val="none"/>
        </w:rPr>
        <w:t>年公务接待费比年初预算</w:t>
      </w:r>
      <w:r>
        <w:rPr>
          <w:rFonts w:hint="eastAsia" w:ascii="仿宋_GB2312" w:hAnsi="宋体" w:eastAsia="仿宋_GB2312"/>
          <w:sz w:val="32"/>
          <w:szCs w:val="32"/>
          <w:highlight w:val="none"/>
          <w:lang w:eastAsia="zh-CN"/>
        </w:rPr>
        <w:t>持平，</w:t>
      </w:r>
      <w:r>
        <w:rPr>
          <w:rFonts w:hint="eastAsia" w:ascii="仿宋_GB2312" w:hAnsi="宋体" w:eastAsia="仿宋_GB2312"/>
          <w:sz w:val="32"/>
          <w:szCs w:val="32"/>
          <w:highlight w:val="none"/>
          <w:lang w:val="en-US" w:eastAsia="zh-CN"/>
        </w:rPr>
        <w:t>0万元</w:t>
      </w:r>
      <w:r>
        <w:rPr>
          <w:rFonts w:hint="eastAsia" w:ascii="仿宋_GB2312" w:hAnsi="宋体" w:eastAsia="仿宋_GB2312"/>
          <w:sz w:val="32"/>
          <w:szCs w:val="32"/>
          <w:highlight w:val="none"/>
        </w:rPr>
        <w:t>，主要是</w:t>
      </w:r>
      <w:r>
        <w:rPr>
          <w:rFonts w:hint="eastAsia" w:ascii="仿宋_GB2312" w:hAnsi="宋体" w:eastAsia="仿宋_GB2312"/>
          <w:sz w:val="32"/>
          <w:szCs w:val="32"/>
          <w:highlight w:val="none"/>
          <w:lang w:eastAsia="zh-CN"/>
        </w:rPr>
        <w:t>无此业务的</w:t>
      </w:r>
      <w:r>
        <w:rPr>
          <w:rFonts w:hint="eastAsia" w:ascii="仿宋_GB2312" w:hAnsi="宋体" w:eastAsia="仿宋_GB2312"/>
          <w:sz w:val="32"/>
          <w:szCs w:val="32"/>
          <w:highlight w:val="none"/>
        </w:rPr>
        <w:t>原因。</w:t>
      </w:r>
    </w:p>
    <w:p>
      <w:pPr>
        <w:pStyle w:val="6"/>
        <w:spacing w:line="560" w:lineRule="exact"/>
        <w:ind w:firstLine="640" w:firstLineChars="200"/>
        <w:rPr>
          <w:rFonts w:hint="default" w:ascii="Times New Roman" w:hAnsi="Times New Roman" w:eastAsia="仿宋_GB2312" w:cs="Times New Roman"/>
          <w:kern w:val="0"/>
          <w:szCs w:val="21"/>
          <w:lang w:val="en-US" w:eastAsia="zh-CN"/>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1.38</w:t>
      </w:r>
      <w:r>
        <w:rPr>
          <w:rFonts w:ascii="仿宋_GB2312" w:eastAsia="仿宋_GB2312"/>
          <w:sz w:val="32"/>
        </w:rPr>
        <w:t>万元，占“三公”经费支出的</w:t>
      </w:r>
      <w:r>
        <w:rPr>
          <w:rFonts w:hint="eastAsia" w:ascii="仿宋_GB2312" w:eastAsia="仿宋_GB2312"/>
          <w:sz w:val="32"/>
          <w:lang w:val="en-US" w:eastAsia="zh-CN"/>
        </w:rPr>
        <w:t>100</w:t>
      </w:r>
      <w:r>
        <w:rPr>
          <w:rFonts w:ascii="仿宋_GB2312" w:eastAsia="仿宋_GB2312"/>
          <w:sz w:val="32"/>
        </w:rPr>
        <w:t>%。</w:t>
      </w:r>
      <w:r>
        <w:rPr>
          <w:rFonts w:hint="eastAsia" w:ascii="仿宋_GB2312" w:eastAsia="仿宋_GB2312"/>
          <w:sz w:val="32"/>
          <w:lang w:val="en-US" w:eastAsia="zh-CN"/>
        </w:rPr>
        <w:t>与年初预算比增加1.38万元，增加100%，学校公务用车产生油费由生均经费中列支，区财政不单独安排资金，因此与年初预算相比增加100%。</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w:t>
      </w:r>
    </w:p>
    <w:p>
      <w:pPr>
        <w:pStyle w:val="6"/>
        <w:autoSpaceDN w:val="0"/>
        <w:spacing w:line="560" w:lineRule="exact"/>
        <w:ind w:firstLine="640"/>
        <w:rPr>
          <w:rFonts w:hint="default" w:ascii="仿宋_GB2312" w:eastAsia="仿宋_GB2312"/>
          <w:sz w:val="32"/>
          <w:lang w:val="en-US" w:eastAsia="zh-CN"/>
        </w:rPr>
      </w:pPr>
      <w:r>
        <w:rPr>
          <w:rFonts w:ascii="仿宋_GB2312" w:eastAsia="仿宋_GB2312"/>
          <w:sz w:val="32"/>
        </w:rPr>
        <w:t>公务用车运行维护费</w:t>
      </w:r>
      <w:r>
        <w:rPr>
          <w:rFonts w:hint="eastAsia" w:ascii="仿宋_GB2312" w:eastAsia="仿宋_GB2312"/>
          <w:sz w:val="32"/>
          <w:lang w:val="en-US" w:eastAsia="zh-CN"/>
        </w:rPr>
        <w:t>1.38</w:t>
      </w:r>
      <w:r>
        <w:rPr>
          <w:rFonts w:ascii="仿宋_GB2312" w:eastAsia="仿宋_GB2312"/>
          <w:sz w:val="32"/>
        </w:rPr>
        <w:t>万元，主要用于</w:t>
      </w:r>
      <w:r>
        <w:rPr>
          <w:rFonts w:hint="eastAsia" w:ascii="仿宋_GB2312" w:eastAsia="仿宋_GB2312"/>
          <w:sz w:val="32"/>
          <w:lang w:val="en-US" w:eastAsia="zh-CN"/>
        </w:rPr>
        <w:t>燃油、维修维护</w:t>
      </w:r>
      <w:r>
        <w:rPr>
          <w:rFonts w:ascii="仿宋_GB2312" w:eastAsia="仿宋_GB2312"/>
          <w:sz w:val="32"/>
        </w:rPr>
        <w:t>等</w:t>
      </w:r>
      <w:r>
        <w:rPr>
          <w:rFonts w:hint="eastAsia" w:ascii="仿宋_GB2312" w:eastAsia="仿宋_GB2312"/>
          <w:sz w:val="32"/>
          <w:lang w:eastAsia="zh-CN"/>
        </w:rPr>
        <w:t>，</w:t>
      </w:r>
      <w:r>
        <w:rPr>
          <w:rFonts w:hint="eastAsia" w:ascii="仿宋_GB2312" w:eastAsia="仿宋_GB2312"/>
          <w:sz w:val="32"/>
          <w:lang w:val="en-US" w:eastAsia="zh-CN"/>
        </w:rPr>
        <w:t>截至年末使用一般公共预算财政拨款开支运行维护费的公务用车保有量1量。</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1379.83</w:t>
      </w:r>
      <w:r>
        <w:rPr>
          <w:rFonts w:ascii="仿宋_GB2312" w:eastAsia="仿宋_GB2312"/>
          <w:sz w:val="32"/>
        </w:rPr>
        <w:t>万元，其中：人员经费</w:t>
      </w:r>
      <w:r>
        <w:rPr>
          <w:rFonts w:hint="eastAsia" w:ascii="仿宋_GB2312" w:eastAsia="仿宋_GB2312"/>
          <w:sz w:val="32"/>
          <w:lang w:val="en-US" w:eastAsia="zh-CN"/>
        </w:rPr>
        <w:t>1294.71</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85.12</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lang w:val="en-US" w:eastAsia="zh-CN"/>
        </w:rPr>
      </w:pPr>
      <w:r>
        <w:rPr>
          <w:rFonts w:ascii="仿宋_GB2312" w:eastAsia="仿宋_GB2312"/>
          <w:sz w:val="32"/>
        </w:rPr>
        <w:t>2021年度机关运行经费支出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w:t>
      </w:r>
      <w:r>
        <w:rPr>
          <w:rFonts w:hint="eastAsia" w:ascii="仿宋_GB2312" w:eastAsia="仿宋_GB2312"/>
          <w:sz w:val="32"/>
          <w:lang w:val="en-US" w:eastAsia="zh-CN"/>
        </w:rPr>
        <w:t>主要原因是沈阳市浑南区高坎中学属于事业单位，无机关运行经费。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rFonts w:hint="default" w:ascii="仿宋_GB2312" w:eastAsia="仿宋_GB2312"/>
          <w:sz w:val="32"/>
        </w:rPr>
      </w:pPr>
      <w:r>
        <w:rPr>
          <w:rFonts w:ascii="楷体_GB2312" w:eastAsia="楷体_GB2312"/>
          <w:b/>
          <w:sz w:val="32"/>
        </w:rPr>
        <w:t>（四）预算绩效管理工作开展情况。</w:t>
      </w:r>
    </w:p>
    <w:p>
      <w:pPr>
        <w:widowControl/>
        <w:spacing w:line="540" w:lineRule="exact"/>
        <w:ind w:firstLine="640" w:firstLineChars="200"/>
        <w:jc w:val="left"/>
        <w:rPr>
          <w:rFonts w:hint="eastAsia" w:eastAsia="仿宋_GB2312"/>
          <w:b/>
          <w:color w:val="FF0000"/>
          <w:lang w:eastAsia="zh-CN"/>
        </w:rPr>
      </w:pPr>
      <w:r>
        <w:rPr>
          <w:rFonts w:hint="eastAsia" w:ascii="仿宋_GB2312" w:eastAsia="仿宋_GB2312"/>
          <w:b w:val="0"/>
          <w:bCs/>
          <w:color w:val="auto"/>
          <w:sz w:val="32"/>
          <w:szCs w:val="32"/>
        </w:rPr>
        <w:t>202</w:t>
      </w:r>
      <w:r>
        <w:rPr>
          <w:rFonts w:hint="eastAsia" w:ascii="仿宋_GB2312" w:eastAsia="仿宋_GB2312"/>
          <w:b w:val="0"/>
          <w:bCs/>
          <w:color w:val="auto"/>
          <w:sz w:val="32"/>
          <w:szCs w:val="32"/>
          <w:lang w:val="en-US" w:eastAsia="zh-CN"/>
        </w:rPr>
        <w:t>1</w:t>
      </w:r>
      <w:r>
        <w:rPr>
          <w:rFonts w:hint="eastAsia" w:ascii="仿宋_GB2312" w:eastAsia="仿宋_GB2312"/>
          <w:b w:val="0"/>
          <w:bCs/>
          <w:color w:val="auto"/>
          <w:sz w:val="32"/>
          <w:szCs w:val="32"/>
        </w:rPr>
        <w:t>年不涉及民生项目和重点支出项目</w:t>
      </w:r>
      <w:r>
        <w:rPr>
          <w:rFonts w:hint="eastAsia" w:ascii="仿宋_GB2312" w:eastAsia="仿宋_GB2312"/>
          <w:b w:val="0"/>
          <w:bCs/>
          <w:color w:val="auto"/>
          <w:sz w:val="32"/>
          <w:szCs w:val="32"/>
          <w:lang w:eastAsia="zh-CN"/>
        </w:rPr>
        <w:t>，</w:t>
      </w:r>
      <w:r>
        <w:rPr>
          <w:rFonts w:hint="eastAsia" w:ascii="仿宋_GB2312" w:eastAsia="仿宋_GB2312"/>
          <w:b w:val="0"/>
          <w:bCs/>
          <w:color w:val="000000"/>
          <w:sz w:val="32"/>
          <w:szCs w:val="32"/>
          <w:lang w:eastAsia="zh-CN"/>
        </w:rPr>
        <w:t>因此本单位无绩效自评及部门评价。</w:t>
      </w:r>
    </w:p>
    <w:p>
      <w:pPr>
        <w:pStyle w:val="9"/>
        <w:numPr>
          <w:ilvl w:val="0"/>
          <w:numId w:val="2"/>
        </w:numPr>
        <w:autoSpaceDN w:val="0"/>
        <w:spacing w:line="560" w:lineRule="exact"/>
        <w:jc w:val="center"/>
        <w:rPr>
          <w:rFonts w:hint="eastAsia"/>
          <w:b/>
          <w:bCs/>
          <w:sz w:val="36"/>
          <w:szCs w:val="36"/>
        </w:rPr>
      </w:pPr>
      <w:r>
        <w:rPr>
          <w:rFonts w:hint="eastAsia"/>
          <w:b/>
          <w:bCs/>
          <w:sz w:val="36"/>
          <w:szCs w:val="36"/>
        </w:rPr>
        <w:t>名词解释</w:t>
      </w:r>
    </w:p>
    <w:p>
      <w:pPr>
        <w:pStyle w:val="9"/>
        <w:numPr>
          <w:ilvl w:val="0"/>
          <w:numId w:val="0"/>
        </w:numPr>
        <w:autoSpaceDN w:val="0"/>
        <w:spacing w:line="560" w:lineRule="exact"/>
        <w:rPr>
          <w:rFonts w:hint="eastAsia"/>
          <w:b/>
          <w:bCs/>
          <w:sz w:val="36"/>
          <w:szCs w:val="36"/>
        </w:rPr>
      </w:pP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沈阳市浑南区高坎中学</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F8402411"/>
    <w:multiLevelType w:val="singleLevel"/>
    <w:tmpl w:val="F8402411"/>
    <w:lvl w:ilvl="0" w:tentative="0">
      <w:start w:val="3"/>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14F470A"/>
    <w:rsid w:val="06BF2CFD"/>
    <w:rsid w:val="09C4782E"/>
    <w:rsid w:val="0E201906"/>
    <w:rsid w:val="0ECB7368"/>
    <w:rsid w:val="11612EA5"/>
    <w:rsid w:val="12195B6F"/>
    <w:rsid w:val="1C635C29"/>
    <w:rsid w:val="1C895386"/>
    <w:rsid w:val="1D2750FE"/>
    <w:rsid w:val="1DDE535B"/>
    <w:rsid w:val="1EA85AF1"/>
    <w:rsid w:val="20B72EDA"/>
    <w:rsid w:val="21665457"/>
    <w:rsid w:val="2A6D34F8"/>
    <w:rsid w:val="2E4F6256"/>
    <w:rsid w:val="31975471"/>
    <w:rsid w:val="36230505"/>
    <w:rsid w:val="371D2557"/>
    <w:rsid w:val="45E97975"/>
    <w:rsid w:val="525A28B3"/>
    <w:rsid w:val="53C055C9"/>
    <w:rsid w:val="54595BC3"/>
    <w:rsid w:val="54F6469B"/>
    <w:rsid w:val="56111D59"/>
    <w:rsid w:val="56697621"/>
    <w:rsid w:val="596823A6"/>
    <w:rsid w:val="5B697371"/>
    <w:rsid w:val="5E8369FB"/>
    <w:rsid w:val="61104A80"/>
    <w:rsid w:val="673C6F2C"/>
    <w:rsid w:val="6A884002"/>
    <w:rsid w:val="724179B2"/>
    <w:rsid w:val="74C425BB"/>
    <w:rsid w:val="77713250"/>
    <w:rsid w:val="7B01218A"/>
    <w:rsid w:val="7D024843"/>
    <w:rsid w:val="7D177C56"/>
    <w:rsid w:val="7DC93CC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3435</Words>
  <Characters>3764</Characters>
  <Lines>37</Lines>
  <Paragraphs>10</Paragraphs>
  <TotalTime>1</TotalTime>
  <ScaleCrop>false</ScaleCrop>
  <LinksUpToDate>false</LinksUpToDate>
  <CharactersWithSpaces>3793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2023-06-26T02:37:57Z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