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沈阳市浑南区朝鲜族学校</w:t>
      </w:r>
    </w:p>
    <w:p>
      <w:pPr>
        <w:spacing w:line="540" w:lineRule="exact"/>
        <w:jc w:val="center"/>
        <w:rPr>
          <w:rFonts w:hint="default" w:ascii="宋体" w:hAnsi="宋体"/>
          <w:b/>
          <w:sz w:val="52"/>
          <w:szCs w:val="52"/>
        </w:rPr>
      </w:pPr>
    </w:p>
    <w:p>
      <w:pPr>
        <w:spacing w:line="540" w:lineRule="exact"/>
        <w:jc w:val="center"/>
        <w:rPr>
          <w:rFonts w:hint="default" w:ascii="宋体" w:hAnsi="宋体"/>
          <w:b/>
          <w:color w:val="FF0000"/>
          <w:sz w:val="52"/>
          <w:szCs w:val="52"/>
        </w:rPr>
      </w:pP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沈阳市浑南区朝鲜族学校概况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沈阳市浑南区朝鲜族学校决算情况说明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沈阳市浑南区朝鲜族学校2021年决算报表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cs="宋体"/>
          <w:b/>
          <w:bCs/>
          <w:sz w:val="36"/>
          <w:szCs w:val="36"/>
        </w:rPr>
        <w:t>沈阳市浑南区朝鲜族学校</w:t>
      </w:r>
      <w:r>
        <w:rPr>
          <w:rFonts w:cs="宋体"/>
          <w:b/>
          <w:bCs/>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numPr>
          <w:ilvl w:val="0"/>
          <w:numId w:val="1"/>
        </w:numPr>
        <w:ind w:firstLine="643"/>
        <w:rPr>
          <w:rFonts w:hint="default" w:eastAsia="仿宋_GB2312" w:cs="宋体"/>
          <w:kern w:val="0"/>
          <w:sz w:val="32"/>
          <w:szCs w:val="32"/>
        </w:rPr>
      </w:pPr>
      <w:r>
        <w:rPr>
          <w:rFonts w:eastAsia="仿宋_GB2312" w:cs="宋体"/>
          <w:kern w:val="0"/>
          <w:sz w:val="32"/>
          <w:szCs w:val="32"/>
        </w:rPr>
        <w:t>我校是九年一贯制学校兼容幼儿园，对沈阳市浑南区及周边适龄儿童及幼儿进行招收。</w:t>
      </w:r>
    </w:p>
    <w:p>
      <w:pPr>
        <w:ind w:firstLine="640" w:firstLineChars="200"/>
        <w:rPr>
          <w:rFonts w:hint="default" w:eastAsia="仿宋_GB2312" w:cs="宋体"/>
          <w:kern w:val="0"/>
          <w:sz w:val="32"/>
          <w:szCs w:val="32"/>
        </w:rPr>
      </w:pPr>
      <w:r>
        <w:rPr>
          <w:rFonts w:eastAsia="仿宋_GB2312" w:cs="宋体"/>
          <w:kern w:val="0"/>
          <w:sz w:val="32"/>
          <w:szCs w:val="32"/>
        </w:rPr>
        <w:t>1、全面贯彻国家教育方针，即教育必须为社会主义现代化建设服务、为人民服务，必须与生产劳动和社会实践相结合，培养德、智、体、美等方面全面发展的社会主义建设者和接班人。</w:t>
      </w:r>
    </w:p>
    <w:p>
      <w:pPr>
        <w:ind w:firstLine="640" w:firstLineChars="200"/>
        <w:rPr>
          <w:rFonts w:hint="default" w:ascii="黑体" w:eastAsia="黑体"/>
          <w:sz w:val="32"/>
          <w:szCs w:val="32"/>
        </w:rPr>
      </w:pPr>
      <w:r>
        <w:rPr>
          <w:rFonts w:eastAsia="仿宋_GB2312" w:cs="宋体"/>
          <w:kern w:val="0"/>
          <w:sz w:val="32"/>
          <w:szCs w:val="32"/>
        </w:rPr>
        <w:t>2、组织教育教学、科学研究活动，保证教育教学质量。维护教职工利益，保障教职工合法权益，以教职工和学生的人生幸福和生命质量作为重点。制定学校发展规划，并抓好组织实施和落实情况。科学管理、合理使用学校的设施和经费，并积极筹措办学资金，改善办学条件。</w:t>
      </w:r>
      <w:r>
        <w:rPr>
          <w:rFonts w:eastAsia="仿宋_GB2312"/>
          <w:sz w:val="32"/>
          <w:szCs w:val="32"/>
        </w:rPr>
        <w:t>依法接受各级教育行政部门的检查指导和人民群众的监督。</w:t>
      </w:r>
    </w:p>
    <w:p>
      <w:pPr>
        <w:ind w:left="359" w:leftChars="171" w:firstLine="313" w:firstLineChars="98"/>
        <w:rPr>
          <w:rFonts w:hint="default" w:eastAsia="仿宋_GB2312" w:cs="宋体"/>
          <w:kern w:val="0"/>
          <w:sz w:val="32"/>
          <w:szCs w:val="32"/>
        </w:rPr>
      </w:pPr>
      <w:r>
        <w:rPr>
          <w:rFonts w:eastAsia="仿宋_GB2312" w:cs="宋体"/>
          <w:kern w:val="0"/>
          <w:sz w:val="32"/>
          <w:szCs w:val="32"/>
        </w:rPr>
        <w:t>3、财务管理方面：</w:t>
      </w:r>
    </w:p>
    <w:p>
      <w:pPr>
        <w:widowControl/>
        <w:spacing w:line="400" w:lineRule="atLeast"/>
        <w:ind w:firstLine="640" w:firstLineChars="200"/>
        <w:jc w:val="left"/>
        <w:rPr>
          <w:rFonts w:hint="default" w:eastAsia="仿宋_GB2312" w:cs="宋体"/>
          <w:kern w:val="0"/>
          <w:sz w:val="32"/>
          <w:szCs w:val="32"/>
        </w:rPr>
      </w:pPr>
      <w:r>
        <w:rPr>
          <w:rFonts w:eastAsia="仿宋_GB2312" w:cs="宋体"/>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640" w:firstLineChars="200"/>
        <w:jc w:val="left"/>
        <w:rPr>
          <w:rFonts w:hint="default" w:eastAsia="仿宋_GB2312" w:cs="宋体"/>
          <w:kern w:val="0"/>
          <w:sz w:val="32"/>
          <w:szCs w:val="32"/>
        </w:rPr>
      </w:pPr>
      <w:r>
        <w:rPr>
          <w:rFonts w:eastAsia="仿宋_GB2312" w:cs="宋体"/>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ind w:firstLine="640" w:firstLineChars="200"/>
        <w:rPr>
          <w:rFonts w:hint="default" w:ascii="仿宋" w:hAnsi="仿宋" w:eastAsia="仿宋"/>
          <w:sz w:val="32"/>
          <w:szCs w:val="32"/>
        </w:rPr>
      </w:pPr>
      <w:r>
        <w:rPr>
          <w:rFonts w:eastAsia="仿宋_GB2312" w:cs="宋体"/>
          <w:kern w:val="0"/>
          <w:sz w:val="32"/>
          <w:szCs w:val="32"/>
        </w:rPr>
        <w:t>（二）</w:t>
      </w:r>
      <w:r>
        <w:rPr>
          <w:rFonts w:ascii="仿宋" w:hAnsi="仿宋" w:eastAsia="仿宋"/>
          <w:sz w:val="32"/>
          <w:szCs w:val="32"/>
        </w:rPr>
        <w:t>内设机构：我校为公益一类、全额拨款事业单位。</w:t>
      </w:r>
    </w:p>
    <w:p>
      <w:pPr>
        <w:ind w:firstLine="640" w:firstLineChars="200"/>
        <w:rPr>
          <w:rFonts w:hint="default" w:ascii="仿宋" w:hAnsi="仿宋" w:eastAsia="仿宋"/>
          <w:sz w:val="32"/>
          <w:szCs w:val="32"/>
        </w:rPr>
      </w:pPr>
      <w:r>
        <w:rPr>
          <w:rFonts w:ascii="仿宋" w:hAnsi="仿宋" w:eastAsia="仿宋"/>
          <w:sz w:val="32"/>
          <w:szCs w:val="32"/>
        </w:rPr>
        <w:t>内设机构有：教导处、德育处、总务处、办公室、团委。</w:t>
      </w:r>
    </w:p>
    <w:p>
      <w:pPr>
        <w:pStyle w:val="6"/>
        <w:spacing w:line="560" w:lineRule="exact"/>
        <w:ind w:firstLine="640" w:firstLineChars="200"/>
        <w:rPr>
          <w:rFonts w:hint="default" w:ascii="仿宋" w:hAnsi="仿宋" w:eastAsia="仿宋"/>
          <w:sz w:val="32"/>
          <w:szCs w:val="32"/>
        </w:rPr>
      </w:pPr>
      <w:r>
        <w:rPr>
          <w:rFonts w:eastAsia="仿宋_GB2312" w:cs="宋体"/>
          <w:kern w:val="0"/>
          <w:sz w:val="32"/>
          <w:szCs w:val="32"/>
        </w:rPr>
        <w:t>（三）</w:t>
      </w:r>
      <w:r>
        <w:rPr>
          <w:rFonts w:ascii="仿宋" w:hAnsi="仿宋" w:eastAsia="仿宋"/>
          <w:sz w:val="32"/>
          <w:szCs w:val="32"/>
        </w:rPr>
        <w:t>人员编制：根据沈阳市浑南区机构编制委员会办公室下发的沈浑南编办发文件，我校的编制数为69人。</w:t>
      </w:r>
    </w:p>
    <w:p>
      <w:pPr>
        <w:pStyle w:val="6"/>
        <w:spacing w:line="560" w:lineRule="exact"/>
        <w:ind w:left="420" w:firstLine="320" w:firstLineChars="100"/>
        <w:rPr>
          <w:rFonts w:hint="default" w:ascii="黑体" w:eastAsia="黑体"/>
          <w:sz w:val="32"/>
        </w:rPr>
      </w:pPr>
      <w:r>
        <w:rPr>
          <w:rFonts w:ascii="黑体" w:eastAsia="黑体"/>
          <w:sz w:val="32"/>
        </w:rPr>
        <w:t>二、决算单位构成</w:t>
      </w:r>
    </w:p>
    <w:p>
      <w:pPr>
        <w:pStyle w:val="6"/>
        <w:spacing w:line="560" w:lineRule="exact"/>
        <w:ind w:firstLine="640" w:firstLineChars="200"/>
        <w:rPr>
          <w:rFonts w:hint="default"/>
          <w:b/>
          <w:sz w:val="36"/>
        </w:rPr>
      </w:pPr>
      <w:r>
        <w:rPr>
          <w:rFonts w:ascii="仿宋_GB2312" w:eastAsia="仿宋_GB2312"/>
          <w:sz w:val="32"/>
          <w:szCs w:val="32"/>
        </w:rPr>
        <w:t>本单位是纳入浑南区教育局202</w:t>
      </w:r>
      <w:r>
        <w:rPr>
          <w:rFonts w:hint="default" w:ascii="仿宋_GB2312" w:eastAsia="仿宋_GB2312"/>
          <w:sz w:val="32"/>
          <w:szCs w:val="32"/>
        </w:rPr>
        <w:t>1</w:t>
      </w:r>
      <w:r>
        <w:rPr>
          <w:rFonts w:ascii="仿宋_GB2312" w:eastAsia="仿宋_GB2312"/>
          <w:sz w:val="32"/>
          <w:szCs w:val="32"/>
        </w:rPr>
        <w:t>年度决算编制范围的二级预算单位，本单位无下设机构。</w:t>
      </w:r>
    </w:p>
    <w:p>
      <w:pPr>
        <w:pStyle w:val="6"/>
        <w:spacing w:line="560" w:lineRule="exact"/>
        <w:jc w:val="center"/>
        <w:rPr>
          <w:rFonts w:hint="eastAsia"/>
          <w:b/>
          <w:sz w:val="36"/>
          <w:lang w:val="en-US" w:eastAsia="zh-CN"/>
        </w:rPr>
      </w:pPr>
      <w:r>
        <w:rPr>
          <w:rFonts w:hint="eastAsia"/>
          <w:b/>
          <w:sz w:val="36"/>
          <w:lang w:val="en-US" w:eastAsia="zh-CN"/>
        </w:rPr>
        <w:t xml:space="preserve"> </w:t>
      </w:r>
    </w:p>
    <w:p>
      <w:pPr>
        <w:pStyle w:val="6"/>
        <w:spacing w:line="560" w:lineRule="exact"/>
        <w:jc w:val="center"/>
        <w:rPr>
          <w:rFonts w:hint="default"/>
          <w:b/>
          <w:sz w:val="36"/>
        </w:rPr>
      </w:pPr>
      <w:r>
        <w:rPr>
          <w:b/>
          <w:sz w:val="36"/>
        </w:rPr>
        <w:t xml:space="preserve">第二部分 </w:t>
      </w:r>
      <w:r>
        <w:rPr>
          <w:rFonts w:cs="宋体"/>
          <w:b/>
          <w:bCs/>
          <w:sz w:val="36"/>
          <w:szCs w:val="36"/>
        </w:rPr>
        <w:t>沈阳市浑南区朝鲜族学校2021年</w:t>
      </w:r>
      <w:r>
        <w:rPr>
          <w:b/>
          <w:sz w:val="36"/>
        </w:rPr>
        <w:t>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（一）收入总计2039.01万元。包括：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1.财政拨款收入1887.51万元，占收入总计的92.57%。其中：一般公共预算财政拨款收入1887.51万元，政府性基金收入0万元，国有资本经营预算财政拨款收入0万元。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.事业收入36.5万元，占收入总计的1.79%。主要是幼儿园保教费收入。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.其他收入61.88万元，占收入总计的3.03%。主要是教育局转入的2020年绩效工资。</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.上年结转和结余53.12万元，占收入总计的2.61%。主要是 主要是教育局归集调入饮用水补助资金9.74万元、结构性缺编资金1.22万元、归集调入弹性离校6.87万元、体育场地开放资金7万元、市转移支付资金22.85万元、学生桌椅3.44万元、沈阳市体育局转省级传统校扶持经费2万元。</w:t>
      </w:r>
    </w:p>
    <w:p>
      <w:pPr>
        <w:spacing w:line="540" w:lineRule="exact"/>
        <w:ind w:firstLine="660"/>
        <w:rPr>
          <w:rFonts w:hint="default" w:ascii="仿宋" w:hAnsi="仿宋" w:eastAsia="仿宋" w:cs="仿宋"/>
          <w:sz w:val="32"/>
        </w:rPr>
      </w:pPr>
      <w:r>
        <w:rPr>
          <w:rFonts w:ascii="仿宋_GB2312" w:eastAsia="仿宋_GB2312"/>
          <w:sz w:val="32"/>
        </w:rPr>
        <w:t>与上年1507.82万元相比，今年收入增加531.19万元，增长35.23%，主要原因：</w:t>
      </w:r>
      <w:r>
        <w:rPr>
          <w:rFonts w:ascii="仿宋" w:hAnsi="仿宋" w:eastAsia="仿宋" w:cs="仿宋"/>
          <w:sz w:val="32"/>
          <w:szCs w:val="32"/>
        </w:rPr>
        <w:t>一是学生人数增加，公用经费增加；二是教师人数增加，人员经费增加。</w:t>
      </w:r>
    </w:p>
    <w:p>
      <w:pPr>
        <w:pStyle w:val="6"/>
        <w:numPr>
          <w:ilvl w:val="0"/>
          <w:numId w:val="2"/>
        </w:numPr>
        <w:spacing w:line="560" w:lineRule="exact"/>
        <w:ind w:firstLine="660"/>
        <w:rPr>
          <w:rFonts w:hint="default" w:ascii="楷体_GB2312" w:eastAsia="楷体_GB2312"/>
          <w:b/>
          <w:sz w:val="32"/>
        </w:rPr>
      </w:pPr>
      <w:r>
        <w:rPr>
          <w:rFonts w:ascii="楷体_GB2312" w:eastAsia="楷体_GB2312"/>
          <w:b/>
          <w:sz w:val="32"/>
        </w:rPr>
        <w:t>支出总计2039.01万元，包括：</w:t>
      </w:r>
    </w:p>
    <w:p>
      <w:pPr>
        <w:pStyle w:val="6"/>
        <w:spacing w:line="560" w:lineRule="exact"/>
        <w:ind w:firstLine="640" w:firstLineChars="200"/>
        <w:rPr>
          <w:rFonts w:hint="default" w:ascii="仿宋_GB2312" w:eastAsia="仿宋_GB2312"/>
          <w:sz w:val="32"/>
        </w:rPr>
      </w:pPr>
      <w:r>
        <w:rPr>
          <w:rFonts w:ascii="仿宋_GB2312" w:eastAsia="仿宋_GB2312"/>
          <w:sz w:val="32"/>
        </w:rPr>
        <w:t>1.基本支出1725.67万元，占支出总计的84.63%。主要是为保障机构正常运转、完成日常工作任务而发生的各项支出，其中：工资福利支出1020.28万元，对个人和家庭的补助支出427.11万元，商品和服务支出258.45万元，</w:t>
      </w:r>
      <w:r>
        <w:rPr>
          <w:rFonts w:ascii="仿宋_GB2312" w:eastAsia="仿宋_GB2312"/>
          <w:sz w:val="32"/>
          <w:szCs w:val="32"/>
        </w:rPr>
        <w:t>资本性支出19.83万元</w:t>
      </w:r>
      <w:r>
        <w:rPr>
          <w:rFonts w:ascii="仿宋_GB2312" w:eastAsia="仿宋_GB2312"/>
          <w:sz w:val="32"/>
        </w:rPr>
        <w:t>。</w:t>
      </w:r>
    </w:p>
    <w:p>
      <w:pPr>
        <w:spacing w:line="540" w:lineRule="exact"/>
        <w:ind w:firstLine="660"/>
        <w:rPr>
          <w:rFonts w:hint="default" w:ascii="仿宋_GB2312" w:eastAsia="仿宋_GB2312"/>
          <w:sz w:val="32"/>
        </w:rPr>
      </w:pPr>
      <w:r>
        <w:rPr>
          <w:rFonts w:ascii="仿宋_GB2312" w:eastAsia="仿宋_GB2312"/>
          <w:sz w:val="32"/>
        </w:rPr>
        <w:t>2.项目支出313.34万元，占支出总计的15.37%。</w:t>
      </w:r>
      <w:r>
        <w:rPr>
          <w:rFonts w:ascii="仿宋_GB2312" w:hAnsi="宋体" w:eastAsia="仿宋_GB2312"/>
          <w:sz w:val="32"/>
          <w:szCs w:val="32"/>
        </w:rPr>
        <w:t>主要包括</w:t>
      </w:r>
      <w:r>
        <w:rPr>
          <w:rFonts w:ascii="仿宋_GB2312" w:eastAsia="仿宋_GB2312"/>
          <w:sz w:val="32"/>
        </w:rPr>
        <w:t>包括学前教育支出43.14万元，初中教育支出85.18万元，其他普通教育支出88.86万元，教育费附加安排的支出94.15万元，其他教育支出2万元</w:t>
      </w:r>
    </w:p>
    <w:p>
      <w:pPr>
        <w:spacing w:line="540" w:lineRule="exact"/>
        <w:ind w:firstLine="660"/>
        <w:rPr>
          <w:rFonts w:hint="default" w:ascii="仿宋_GB2312" w:eastAsia="仿宋_GB2312"/>
          <w:sz w:val="32"/>
        </w:rPr>
      </w:pPr>
      <w:r>
        <w:rPr>
          <w:rFonts w:ascii="仿宋_GB2312" w:eastAsia="仿宋_GB2312"/>
          <w:sz w:val="32"/>
        </w:rPr>
        <w:t>与上年支出1504.53万元相比，今年支出增加534.48万元，增长35.52%，主要原因：</w:t>
      </w:r>
      <w:r>
        <w:rPr>
          <w:rFonts w:ascii="仿宋" w:hAnsi="仿宋" w:eastAsia="仿宋" w:cs="仿宋"/>
          <w:sz w:val="32"/>
          <w:szCs w:val="32"/>
        </w:rPr>
        <w:t>一是公用经费增加，支出就增加；二是教师人数增加，人员经费支出也增加</w:t>
      </w:r>
      <w:r>
        <w:rPr>
          <w:rFonts w:ascii="仿宋_GB2312" w:hAnsi="宋体" w:eastAsia="仿宋_GB2312"/>
          <w:sz w:val="32"/>
          <w:szCs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60"/>
        <w:rPr>
          <w:rFonts w:hint="default" w:ascii="仿宋_GB2312" w:eastAsia="仿宋_GB2312"/>
          <w:sz w:val="32"/>
        </w:rPr>
      </w:pPr>
      <w:r>
        <w:rPr>
          <w:rFonts w:ascii="仿宋_GB2312" w:eastAsia="仿宋_GB2312"/>
          <w:sz w:val="32"/>
        </w:rPr>
        <w:t>2021年收支一致没有结余。与上年相比，今年结转结余减少3.29万元，减少100%，主要原</w:t>
      </w:r>
      <w:r>
        <w:rPr>
          <w:rFonts w:hint="eastAsia" w:ascii="仿宋_GB2312" w:hAnsi="仿宋_GB2312" w:eastAsia="仿宋_GB2312" w:cs="仿宋_GB2312"/>
          <w:sz w:val="32"/>
        </w:rPr>
        <w:t>因：今年没有结余。</w:t>
      </w:r>
    </w:p>
    <w:p>
      <w:pPr>
        <w:pStyle w:val="6"/>
        <w:numPr>
          <w:ilvl w:val="0"/>
          <w:numId w:val="3"/>
        </w:numPr>
        <w:spacing w:line="560" w:lineRule="exact"/>
        <w:ind w:firstLine="660"/>
        <w:rPr>
          <w:rFonts w:hint="default" w:ascii="黑体" w:eastAsia="黑体"/>
          <w:sz w:val="32"/>
        </w:rPr>
      </w:pPr>
      <w:r>
        <w:rPr>
          <w:rFonts w:ascii="黑体" w:eastAsia="黑体"/>
          <w:sz w:val="32"/>
        </w:rPr>
        <w:t>财政拨款收入支出决算情况说明</w:t>
      </w:r>
    </w:p>
    <w:p>
      <w:pPr>
        <w:pStyle w:val="6"/>
        <w:spacing w:line="560" w:lineRule="exact"/>
        <w:ind w:firstLine="643" w:firstLineChars="200"/>
        <w:rPr>
          <w:rFonts w:hint="default" w:ascii="楷体_GB2312" w:eastAsia="楷体_GB2312"/>
          <w:b/>
          <w:sz w:val="32"/>
        </w:rPr>
      </w:pPr>
      <w:r>
        <w:rPr>
          <w:rFonts w:ascii="楷体_GB2312" w:eastAsia="楷体_GB2312"/>
          <w:b/>
          <w:sz w:val="32"/>
        </w:rPr>
        <w:t>（一）总体情况</w:t>
      </w:r>
    </w:p>
    <w:p>
      <w:pPr>
        <w:spacing w:line="540" w:lineRule="exact"/>
        <w:ind w:firstLine="660"/>
        <w:rPr>
          <w:rFonts w:hint="default" w:ascii="仿宋_GB2312" w:eastAsia="仿宋_GB2312"/>
          <w:sz w:val="32"/>
        </w:rPr>
      </w:pPr>
      <w:r>
        <w:rPr>
          <w:rFonts w:ascii="仿宋_GB2312" w:eastAsia="仿宋_GB2312"/>
          <w:sz w:val="32"/>
        </w:rPr>
        <w:t>2021年度财政拨款支出1938.63万元，其中：基本支出1689.17万元，项目支出249.46万元。与上年1504.53万元相比，财政拨款支出增加434.1万元，增长28.85%，主要原因：</w:t>
      </w:r>
      <w:r>
        <w:rPr>
          <w:rFonts w:ascii="仿宋_GB2312" w:hAnsi="宋体" w:eastAsia="仿宋_GB2312" w:cs="Times New Roman"/>
          <w:sz w:val="32"/>
          <w:szCs w:val="32"/>
        </w:rPr>
        <w:t>人员经费和公用经费费增加，支出增加</w:t>
      </w:r>
      <w:r>
        <w:rPr>
          <w:rFonts w:ascii="仿宋_GB2312" w:eastAsia="仿宋_GB2312"/>
          <w:sz w:val="32"/>
        </w:rPr>
        <w:t>。与年初预算</w:t>
      </w:r>
      <w:r>
        <w:rPr>
          <w:rFonts w:ascii="仿宋" w:hAnsi="仿宋" w:eastAsia="仿宋" w:cs="仿宋"/>
          <w:sz w:val="32"/>
          <w:szCs w:val="32"/>
        </w:rPr>
        <w:t>1130.25万元</w:t>
      </w:r>
      <w:r>
        <w:rPr>
          <w:rFonts w:ascii="仿宋_GB2312" w:eastAsia="仿宋_GB2312"/>
          <w:sz w:val="32"/>
        </w:rPr>
        <w:t>相比，2021年度财政拨款支出完成年初预算的171.52%，其中：基本支出完成年初预算的149.45%，</w:t>
      </w:r>
      <w:r>
        <w:rPr>
          <w:rFonts w:ascii="仿宋_GB2312" w:hAnsi="宋体" w:eastAsia="仿宋_GB2312"/>
          <w:sz w:val="32"/>
          <w:szCs w:val="32"/>
        </w:rPr>
        <w:t>学校没有单独安排项目支出年初预算，由教育局统一安排。</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pStyle w:val="6"/>
        <w:spacing w:line="560" w:lineRule="atLeast"/>
        <w:ind w:firstLine="660"/>
        <w:rPr>
          <w:rFonts w:hint="default" w:ascii="仿宋_GB2312" w:eastAsia="仿宋_GB2312"/>
          <w:sz w:val="32"/>
          <w:szCs w:val="32"/>
        </w:rPr>
      </w:pPr>
      <w:r>
        <w:rPr>
          <w:rFonts w:ascii="仿宋_GB2312" w:eastAsia="仿宋_GB2312"/>
          <w:sz w:val="32"/>
          <w:szCs w:val="32"/>
        </w:rPr>
        <w:t>2021年度一般公共预算财政拨款支出1689.17万元，包括：包括教育支出1405.64万元，社会保障与就业支出119.98万元，卫生健康支出58.7万元，住房保障支出104.85万元。</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1.一般公共服务支出1405.64万元，具体包括：</w:t>
      </w:r>
    </w:p>
    <w:p>
      <w:pPr>
        <w:pStyle w:val="6"/>
        <w:spacing w:line="560" w:lineRule="atLeast"/>
        <w:ind w:firstLine="660"/>
        <w:rPr>
          <w:rFonts w:hint="default" w:ascii="仿宋_GB2312" w:eastAsia="仿宋_GB2312"/>
          <w:sz w:val="32"/>
          <w:szCs w:val="32"/>
        </w:rPr>
      </w:pPr>
      <w:r>
        <w:rPr>
          <w:rFonts w:ascii="仿宋_GB2312" w:eastAsia="仿宋_GB2312"/>
          <w:sz w:val="32"/>
          <w:szCs w:val="32"/>
        </w:rPr>
        <w:t>（1）学前教育支出113.38万元，主要用于幼儿园劳务费支出支出113.38万元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（2）初中教育支出1291.04万元，主要是工资福利支出745.92万元、商品服务支出115.14万元、对个人和家庭补助支出416.72等支出,办公设备购置等资本性支出13.26万元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（3）其他普通教育支出1.22万元，主要包括工资福利支出1.22万元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2.社会保障与就业支出119.98万元，包括：工资福利支出109.59万元，对个人和家庭补助支出10.39万元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color w:val="FF0000"/>
          <w:sz w:val="32"/>
          <w:szCs w:val="32"/>
        </w:rPr>
      </w:pPr>
      <w:r>
        <w:rPr>
          <w:rFonts w:ascii="仿宋_GB2312" w:eastAsia="仿宋_GB2312"/>
          <w:sz w:val="32"/>
          <w:szCs w:val="32"/>
        </w:rPr>
        <w:t>3、卫生健康支出58.7万元，包括：工资福利支出58.7万元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color w:val="FF0000"/>
          <w:sz w:val="32"/>
          <w:szCs w:val="32"/>
        </w:rPr>
      </w:pPr>
      <w:r>
        <w:rPr>
          <w:rFonts w:ascii="仿宋_GB2312" w:eastAsia="仿宋_GB2312"/>
          <w:sz w:val="32"/>
          <w:szCs w:val="32"/>
        </w:rPr>
        <w:t>4、住房保障支出104.85万元，主要包括工资福利支出104.85万元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p>
    <w:p>
      <w:pPr>
        <w:spacing w:line="560" w:lineRule="exact"/>
        <w:ind w:firstLine="643" w:firstLineChars="200"/>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40" w:firstLineChars="200"/>
        <w:rPr>
          <w:rFonts w:hint="default" w:ascii="黑体" w:hAnsi="黑体" w:eastAsia="黑体" w:cs="黑体"/>
          <w:b/>
          <w:color w:val="FF0000"/>
          <w:sz w:val="32"/>
          <w:szCs w:val="32"/>
        </w:rPr>
      </w:pPr>
      <w:r>
        <w:rPr>
          <w:rFonts w:ascii="仿宋" w:hAnsi="仿宋" w:eastAsia="仿宋" w:cs="仿宋"/>
          <w:bCs/>
          <w:color w:val="000000" w:themeColor="text1"/>
          <w:sz w:val="32"/>
          <w:szCs w:val="32"/>
          <w14:textFill>
            <w14:solidFill>
              <w14:schemeClr w14:val="tx1"/>
            </w14:solidFill>
          </w14:textFill>
        </w:rPr>
        <w:t>我单位本年未发生此项资金。</w:t>
      </w:r>
    </w:p>
    <w:p>
      <w:pPr>
        <w:numPr>
          <w:ilvl w:val="0"/>
          <w:numId w:val="2"/>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60" w:lineRule="exact"/>
        <w:ind w:left="660"/>
        <w:rPr>
          <w:rFonts w:hint="default" w:ascii="黑体" w:hAnsi="黑体" w:eastAsia="黑体" w:cs="黑体"/>
          <w:b/>
          <w:color w:val="FF0000"/>
          <w:sz w:val="32"/>
          <w:szCs w:val="32"/>
        </w:rPr>
      </w:pPr>
      <w:r>
        <w:rPr>
          <w:rFonts w:ascii="仿宋" w:hAnsi="仿宋" w:eastAsia="仿宋" w:cs="仿宋"/>
          <w:bCs/>
          <w:color w:val="000000" w:themeColor="text1"/>
          <w:sz w:val="32"/>
          <w:szCs w:val="32"/>
          <w14:textFill>
            <w14:solidFill>
              <w14:schemeClr w14:val="tx1"/>
            </w14:solidFill>
          </w14:textFill>
        </w:rPr>
        <w:t>我单位本年未发生此项资金。</w:t>
      </w:r>
    </w:p>
    <w:p>
      <w:pPr>
        <w:numPr>
          <w:ilvl w:val="0"/>
          <w:numId w:val="3"/>
        </w:numPr>
        <w:spacing w:line="540" w:lineRule="exact"/>
        <w:ind w:firstLine="660"/>
        <w:rPr>
          <w:rFonts w:hint="default" w:ascii="黑体" w:eastAsia="黑体"/>
          <w:sz w:val="32"/>
        </w:rPr>
      </w:pPr>
      <w:r>
        <w:rPr>
          <w:rFonts w:ascii="黑体" w:eastAsia="黑体"/>
          <w:sz w:val="32"/>
        </w:rPr>
        <w:t>一般公共预算财政拨款“三公”经费支出决算情况说明</w:t>
      </w:r>
    </w:p>
    <w:p>
      <w:pPr>
        <w:pStyle w:val="6"/>
        <w:autoSpaceDN w:val="0"/>
        <w:spacing w:line="560" w:lineRule="exact"/>
        <w:ind w:firstLine="640" w:firstLineChars="200"/>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0" w:firstLineChars="200"/>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0" w:firstLineChars="200"/>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spacing w:line="560" w:lineRule="exact"/>
        <w:ind w:firstLine="640" w:firstLineChars="200"/>
        <w:rPr>
          <w:rFonts w:ascii="黑体" w:eastAsia="黑体"/>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left="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1689.17万元，其中：人员经费1447.39万元，主要包括基本工资、津贴补贴、奖金、其他社会保障缴费、机关事业单位基本养老保险缴费、其他工资福利支出、离休费、退休费、抚恤金、生活补助、奖励金、住房公积金、采暖补贴、其他对个人和家庭补助的支出；日常公用经费241.78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spacing w:line="540" w:lineRule="exact"/>
        <w:ind w:firstLine="643" w:firstLineChars="20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eastAsia="仿宋_GB2312"/>
          <w:sz w:val="32"/>
        </w:rPr>
      </w:pPr>
      <w:r>
        <w:rPr>
          <w:rFonts w:ascii="仿宋_GB2312" w:hAnsi="黑体" w:eastAsia="仿宋_GB2312"/>
          <w:sz w:val="32"/>
          <w:szCs w:val="32"/>
        </w:rPr>
        <w:t>2021年机关运行经费支出0万元，与上年持平，主要原因是我单位属于事业单位，无机关运行经费。</w:t>
      </w:r>
    </w:p>
    <w:p>
      <w:pPr>
        <w:numPr>
          <w:ilvl w:val="0"/>
          <w:numId w:val="1"/>
        </w:numPr>
        <w:spacing w:line="540" w:lineRule="exact"/>
        <w:ind w:firstLine="643"/>
        <w:rPr>
          <w:rFonts w:hint="default" w:ascii="楷体_GB2312" w:eastAsia="楷体_GB2312"/>
          <w:b/>
          <w:sz w:val="32"/>
        </w:rPr>
      </w:pPr>
      <w:r>
        <w:rPr>
          <w:rFonts w:ascii="楷体_GB2312" w:eastAsia="楷体_GB2312"/>
          <w:b/>
          <w:sz w:val="32"/>
        </w:rPr>
        <w:t>政府采购支出情况。</w:t>
      </w:r>
    </w:p>
    <w:p>
      <w:pPr>
        <w:spacing w:line="540" w:lineRule="exact"/>
        <w:ind w:left="420" w:firstLine="320" w:firstLineChars="100"/>
        <w:rPr>
          <w:rFonts w:hint="default" w:ascii="仿宋_GB2312" w:eastAsia="仿宋_GB2312"/>
          <w:sz w:val="32"/>
        </w:rPr>
      </w:pPr>
      <w:r>
        <w:rPr>
          <w:rFonts w:ascii="仿宋_GB2312" w:hAnsi="黑体" w:eastAsia="仿宋_GB2312"/>
          <w:sz w:val="32"/>
          <w:szCs w:val="32"/>
        </w:rPr>
        <w:t>2021年政府采购支出总额0万元，其中：政府采购货物支出0万元，政府采购工程支出0万元，政府采购服务支出0万元。</w:t>
      </w:r>
    </w:p>
    <w:p>
      <w:pPr>
        <w:pStyle w:val="6"/>
        <w:numPr>
          <w:ilvl w:val="0"/>
          <w:numId w:val="1"/>
        </w:numPr>
        <w:spacing w:line="560" w:lineRule="exact"/>
        <w:ind w:firstLine="643"/>
        <w:rPr>
          <w:rFonts w:hint="default" w:ascii="楷体_GB2312" w:eastAsia="楷体_GB2312"/>
          <w:b/>
          <w:sz w:val="32"/>
        </w:rPr>
      </w:pPr>
      <w:r>
        <w:rPr>
          <w:rFonts w:ascii="楷体_GB2312" w:eastAsia="楷体_GB2312"/>
          <w:b/>
          <w:sz w:val="32"/>
        </w:rPr>
        <w:t>国有资产占用情况。</w:t>
      </w:r>
    </w:p>
    <w:p>
      <w:pPr>
        <w:pStyle w:val="6"/>
        <w:numPr>
          <w:ilvl w:val="0"/>
          <w:numId w:val="1"/>
        </w:numPr>
        <w:spacing w:line="560" w:lineRule="exact"/>
        <w:ind w:firstLine="643"/>
        <w:rPr>
          <w:rFonts w:hint="default" w:ascii="仿宋_GB2312" w:eastAsia="仿宋_GB2312"/>
          <w:sz w:val="32"/>
        </w:rPr>
      </w:pPr>
      <w:r>
        <w:rPr>
          <w:rFonts w:ascii="仿宋_GB2312" w:hAnsi="黑体" w:eastAsia="仿宋_GB2312"/>
          <w:sz w:val="32"/>
          <w:szCs w:val="32"/>
        </w:rPr>
        <w:t>截至2021年12月31日，共有车辆1辆，其中：</w:t>
      </w:r>
      <w:r>
        <w:rPr>
          <w:rFonts w:ascii="仿宋_GB2312" w:eastAsia="仿宋_GB2312" w:cs="宋体"/>
          <w:kern w:val="0"/>
          <w:sz w:val="32"/>
          <w:szCs w:val="32"/>
        </w:rPr>
        <w:t>一般公务用车1辆。</w:t>
      </w:r>
      <w:r>
        <w:rPr>
          <w:rFonts w:ascii="仿宋_GB2312" w:hAnsi="黑体" w:eastAsia="仿宋_GB2312"/>
          <w:sz w:val="32"/>
          <w:szCs w:val="32"/>
        </w:rPr>
        <w:t>单位价值50万元以上通用设备0台（套），单价100万元以上专用设备0台（套）。</w:t>
      </w:r>
    </w:p>
    <w:p>
      <w:pPr>
        <w:widowControl/>
        <w:numPr>
          <w:ilvl w:val="0"/>
          <w:numId w:val="1"/>
        </w:numPr>
        <w:spacing w:line="560" w:lineRule="exact"/>
        <w:ind w:firstLine="643"/>
        <w:rPr>
          <w:rFonts w:hint="default" w:ascii="楷体_GB2312" w:eastAsia="楷体_GB2312"/>
          <w:b/>
          <w:sz w:val="32"/>
        </w:rPr>
      </w:pPr>
      <w:r>
        <w:rPr>
          <w:rFonts w:ascii="楷体_GB2312" w:eastAsia="楷体_GB2312"/>
          <w:b/>
          <w:sz w:val="32"/>
        </w:rPr>
        <w:t>预算绩效管理工作开展情况。</w:t>
      </w:r>
    </w:p>
    <w:p>
      <w:pPr>
        <w:widowControl/>
        <w:spacing w:line="560" w:lineRule="exact"/>
        <w:ind w:left="420" w:firstLine="320" w:firstLineChars="100"/>
        <w:rPr>
          <w:rFonts w:hint="default"/>
          <w:b/>
          <w:sz w:val="36"/>
        </w:rPr>
      </w:pPr>
      <w:r>
        <w:rPr>
          <w:rFonts w:ascii="仿宋_GB2312" w:hAnsi="黑体" w:eastAsia="仿宋_GB2312" w:cs="Times New Roman"/>
          <w:sz w:val="32"/>
          <w:szCs w:val="32"/>
        </w:rPr>
        <w:t>2021年不涉及民生项目和重点支出项目。</w:t>
      </w:r>
    </w:p>
    <w:p>
      <w:pPr>
        <w:pStyle w:val="6"/>
        <w:spacing w:line="560" w:lineRule="exact"/>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i/>
          <w:sz w:val="32"/>
          <w:u w:val="single"/>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rPr>
          <w:rFonts w:hint="default" w:ascii="仿宋_GB2312" w:hAnsi="仿宋_GB2312" w:eastAsia="仿宋_GB2312" w:cs="仿宋_GB2312"/>
          <w:b/>
          <w:sz w:val="52"/>
          <w:szCs w:val="52"/>
        </w:rPr>
      </w:pPr>
    </w:p>
    <w:p>
      <w:pPr>
        <w:pStyle w:val="6"/>
        <w:spacing w:line="560" w:lineRule="exact"/>
        <w:ind w:firstLine="640"/>
        <w:rPr>
          <w:rFonts w:hint="default" w:ascii="仿宋_GB2312" w:hAnsi="仿宋_GB2312" w:eastAsia="仿宋_GB2312" w:cs="仿宋_GB2312"/>
          <w:b/>
          <w:sz w:val="52"/>
          <w:szCs w:val="52"/>
        </w:rPr>
      </w:pPr>
    </w:p>
    <w:p>
      <w:pPr>
        <w:pStyle w:val="6"/>
        <w:spacing w:line="560" w:lineRule="exact"/>
        <w:ind w:firstLine="640"/>
        <w:rPr>
          <w:rFonts w:hint="default" w:ascii="仿宋_GB2312" w:hAnsi="仿宋_GB2312" w:eastAsia="仿宋_GB2312" w:cs="仿宋_GB2312"/>
          <w:b/>
          <w:sz w:val="52"/>
          <w:szCs w:val="52"/>
        </w:rPr>
      </w:pPr>
    </w:p>
    <w:p>
      <w:pPr>
        <w:pStyle w:val="6"/>
        <w:spacing w:line="560" w:lineRule="exact"/>
        <w:ind w:firstLine="640"/>
        <w:rPr>
          <w:rFonts w:hint="default" w:ascii="仿宋_GB2312" w:hAnsi="仿宋_GB2312" w:eastAsia="仿宋_GB2312" w:cs="仿宋_GB2312"/>
          <w:b/>
          <w:sz w:val="52"/>
          <w:szCs w:val="52"/>
        </w:rPr>
      </w:pPr>
    </w:p>
    <w:p>
      <w:pPr>
        <w:pStyle w:val="6"/>
        <w:spacing w:line="560" w:lineRule="exact"/>
        <w:ind w:firstLine="640"/>
        <w:rPr>
          <w:rFonts w:hint="default" w:ascii="仿宋_GB2312" w:hAnsi="仿宋_GB2312" w:eastAsia="仿宋_GB2312" w:cs="仿宋_GB2312"/>
          <w:b/>
          <w:sz w:val="52"/>
          <w:szCs w:val="52"/>
        </w:rPr>
      </w:pPr>
    </w:p>
    <w:p>
      <w:pPr>
        <w:pStyle w:val="6"/>
        <w:spacing w:line="560" w:lineRule="exact"/>
        <w:ind w:firstLine="640"/>
        <w:rPr>
          <w:rFonts w:hint="default" w:ascii="仿宋_GB2312" w:hAnsi="仿宋_GB2312" w:eastAsia="仿宋_GB2312" w:cs="仿宋_GB2312"/>
          <w:b/>
          <w:sz w:val="52"/>
          <w:szCs w:val="52"/>
        </w:rPr>
      </w:pPr>
    </w:p>
    <w:p>
      <w:pPr>
        <w:pStyle w:val="6"/>
        <w:spacing w:line="560" w:lineRule="exact"/>
        <w:ind w:firstLine="640"/>
        <w:rPr>
          <w:rFonts w:hint="default" w:ascii="仿宋_GB2312" w:hAnsi="仿宋_GB2312" w:eastAsia="仿宋_GB2312" w:cs="仿宋_GB2312"/>
          <w:b/>
          <w:sz w:val="52"/>
          <w:szCs w:val="52"/>
        </w:rPr>
      </w:pPr>
    </w:p>
    <w:p>
      <w:pPr>
        <w:pStyle w:val="6"/>
        <w:spacing w:line="560" w:lineRule="atLeast"/>
        <w:jc w:val="center"/>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spacing w:line="540" w:lineRule="exact"/>
        <w:jc w:val="center"/>
        <w:rPr>
          <w:rFonts w:hint="default" w:ascii="宋体" w:hAnsi="宋体"/>
          <w:b/>
          <w:sz w:val="52"/>
          <w:szCs w:val="52"/>
        </w:rPr>
      </w:pPr>
    </w:p>
    <w:p>
      <w:pPr>
        <w:spacing w:line="540" w:lineRule="exact"/>
        <w:jc w:val="center"/>
        <w:rPr>
          <w:rFonts w:hint="default" w:ascii="宋体" w:hAnsi="宋体"/>
          <w:b/>
          <w:sz w:val="52"/>
          <w:szCs w:val="52"/>
        </w:rPr>
      </w:pPr>
    </w:p>
    <w:p>
      <w:pPr>
        <w:spacing w:line="540" w:lineRule="exact"/>
        <w:jc w:val="center"/>
        <w:rPr>
          <w:rFonts w:hint="default" w:ascii="宋体" w:hAnsi="宋体"/>
          <w:b/>
          <w:sz w:val="52"/>
          <w:szCs w:val="52"/>
        </w:rPr>
      </w:pPr>
    </w:p>
    <w:p>
      <w:pPr>
        <w:spacing w:line="540" w:lineRule="exact"/>
        <w:jc w:val="center"/>
        <w:rPr>
          <w:rFonts w:hint="default" w:ascii="宋体" w:hAnsi="宋体"/>
          <w:b/>
          <w:sz w:val="52"/>
          <w:szCs w:val="52"/>
        </w:rPr>
      </w:pPr>
    </w:p>
    <w:p>
      <w:pPr>
        <w:spacing w:line="540" w:lineRule="exact"/>
        <w:jc w:val="center"/>
        <w:rPr>
          <w:rFonts w:hint="default" w:ascii="宋体" w:hAnsi="宋体"/>
          <w:b/>
          <w:sz w:val="52"/>
          <w:szCs w:val="52"/>
        </w:rPr>
      </w:pPr>
    </w:p>
    <w:p>
      <w:pPr>
        <w:spacing w:line="540" w:lineRule="exact"/>
        <w:jc w:val="center"/>
        <w:rPr>
          <w:rFonts w:hint="default" w:ascii="宋体" w:hAnsi="宋体"/>
          <w:b/>
          <w:sz w:val="52"/>
          <w:szCs w:val="52"/>
        </w:rPr>
      </w:pPr>
    </w:p>
    <w:p>
      <w:pPr>
        <w:spacing w:line="540" w:lineRule="exact"/>
        <w:jc w:val="center"/>
        <w:rPr>
          <w:rFonts w:hint="default" w:ascii="宋体" w:hAnsi="宋体"/>
          <w:b/>
          <w:sz w:val="52"/>
          <w:szCs w:val="52"/>
        </w:rPr>
      </w:pPr>
    </w:p>
    <w:p>
      <w:pPr>
        <w:spacing w:line="540" w:lineRule="exact"/>
        <w:jc w:val="center"/>
        <w:rPr>
          <w:rFonts w:hint="default" w:ascii="仿宋_GB2312" w:eastAsia="仿宋_GB2312"/>
          <w:sz w:val="52"/>
          <w:szCs w:val="52"/>
        </w:rPr>
      </w:pPr>
      <w:r>
        <w:rPr>
          <w:rFonts w:ascii="宋体" w:hAnsi="宋体"/>
          <w:b/>
          <w:sz w:val="52"/>
          <w:szCs w:val="52"/>
        </w:rPr>
        <w:t>第四部分 沈阳市浑南区朝鲜族学校2021年度决算表</w:t>
      </w:r>
    </w:p>
    <w:p>
      <w:pPr>
        <w:rPr>
          <w:rFonts w:hint="default" w:ascii="仿宋_GB2312" w:hAnsi="宋体" w:eastAsia="仿宋_GB2312"/>
          <w:kern w:val="0"/>
          <w:sz w:val="32"/>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702669"/>
    <w:multiLevelType w:val="singleLevel"/>
    <w:tmpl w:val="BC702669"/>
    <w:lvl w:ilvl="0" w:tentative="0">
      <w:start w:val="2"/>
      <w:numFmt w:val="chineseCounting"/>
      <w:suff w:val="nothing"/>
      <w:lvlText w:val="（%1）"/>
      <w:lvlJc w:val="left"/>
      <w:rPr>
        <w:rFonts w:hint="eastAsia"/>
      </w:rPr>
    </w:lvl>
  </w:abstractNum>
  <w:abstractNum w:abstractNumId="1">
    <w:nsid w:val="12CEF433"/>
    <w:multiLevelType w:val="singleLevel"/>
    <w:tmpl w:val="12CEF433"/>
    <w:lvl w:ilvl="0" w:tentative="0">
      <w:start w:val="2"/>
      <w:numFmt w:val="chineseCounting"/>
      <w:suff w:val="nothing"/>
      <w:lvlText w:val="%1、"/>
      <w:lvlJc w:val="left"/>
      <w:rPr>
        <w:rFonts w:hint="eastAsia"/>
      </w:rPr>
    </w:lvl>
  </w:abstractNum>
  <w:abstractNum w:abstractNumId="2">
    <w:nsid w:val="6FEF88E7"/>
    <w:multiLevelType w:val="singleLevel"/>
    <w:tmpl w:val="6FEF88E7"/>
    <w:lvl w:ilvl="0" w:tentative="0">
      <w:start w:val="1"/>
      <w:numFmt w:val="chineseCounting"/>
      <w:suff w:val="nothing"/>
      <w:lvlText w:val="（%1）"/>
      <w:lvlJc w:val="left"/>
      <w:pPr>
        <w:ind w:left="-223"/>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9548D"/>
    <w:rsid w:val="000B596F"/>
    <w:rsid w:val="00100607"/>
    <w:rsid w:val="001D0B4A"/>
    <w:rsid w:val="00320394"/>
    <w:rsid w:val="00342E31"/>
    <w:rsid w:val="0038444A"/>
    <w:rsid w:val="00387684"/>
    <w:rsid w:val="0044142C"/>
    <w:rsid w:val="00485722"/>
    <w:rsid w:val="00505889"/>
    <w:rsid w:val="005175A1"/>
    <w:rsid w:val="00550BE2"/>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45EEC"/>
    <w:rsid w:val="00DC3915"/>
    <w:rsid w:val="00E120BB"/>
    <w:rsid w:val="00E4305D"/>
    <w:rsid w:val="00F16B2B"/>
    <w:rsid w:val="00F67249"/>
    <w:rsid w:val="00F724E9"/>
    <w:rsid w:val="023179E9"/>
    <w:rsid w:val="0341020B"/>
    <w:rsid w:val="08626C1B"/>
    <w:rsid w:val="09C4782E"/>
    <w:rsid w:val="0D1B5256"/>
    <w:rsid w:val="0D7336B7"/>
    <w:rsid w:val="0E611762"/>
    <w:rsid w:val="0ECB7368"/>
    <w:rsid w:val="10E5197F"/>
    <w:rsid w:val="11612EA5"/>
    <w:rsid w:val="130B7EEE"/>
    <w:rsid w:val="14E71B6B"/>
    <w:rsid w:val="16E03B7C"/>
    <w:rsid w:val="196F08FA"/>
    <w:rsid w:val="1A46472D"/>
    <w:rsid w:val="1C635C29"/>
    <w:rsid w:val="1F0D6301"/>
    <w:rsid w:val="1FED4BBF"/>
    <w:rsid w:val="211D317B"/>
    <w:rsid w:val="21C0573C"/>
    <w:rsid w:val="244E7738"/>
    <w:rsid w:val="257530C0"/>
    <w:rsid w:val="2E4F6256"/>
    <w:rsid w:val="2EB00C25"/>
    <w:rsid w:val="2F2B52FD"/>
    <w:rsid w:val="2F837D56"/>
    <w:rsid w:val="2FD8272D"/>
    <w:rsid w:val="31AE70E6"/>
    <w:rsid w:val="36230505"/>
    <w:rsid w:val="38A244BF"/>
    <w:rsid w:val="39193F65"/>
    <w:rsid w:val="3A3F7D61"/>
    <w:rsid w:val="3AB70D5D"/>
    <w:rsid w:val="3E7C3E80"/>
    <w:rsid w:val="446E1F07"/>
    <w:rsid w:val="44C674DF"/>
    <w:rsid w:val="456367EE"/>
    <w:rsid w:val="47E66157"/>
    <w:rsid w:val="47F70F21"/>
    <w:rsid w:val="4A7A75D7"/>
    <w:rsid w:val="4B2249C6"/>
    <w:rsid w:val="4B706626"/>
    <w:rsid w:val="4D6405B6"/>
    <w:rsid w:val="4D730A1E"/>
    <w:rsid w:val="4DCB2178"/>
    <w:rsid w:val="4FCD2D61"/>
    <w:rsid w:val="51CC1FA0"/>
    <w:rsid w:val="54B91EED"/>
    <w:rsid w:val="54F6469B"/>
    <w:rsid w:val="55FC1EE9"/>
    <w:rsid w:val="58126CED"/>
    <w:rsid w:val="5B697371"/>
    <w:rsid w:val="5F903A52"/>
    <w:rsid w:val="66776F0E"/>
    <w:rsid w:val="673C6F2C"/>
    <w:rsid w:val="6A18573A"/>
    <w:rsid w:val="6C09072D"/>
    <w:rsid w:val="6CE30E35"/>
    <w:rsid w:val="6E386992"/>
    <w:rsid w:val="6FCE2827"/>
    <w:rsid w:val="705E1CAC"/>
    <w:rsid w:val="70626831"/>
    <w:rsid w:val="724179B2"/>
    <w:rsid w:val="72674ACB"/>
    <w:rsid w:val="76CE0154"/>
    <w:rsid w:val="77A924A9"/>
    <w:rsid w:val="79EF0994"/>
    <w:rsid w:val="7D024843"/>
    <w:rsid w:val="7F433C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13</Pages>
  <Words>4702</Words>
  <Characters>5202</Characters>
  <Lines>38</Lines>
  <Paragraphs>10</Paragraphs>
  <TotalTime>1</TotalTime>
  <ScaleCrop>false</ScaleCrop>
  <LinksUpToDate>false</LinksUpToDate>
  <CharactersWithSpaces>5232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2023-06-20T02:59:49Z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