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sz w:val="52"/>
          <w:szCs w:val="52"/>
        </w:rPr>
      </w:pPr>
      <w:r>
        <w:rPr>
          <w:rFonts w:ascii="宋体" w:hAnsi="宋体"/>
          <w:b/>
          <w:sz w:val="52"/>
          <w:szCs w:val="52"/>
        </w:rPr>
        <w:t>沈阳市浑南区第一小学2021年度</w:t>
      </w:r>
    </w:p>
    <w:p>
      <w:pPr>
        <w:spacing w:line="540" w:lineRule="exact"/>
        <w:jc w:val="center"/>
        <w:rPr>
          <w:rFonts w:hint="default"/>
          <w:b/>
          <w:sz w:val="44"/>
          <w:szCs w:val="44"/>
          <w:u w:val="single"/>
        </w:rPr>
      </w:pPr>
      <w:r>
        <w:rPr>
          <w:rFonts w:ascii="宋体" w:hAnsi="宋体"/>
          <w:b/>
          <w:sz w:val="52"/>
          <w:szCs w:val="52"/>
        </w:rPr>
        <w:t>决算情况说明</w:t>
      </w:r>
    </w:p>
    <w:p>
      <w:pPr>
        <w:spacing w:line="540" w:lineRule="exact"/>
        <w:jc w:val="center"/>
        <w:rPr>
          <w:rFonts w:hint="default"/>
          <w:b/>
          <w:sz w:val="44"/>
          <w:szCs w:val="44"/>
          <w:u w:val="single"/>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spacing w:line="540" w:lineRule="exact"/>
        <w:rPr>
          <w:rFonts w:hint="default" w:ascii="黑体" w:hAnsi="黑体" w:eastAsia="黑体"/>
          <w:sz w:val="32"/>
          <w:szCs w:val="32"/>
        </w:rPr>
      </w:pPr>
      <w:r>
        <w:rPr>
          <w:rFonts w:ascii="黑体" w:hAnsi="黑体" w:eastAsia="黑体"/>
          <w:sz w:val="32"/>
          <w:szCs w:val="32"/>
        </w:rPr>
        <w:t>第一部分   沈阳市浑南区第一小学概况</w:t>
      </w:r>
    </w:p>
    <w:p>
      <w:pPr>
        <w:numPr>
          <w:ilvl w:val="0"/>
          <w:numId w:val="1"/>
        </w:numPr>
        <w:spacing w:line="540" w:lineRule="exact"/>
        <w:rPr>
          <w:rFonts w:hint="default" w:ascii="仿宋_GB2312" w:hAnsi="黑体" w:eastAsia="仿宋_GB2312"/>
          <w:sz w:val="32"/>
          <w:szCs w:val="32"/>
        </w:rPr>
      </w:pPr>
      <w:r>
        <w:rPr>
          <w:rFonts w:ascii="仿宋_GB2312" w:hAnsi="黑体" w:eastAsia="仿宋_GB2312"/>
          <w:sz w:val="32"/>
          <w:szCs w:val="32"/>
        </w:rPr>
        <w:t>主要职责</w:t>
      </w:r>
    </w:p>
    <w:p>
      <w:pPr>
        <w:numPr>
          <w:ilvl w:val="0"/>
          <w:numId w:val="1"/>
        </w:numPr>
        <w:spacing w:line="540" w:lineRule="exact"/>
        <w:rPr>
          <w:rFonts w:hint="default" w:ascii="仿宋_GB2312" w:hAnsi="黑体" w:eastAsia="仿宋_GB2312"/>
          <w:sz w:val="32"/>
          <w:szCs w:val="32"/>
        </w:rPr>
      </w:pPr>
      <w:r>
        <w:rPr>
          <w:rFonts w:ascii="仿宋_GB2312" w:hAnsi="黑体" w:eastAsia="仿宋_GB2312"/>
          <w:sz w:val="32"/>
          <w:szCs w:val="32"/>
        </w:rPr>
        <w:t>决算单位构成</w:t>
      </w:r>
    </w:p>
    <w:p>
      <w:pPr>
        <w:spacing w:line="540" w:lineRule="exact"/>
        <w:rPr>
          <w:rFonts w:hint="default" w:ascii="黑体" w:hAnsi="黑体" w:eastAsia="黑体"/>
          <w:sz w:val="32"/>
          <w:szCs w:val="32"/>
        </w:rPr>
      </w:pPr>
      <w:r>
        <w:rPr>
          <w:rFonts w:ascii="黑体" w:hAnsi="黑体" w:eastAsia="黑体"/>
          <w:sz w:val="32"/>
          <w:szCs w:val="32"/>
        </w:rPr>
        <w:t>第二部分   沈阳市浑南区第一小学2021年度决算情况说明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szCs w:val="21"/>
        </w:rPr>
      </w:pPr>
      <w:r>
        <w:rPr>
          <w:rFonts w:ascii="仿宋_GB2312" w:eastAsia="仿宋_GB2312"/>
          <w:sz w:val="32"/>
        </w:rPr>
        <w:t>五、其他重要事项的情况说明</w:t>
      </w:r>
    </w:p>
    <w:p>
      <w:pPr>
        <w:spacing w:line="540" w:lineRule="exact"/>
        <w:rPr>
          <w:rFonts w:hint="default" w:ascii="黑体" w:hAnsi="黑体" w:eastAsia="黑体"/>
          <w:sz w:val="32"/>
          <w:szCs w:val="32"/>
        </w:rPr>
      </w:pPr>
      <w:r>
        <w:rPr>
          <w:rFonts w:ascii="黑体" w:hAnsi="黑体" w:eastAsia="黑体"/>
          <w:sz w:val="32"/>
          <w:szCs w:val="32"/>
        </w:rPr>
        <w:t>第三部分    名词解释</w:t>
      </w:r>
    </w:p>
    <w:p>
      <w:pPr>
        <w:spacing w:line="540" w:lineRule="exact"/>
        <w:rPr>
          <w:rFonts w:hint="default" w:ascii="黑体" w:hAnsi="黑体" w:eastAsia="黑体"/>
          <w:sz w:val="32"/>
          <w:szCs w:val="32"/>
        </w:rPr>
      </w:pPr>
      <w:r>
        <w:rPr>
          <w:rFonts w:ascii="黑体" w:hAnsi="黑体" w:eastAsia="黑体"/>
          <w:sz w:val="32"/>
          <w:szCs w:val="32"/>
        </w:rPr>
        <w:t>第四部分   沈阳市浑南区第一小学2021年度决算报表</w:t>
      </w:r>
    </w:p>
    <w:p>
      <w:pPr>
        <w:spacing w:line="540" w:lineRule="exact"/>
        <w:rPr>
          <w:rFonts w:hint="default" w:ascii="仿宋_GB2312" w:hAnsi="黑体" w:eastAsia="仿宋_GB2312"/>
          <w:sz w:val="32"/>
          <w:szCs w:val="32"/>
        </w:rPr>
      </w:pPr>
      <w:r>
        <w:rPr>
          <w:rFonts w:ascii="仿宋_GB2312" w:eastAsia="仿宋_GB2312"/>
          <w:sz w:val="32"/>
          <w:szCs w:val="32"/>
        </w:rPr>
        <w:t>一、</w:t>
      </w:r>
      <w:r>
        <w:rPr>
          <w:rFonts w:ascii="仿宋_GB2312" w:hAnsi="仿宋" w:eastAsia="仿宋_GB2312"/>
          <w:sz w:val="32"/>
          <w:szCs w:val="32"/>
        </w:rPr>
        <w:t>2021年度收入支出决算总表</w:t>
      </w:r>
    </w:p>
    <w:p>
      <w:pPr>
        <w:spacing w:line="540" w:lineRule="exact"/>
        <w:rPr>
          <w:rFonts w:hint="default" w:ascii="仿宋_GB2312" w:eastAsia="仿宋_GB2312"/>
          <w:sz w:val="32"/>
          <w:szCs w:val="32"/>
        </w:rPr>
      </w:pPr>
      <w:r>
        <w:rPr>
          <w:rFonts w:ascii="仿宋_GB2312" w:eastAsia="仿宋_GB2312"/>
          <w:sz w:val="32"/>
          <w:szCs w:val="32"/>
        </w:rPr>
        <w:t>二、2021</w:t>
      </w:r>
      <w:r>
        <w:rPr>
          <w:rFonts w:ascii="仿宋_GB2312" w:hAnsi="仿宋" w:eastAsia="仿宋_GB2312"/>
          <w:sz w:val="32"/>
          <w:szCs w:val="32"/>
        </w:rPr>
        <w:t>年度</w:t>
      </w:r>
      <w:r>
        <w:rPr>
          <w:rFonts w:ascii="仿宋_GB2312" w:eastAsia="仿宋_GB2312"/>
          <w:sz w:val="32"/>
          <w:szCs w:val="32"/>
        </w:rPr>
        <w:t>收入决算表</w:t>
      </w:r>
    </w:p>
    <w:p>
      <w:pPr>
        <w:spacing w:line="540" w:lineRule="exact"/>
        <w:rPr>
          <w:rFonts w:hint="default" w:ascii="仿宋_GB2312" w:eastAsia="仿宋_GB2312"/>
          <w:sz w:val="32"/>
          <w:szCs w:val="32"/>
        </w:rPr>
      </w:pPr>
      <w:r>
        <w:rPr>
          <w:rFonts w:ascii="仿宋_GB2312" w:eastAsia="仿宋_GB2312"/>
          <w:sz w:val="32"/>
          <w:szCs w:val="32"/>
        </w:rPr>
        <w:t>三、2021</w:t>
      </w:r>
      <w:r>
        <w:rPr>
          <w:rFonts w:ascii="仿宋_GB2312" w:hAnsi="仿宋" w:eastAsia="仿宋_GB2312"/>
          <w:sz w:val="32"/>
          <w:szCs w:val="32"/>
        </w:rPr>
        <w:t>年度</w:t>
      </w:r>
      <w:r>
        <w:rPr>
          <w:rFonts w:ascii="仿宋_GB2312" w:eastAsia="仿宋_GB2312"/>
          <w:sz w:val="32"/>
          <w:szCs w:val="32"/>
        </w:rPr>
        <w:t>支出决算表</w:t>
      </w:r>
    </w:p>
    <w:p>
      <w:pPr>
        <w:spacing w:line="540" w:lineRule="exact"/>
        <w:rPr>
          <w:rFonts w:hint="default" w:ascii="仿宋_GB2312" w:hAnsi="黑体" w:eastAsia="仿宋_GB2312"/>
          <w:sz w:val="32"/>
          <w:szCs w:val="32"/>
        </w:rPr>
      </w:pPr>
      <w:r>
        <w:rPr>
          <w:rFonts w:ascii="仿宋_GB2312" w:eastAsia="仿宋_GB2312"/>
          <w:sz w:val="32"/>
          <w:szCs w:val="32"/>
        </w:rPr>
        <w:t>四、</w:t>
      </w:r>
      <w:r>
        <w:rPr>
          <w:rFonts w:ascii="仿宋_GB2312" w:hAnsi="仿宋" w:eastAsia="仿宋_GB2312"/>
          <w:sz w:val="32"/>
          <w:szCs w:val="32"/>
        </w:rPr>
        <w:t>2021年度财政拨款收入支出决算表</w:t>
      </w:r>
    </w:p>
    <w:p>
      <w:pPr>
        <w:spacing w:line="540" w:lineRule="exact"/>
        <w:rPr>
          <w:rFonts w:hint="default" w:ascii="仿宋_GB2312" w:eastAsia="仿宋_GB2312"/>
          <w:sz w:val="32"/>
          <w:szCs w:val="32"/>
        </w:rPr>
      </w:pPr>
      <w:r>
        <w:rPr>
          <w:rFonts w:ascii="仿宋_GB2312" w:eastAsia="仿宋_GB2312"/>
          <w:sz w:val="32"/>
          <w:szCs w:val="32"/>
        </w:rPr>
        <w:t>五、2021年度一般公共预算财政拨款支出决算表</w:t>
      </w:r>
    </w:p>
    <w:p>
      <w:pPr>
        <w:spacing w:line="540" w:lineRule="exact"/>
        <w:rPr>
          <w:rFonts w:hint="default" w:ascii="仿宋_GB2312" w:eastAsia="仿宋_GB2312"/>
          <w:sz w:val="32"/>
          <w:szCs w:val="32"/>
        </w:rPr>
      </w:pPr>
      <w:r>
        <w:rPr>
          <w:rFonts w:ascii="仿宋_GB2312" w:eastAsia="仿宋_GB2312"/>
          <w:sz w:val="32"/>
          <w:szCs w:val="32"/>
        </w:rPr>
        <w:t>六、2021年度一般公共预算财政拨款基本支出决算表</w:t>
      </w:r>
    </w:p>
    <w:p>
      <w:pPr>
        <w:spacing w:line="540" w:lineRule="exact"/>
        <w:rPr>
          <w:rFonts w:hint="default" w:ascii="仿宋_GB2312" w:eastAsia="仿宋_GB2312"/>
          <w:sz w:val="32"/>
          <w:szCs w:val="32"/>
        </w:rPr>
      </w:pPr>
      <w:r>
        <w:rPr>
          <w:rFonts w:ascii="仿宋_GB2312" w:eastAsia="仿宋_GB2312"/>
          <w:sz w:val="32"/>
          <w:szCs w:val="32"/>
        </w:rPr>
        <w:t>七、2021年度政府性基金预算财政拨款支出决算表</w:t>
      </w:r>
    </w:p>
    <w:p>
      <w:pPr>
        <w:spacing w:line="540" w:lineRule="exact"/>
        <w:ind w:left="640" w:hanging="640" w:hangingChars="200"/>
        <w:rPr>
          <w:rFonts w:hint="default" w:ascii="仿宋_GB2312" w:eastAsia="仿宋_GB2312"/>
          <w:sz w:val="32"/>
          <w:szCs w:val="32"/>
        </w:rPr>
      </w:pPr>
      <w:r>
        <w:rPr>
          <w:rFonts w:ascii="仿宋_GB2312" w:eastAsia="仿宋_GB2312"/>
          <w:sz w:val="32"/>
          <w:szCs w:val="32"/>
        </w:rPr>
        <w:t>八、2021</w:t>
      </w:r>
      <w:r>
        <w:rPr>
          <w:rFonts w:ascii="仿宋_GB2312" w:hAnsi="仿宋" w:eastAsia="仿宋_GB2312"/>
          <w:sz w:val="32"/>
          <w:szCs w:val="32"/>
        </w:rPr>
        <w:t>年度</w:t>
      </w:r>
      <w:r>
        <w:rPr>
          <w:rFonts w:ascii="仿宋_GB2312" w:eastAsia="仿宋_GB2312"/>
          <w:sz w:val="32"/>
          <w:szCs w:val="32"/>
        </w:rPr>
        <w:t>一般公共预算财政拨款“三公”经费支出决算表</w:t>
      </w:r>
    </w:p>
    <w:p>
      <w:pPr>
        <w:spacing w:line="540" w:lineRule="exact"/>
        <w:ind w:left="640" w:hanging="640" w:hangingChars="200"/>
        <w:rPr>
          <w:rFonts w:hint="default" w:ascii="仿宋_GB2312" w:eastAsia="仿宋_GB2312"/>
          <w:sz w:val="32"/>
          <w:szCs w:val="32"/>
        </w:rPr>
      </w:pPr>
      <w:r>
        <w:rPr>
          <w:rFonts w:ascii="仿宋_GB2312" w:eastAsia="仿宋_GB2312"/>
          <w:sz w:val="32"/>
          <w:szCs w:val="32"/>
        </w:rPr>
        <w:t>九、2021年度国有资本经营预算财政拨款支出决算表</w:t>
      </w:r>
    </w:p>
    <w:p>
      <w:pPr>
        <w:spacing w:line="540" w:lineRule="exact"/>
        <w:ind w:left="640" w:hanging="640" w:hangingChars="200"/>
        <w:rPr>
          <w:rFonts w:hint="default" w:ascii="仿宋_GB2312" w:eastAsia="仿宋_GB2312"/>
          <w:sz w:val="32"/>
          <w:szCs w:val="32"/>
        </w:rPr>
      </w:pPr>
    </w:p>
    <w:p>
      <w:pPr>
        <w:spacing w:line="540" w:lineRule="exact"/>
        <w:ind w:left="640" w:hanging="640" w:hangingChars="200"/>
        <w:rPr>
          <w:rFonts w:hint="default" w:ascii="仿宋_GB2312" w:eastAsia="仿宋_GB2312"/>
          <w:sz w:val="32"/>
          <w:szCs w:val="32"/>
        </w:rPr>
      </w:pPr>
    </w:p>
    <w:p>
      <w:pPr>
        <w:spacing w:line="540" w:lineRule="exact"/>
        <w:jc w:val="center"/>
        <w:rPr>
          <w:rFonts w:hint="default" w:ascii="宋体" w:hAnsi="宋体"/>
          <w:b/>
          <w:sz w:val="36"/>
          <w:szCs w:val="36"/>
        </w:rPr>
      </w:pPr>
      <w:r>
        <w:rPr>
          <w:rFonts w:ascii="宋体" w:hAnsi="宋体"/>
          <w:b/>
          <w:sz w:val="36"/>
          <w:szCs w:val="36"/>
        </w:rPr>
        <w:t>第一部分  沈阳市浑南区第一小学概况</w:t>
      </w:r>
    </w:p>
    <w:p>
      <w:pPr>
        <w:spacing w:line="540" w:lineRule="exact"/>
        <w:ind w:firstLine="643" w:firstLineChars="200"/>
        <w:jc w:val="left"/>
        <w:rPr>
          <w:rFonts w:hint="default" w:ascii="黑体" w:eastAsia="黑体"/>
          <w:b/>
          <w:sz w:val="32"/>
          <w:szCs w:val="32"/>
        </w:rPr>
      </w:pPr>
    </w:p>
    <w:p>
      <w:pPr>
        <w:spacing w:line="540" w:lineRule="exact"/>
        <w:jc w:val="center"/>
        <w:rPr>
          <w:rFonts w:hint="default" w:ascii="宋体" w:hAnsi="宋体"/>
          <w:b/>
          <w:sz w:val="36"/>
          <w:szCs w:val="36"/>
        </w:rPr>
      </w:pPr>
    </w:p>
    <w:p>
      <w:pPr>
        <w:spacing w:line="540" w:lineRule="exact"/>
        <w:ind w:firstLine="640" w:firstLineChars="200"/>
        <w:jc w:val="left"/>
        <w:rPr>
          <w:rFonts w:hint="default" w:ascii="黑体" w:eastAsia="黑体"/>
          <w:sz w:val="32"/>
          <w:szCs w:val="32"/>
        </w:rPr>
      </w:pPr>
      <w:r>
        <w:rPr>
          <w:rFonts w:ascii="黑体" w:eastAsia="黑体"/>
          <w:sz w:val="32"/>
          <w:szCs w:val="32"/>
        </w:rPr>
        <w:t>一、主要职责</w:t>
      </w:r>
    </w:p>
    <w:p>
      <w:pPr>
        <w:pStyle w:val="6"/>
        <w:spacing w:line="560" w:lineRule="atLeas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（一）组织教育教学、科学研究活动，保证教育教学质量。维护教职工利益，保障教职工合法权益，以教职工和学生的人生幸福和</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"http://www.baidu.com/s?wd=%E7%94%9F%E5%91%BD%E8%B4%A8%E9%87%8F&amp;tn=44039180_cpr&amp;fenlei=mv6quAkxTZn0IZRqIHckPjm4nH00T1YkPHwWnHDsm1nsmH6zujfk0ZwV5Hcvrjm3rH6sPfKWUMw85HfYnjn4nH6sgvPsT6KdThsqpZwYTjCEQLGCpyw9Uz4Bmy-bIi4WUvYETgN-TLwGUv3En1c1rj0kn1Ts" \t "_blank"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生命质量</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作为重点。</w:t>
      </w:r>
    </w:p>
    <w:p>
      <w:pPr>
        <w:pStyle w:val="6"/>
        <w:spacing w:line="560" w:lineRule="atLeas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（二）制定学校发展规划，并抓好组织实施和落实情况。</w:t>
      </w:r>
    </w:p>
    <w:p>
      <w:pPr>
        <w:pStyle w:val="6"/>
        <w:spacing w:line="560" w:lineRule="atLeas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（三）科学管理、合理使用学校的设施和经费，并积极筹措办学资金，改善办学条件。</w:t>
      </w:r>
    </w:p>
    <w:p>
      <w:pPr>
        <w:pStyle w:val="6"/>
        <w:spacing w:line="560" w:lineRule="atLeast"/>
        <w:ind w:firstLine="640"/>
        <w:rPr>
          <w:rFonts w:hint="default" w:ascii="仿宋_GB2312" w:eastAsia="仿宋_GB2312"/>
          <w:sz w:val="32"/>
          <w:szCs w:val="32"/>
        </w:rPr>
      </w:pPr>
      <w:r>
        <w:rPr>
          <w:rFonts w:hint="eastAsia" w:ascii="仿宋_GB2312" w:hAnsi="仿宋_GB2312" w:eastAsia="仿宋_GB2312" w:cs="仿宋_GB2312"/>
          <w:sz w:val="32"/>
          <w:szCs w:val="32"/>
        </w:rPr>
        <w:t>（四）依法接受各级教育行政部门的检查指导和人民群众的监督。</w:t>
      </w:r>
    </w:p>
    <w:p>
      <w:pPr>
        <w:spacing w:after="312" w:afterLines="100"/>
        <w:rPr>
          <w:rFonts w:hint="default" w:ascii="仿宋_GB2312" w:hAnsi="仿宋_GB2312" w:eastAsia="仿宋_GB2312" w:cs="仿宋_GB2312"/>
          <w:b/>
          <w:bCs/>
          <w:color w:val="FF0000"/>
          <w:sz w:val="32"/>
          <w:szCs w:val="32"/>
        </w:rPr>
      </w:pPr>
      <w:r>
        <w:rPr>
          <w:rFonts w:ascii="黑体" w:eastAsia="黑体"/>
          <w:sz w:val="32"/>
          <w:szCs w:val="32"/>
        </w:rPr>
        <w:t>二、决算单位构成</w:t>
      </w:r>
    </w:p>
    <w:p>
      <w:pPr>
        <w:spacing w:after="312" w:afterLines="100"/>
        <w:ind w:firstLine="640" w:firstLineChars="200"/>
        <w:rPr>
          <w:rFonts w:hint="default" w:ascii="仿宋" w:hAnsi="仿宋" w:eastAsia="仿宋" w:cs="仿宋"/>
          <w:sz w:val="32"/>
        </w:rPr>
      </w:pPr>
      <w:r>
        <w:rPr>
          <w:rFonts w:ascii="仿宋" w:hAnsi="仿宋" w:eastAsia="仿宋" w:cs="仿宋"/>
          <w:sz w:val="32"/>
        </w:rPr>
        <w:t>沈阳市浑南区第一小学是纳入浑南区教育局2021年度决算编制范围的二级预算单位，本单位无下设机构。</w:t>
      </w:r>
    </w:p>
    <w:p>
      <w:pPr>
        <w:pStyle w:val="6"/>
        <w:numPr>
          <w:ilvl w:val="0"/>
          <w:numId w:val="2"/>
        </w:numPr>
        <w:spacing w:line="560" w:lineRule="exact"/>
        <w:jc w:val="center"/>
        <w:rPr>
          <w:rFonts w:hint="default"/>
          <w:b/>
          <w:sz w:val="36"/>
        </w:rPr>
      </w:pPr>
      <w:r>
        <w:rPr>
          <w:b/>
          <w:sz w:val="36"/>
        </w:rPr>
        <w:t>沈阳市浑南区第一小学2021年</w:t>
      </w:r>
    </w:p>
    <w:p>
      <w:pPr>
        <w:pStyle w:val="6"/>
        <w:spacing w:line="560" w:lineRule="exact"/>
        <w:ind w:firstLine="2891" w:firstLineChars="800"/>
        <w:rPr>
          <w:rFonts w:hint="default"/>
          <w:b/>
          <w:sz w:val="36"/>
        </w:rPr>
      </w:pPr>
      <w:r>
        <w:rPr>
          <w:b/>
          <w:sz w:val="36"/>
        </w:rPr>
        <w:t>决算情况说明</w:t>
      </w:r>
    </w:p>
    <w:p>
      <w:pPr>
        <w:pStyle w:val="6"/>
        <w:spacing w:line="560" w:lineRule="exact"/>
        <w:ind w:firstLine="640" w:firstLineChars="200"/>
        <w:rPr>
          <w:rFonts w:hint="default" w:ascii="黑体" w:eastAsia="黑体"/>
          <w:sz w:val="32"/>
        </w:rPr>
      </w:pPr>
    </w:p>
    <w:p>
      <w:pPr>
        <w:spacing w:line="540" w:lineRule="exact"/>
        <w:ind w:firstLine="660"/>
        <w:rPr>
          <w:rFonts w:hint="default" w:ascii="楷体_GB2312" w:hAnsi="宋体" w:eastAsia="楷体_GB2312"/>
          <w:b/>
          <w:sz w:val="32"/>
          <w:szCs w:val="32"/>
        </w:rPr>
      </w:pPr>
      <w:r>
        <w:rPr>
          <w:rFonts w:ascii="楷体_GB2312" w:hAnsi="宋体" w:eastAsia="楷体_GB2312"/>
          <w:b/>
          <w:sz w:val="32"/>
          <w:szCs w:val="32"/>
        </w:rPr>
        <w:t>一、收入支出决算总体情况说明</w:t>
      </w:r>
    </w:p>
    <w:p>
      <w:pPr>
        <w:spacing w:line="540" w:lineRule="exact"/>
        <w:ind w:firstLine="660"/>
        <w:rPr>
          <w:rFonts w:hint="default" w:ascii="楷体_GB2312" w:hAnsi="宋体" w:eastAsia="楷体_GB2312"/>
          <w:b/>
          <w:sz w:val="32"/>
          <w:szCs w:val="32"/>
        </w:rPr>
      </w:pPr>
      <w:r>
        <w:rPr>
          <w:rFonts w:ascii="楷体_GB2312" w:hAnsi="宋体" w:eastAsia="楷体_GB2312"/>
          <w:b/>
          <w:sz w:val="32"/>
          <w:szCs w:val="32"/>
        </w:rPr>
        <w:t>（一）收入总计3214.14万元，包括：</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1.财政拨款收入2806.15万元，占收入总计的87.31%。其中：一般公共预算财政拨款收入2806.15万元，政府性基金收入0万元，国有资本经营预算财政拨款收入0万元。</w:t>
      </w:r>
    </w:p>
    <w:p>
      <w:pPr>
        <w:spacing w:line="540" w:lineRule="exact"/>
        <w:ind w:firstLine="660"/>
        <w:rPr>
          <w:rFonts w:hint="default" w:ascii="仿宋_GB2312" w:hAnsi="宋体" w:eastAsia="仿宋_GB2312"/>
          <w:sz w:val="32"/>
          <w:szCs w:val="32"/>
        </w:rPr>
      </w:pPr>
      <w:r>
        <w:rPr>
          <w:rFonts w:hint="eastAsia" w:ascii="仿宋_GB2312" w:hAnsi="宋体" w:eastAsia="仿宋_GB2312"/>
          <w:sz w:val="32"/>
          <w:szCs w:val="32"/>
          <w:lang w:val="en-US" w:eastAsia="zh-CN"/>
        </w:rPr>
        <w:t>2</w:t>
      </w:r>
      <w:r>
        <w:rPr>
          <w:rFonts w:ascii="仿宋_GB2312" w:hAnsi="宋体" w:eastAsia="仿宋_GB2312"/>
          <w:sz w:val="32"/>
          <w:szCs w:val="32"/>
        </w:rPr>
        <w:t>.其他收入145.16万元，占收入总计的0.05%。主要是教育局拨入绩效工资等收入。</w:t>
      </w:r>
    </w:p>
    <w:p>
      <w:pPr>
        <w:spacing w:line="540" w:lineRule="exact"/>
        <w:ind w:firstLine="660"/>
        <w:rPr>
          <w:rFonts w:hint="eastAsia" w:ascii="仿宋_GB2312" w:hAnsi="仿宋_GB2312" w:eastAsia="仿宋_GB2312" w:cs="仿宋_GB2312"/>
          <w:sz w:val="32"/>
          <w:szCs w:val="32"/>
        </w:rPr>
      </w:pPr>
      <w:r>
        <w:rPr>
          <w:rFonts w:hint="eastAsia" w:ascii="仿宋_GB2312" w:hAnsi="宋体" w:eastAsia="仿宋_GB2312"/>
          <w:sz w:val="32"/>
          <w:szCs w:val="32"/>
          <w:lang w:val="en-US" w:eastAsia="zh-CN"/>
        </w:rPr>
        <w:t>3</w:t>
      </w:r>
      <w:r>
        <w:rPr>
          <w:rFonts w:ascii="仿宋_GB2312" w:hAnsi="宋体" w:eastAsia="仿宋_GB2312"/>
          <w:sz w:val="32"/>
          <w:szCs w:val="32"/>
        </w:rPr>
        <w:t>.上年结转和结余262.84万元，占收入总计的8.18%。主</w:t>
      </w:r>
      <w:r>
        <w:rPr>
          <w:rFonts w:hint="eastAsia" w:ascii="仿宋_GB2312" w:hAnsi="仿宋_GB2312" w:eastAsia="仿宋_GB2312" w:cs="仿宋_GB2312"/>
          <w:sz w:val="32"/>
          <w:szCs w:val="32"/>
        </w:rPr>
        <w:t>要是综合楼人防建设资金等。</w:t>
      </w:r>
    </w:p>
    <w:p>
      <w:pPr>
        <w:spacing w:line="54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与上年相比，今年收入增加1249.59万元，增长38.87%，主要原因：一是学生人数增加，公用经费增加；二是教师人数增加，人员经费增加。</w:t>
      </w:r>
    </w:p>
    <w:p>
      <w:pPr>
        <w:spacing w:line="54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rPr>
        <w:t>与上年收入总计1964.55万元相比，今年收入增加841.60万元，增长42.83%，主要原因：</w:t>
      </w:r>
      <w:r>
        <w:rPr>
          <w:rFonts w:hint="eastAsia" w:ascii="仿宋_GB2312" w:hAnsi="仿宋_GB2312" w:eastAsia="仿宋_GB2312" w:cs="仿宋_GB2312"/>
          <w:sz w:val="32"/>
          <w:szCs w:val="32"/>
        </w:rPr>
        <w:t>主要原因：一是学生人数增加，公用经费增加；二是教师人数增加，人员经费增加。</w:t>
      </w:r>
    </w:p>
    <w:p>
      <w:pPr>
        <w:spacing w:line="540" w:lineRule="exact"/>
        <w:ind w:firstLine="660"/>
        <w:rPr>
          <w:rFonts w:hint="default" w:ascii="楷体_GB2312" w:hAnsi="宋体" w:eastAsia="楷体_GB2312"/>
          <w:b/>
          <w:sz w:val="32"/>
          <w:szCs w:val="32"/>
        </w:rPr>
      </w:pPr>
      <w:r>
        <w:rPr>
          <w:rFonts w:ascii="楷体_GB2312" w:hAnsi="宋体" w:eastAsia="楷体_GB2312"/>
          <w:b/>
          <w:sz w:val="32"/>
          <w:szCs w:val="32"/>
        </w:rPr>
        <w:t>（二）支出总计3213.24万元，包括：</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1.基本支出1461.73万元，占支出总计的45.48%。主要是为保障机构正常运转、完成日常工作任务而发生的各项支出，其中：工资福利支出1171.76万元，对个人和家庭的补助支出0.15万元，商品和服务支出240.79万元，资本性支出49.02万元。</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2.项目支出1751.51万元，占支出总计的54.49%。主要包括食品安全险、冬季电采暖等业务支出。</w:t>
      </w:r>
    </w:p>
    <w:p>
      <w:pPr>
        <w:spacing w:line="54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与上年相比，今年支出增加1256.73万元，增长64.23%，主要原因：一是人员工资调整；二是项目增加。</w:t>
      </w:r>
    </w:p>
    <w:p>
      <w:pPr>
        <w:spacing w:line="540" w:lineRule="exact"/>
        <w:ind w:firstLine="660"/>
        <w:rPr>
          <w:rFonts w:hint="default" w:ascii="楷体_GB2312" w:hAnsi="宋体" w:eastAsia="楷体_GB2312"/>
          <w:b/>
          <w:sz w:val="32"/>
          <w:szCs w:val="32"/>
        </w:rPr>
      </w:pPr>
      <w:r>
        <w:rPr>
          <w:rFonts w:ascii="楷体_GB2312" w:hAnsi="宋体" w:eastAsia="楷体_GB2312"/>
          <w:b/>
          <w:sz w:val="32"/>
          <w:szCs w:val="32"/>
        </w:rPr>
        <w:t>（三）年末结转和结余0.90万元。</w:t>
      </w:r>
    </w:p>
    <w:p>
      <w:pPr>
        <w:spacing w:line="540" w:lineRule="exact"/>
        <w:ind w:firstLine="660"/>
        <w:rPr>
          <w:rFonts w:hint="eastAsia" w:ascii="仿宋_GB2312" w:hAnsi="仿宋_GB2312" w:eastAsia="仿宋_GB2312" w:cs="仿宋_GB2312"/>
          <w:sz w:val="32"/>
          <w:szCs w:val="32"/>
        </w:rPr>
      </w:pPr>
      <w:r>
        <w:rPr>
          <w:rFonts w:ascii="仿宋_GB2312" w:hAnsi="宋体" w:eastAsia="仿宋_GB2312"/>
          <w:sz w:val="32"/>
          <w:szCs w:val="32"/>
        </w:rPr>
        <w:t>主要是未出去比赛足球专项等原因形成的结余。与上年相比，今年结转结余减少7.15万元，降低88.81%，主要原</w:t>
      </w:r>
      <w:r>
        <w:rPr>
          <w:rFonts w:hint="eastAsia" w:ascii="仿宋_GB2312" w:hAnsi="仿宋_GB2312" w:eastAsia="仿宋_GB2312" w:cs="仿宋_GB2312"/>
          <w:sz w:val="32"/>
          <w:szCs w:val="32"/>
        </w:rPr>
        <w:t>因：一是上一年两自一包人员到岗；二是本年未出去比赛 。</w:t>
      </w:r>
    </w:p>
    <w:p>
      <w:pPr>
        <w:pStyle w:val="6"/>
        <w:spacing w:line="560" w:lineRule="exact"/>
        <w:rPr>
          <w:rFonts w:hint="default" w:ascii="黑体" w:eastAsia="黑体"/>
          <w:sz w:val="32"/>
        </w:rPr>
      </w:pPr>
    </w:p>
    <w:p>
      <w:pPr>
        <w:pStyle w:val="6"/>
        <w:spacing w:line="560" w:lineRule="exact"/>
        <w:ind w:firstLine="320" w:firstLineChars="100"/>
        <w:rPr>
          <w:rFonts w:hint="default" w:ascii="黑体" w:eastAsia="黑体"/>
          <w:sz w:val="32"/>
        </w:rPr>
      </w:pPr>
      <w:r>
        <w:rPr>
          <w:rFonts w:ascii="黑体" w:eastAsia="黑体"/>
          <w:sz w:val="32"/>
        </w:rPr>
        <w:t>二、财政拨款收入支出决算情况说明</w:t>
      </w:r>
    </w:p>
    <w:p>
      <w:pPr>
        <w:pStyle w:val="6"/>
        <w:spacing w:line="560" w:lineRule="exact"/>
        <w:ind w:left="420" w:leftChars="200"/>
        <w:rPr>
          <w:rFonts w:hint="default" w:ascii="楷体_GB2312" w:eastAsia="楷体_GB2312"/>
          <w:b/>
          <w:sz w:val="32"/>
        </w:rPr>
      </w:pPr>
      <w:r>
        <w:rPr>
          <w:rFonts w:ascii="楷体_GB2312" w:eastAsia="楷体_GB2312"/>
          <w:b/>
          <w:sz w:val="32"/>
        </w:rPr>
        <w:t>（一）总体情况</w:t>
      </w:r>
    </w:p>
    <w:p>
      <w:pPr>
        <w:spacing w:line="540" w:lineRule="exact"/>
        <w:ind w:firstLine="660"/>
        <w:rPr>
          <w:rFonts w:hint="default" w:ascii="仿宋_GB2312" w:hAnsi="宋体" w:eastAsia="仿宋_GB2312"/>
          <w:sz w:val="32"/>
          <w:szCs w:val="32"/>
        </w:rPr>
      </w:pPr>
      <w:r>
        <w:rPr>
          <w:rFonts w:ascii="仿宋_GB2312" w:eastAsia="仿宋_GB2312"/>
          <w:sz w:val="32"/>
        </w:rPr>
        <w:t>2021年度财政拨款支出3068.08万元，其中：基本支出1461.73万元，项目支出1606.35万元。与上年相比，财政拨款支出增加1258.53万元，增长64.38%，</w:t>
      </w:r>
      <w:r>
        <w:rPr>
          <w:rFonts w:ascii="仿宋_GB2312" w:hAnsi="宋体" w:eastAsia="仿宋_GB2312"/>
          <w:sz w:val="32"/>
          <w:szCs w:val="32"/>
        </w:rPr>
        <w:t>主要原因：</w:t>
      </w:r>
      <w:r>
        <w:rPr>
          <w:rFonts w:ascii="仿宋_GB2312" w:hAnsi="宋体" w:eastAsia="仿宋_GB2312" w:cs="Times New Roman"/>
          <w:sz w:val="32"/>
          <w:szCs w:val="32"/>
        </w:rPr>
        <w:t>人员经费和公用经费费增加，支出增加。与年初预算1370万元相比，2021年度财</w:t>
      </w:r>
      <w:r>
        <w:rPr>
          <w:rFonts w:ascii="仿宋_GB2312" w:hAnsi="宋体" w:eastAsia="仿宋_GB2312"/>
          <w:sz w:val="32"/>
          <w:szCs w:val="32"/>
        </w:rPr>
        <w:t>政拨款支出完成年初预算的223.94%，其中：基本支出完成年初预算的106.69%，学校没有单独安排项目支出年初预算，由教育局统一安排。</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pStyle w:val="6"/>
        <w:spacing w:line="560" w:lineRule="atLeast"/>
        <w:ind w:firstLine="660"/>
        <w:rPr>
          <w:rFonts w:hint="default" w:ascii="仿宋_GB2312" w:eastAsia="仿宋_GB2312"/>
          <w:sz w:val="32"/>
          <w:szCs w:val="32"/>
        </w:rPr>
      </w:pPr>
      <w:r>
        <w:rPr>
          <w:rFonts w:ascii="仿宋_GB2312" w:eastAsia="仿宋_GB2312"/>
          <w:sz w:val="32"/>
          <w:szCs w:val="32"/>
        </w:rPr>
        <w:t>2021年度一般公共预算财政拨款支出3068.08万元，包括：包括教育支出2296.08万元，社会保障与就业支出97.62万元，卫生健康支出57.52万元,城乡社区支出616.87万元。</w:t>
      </w:r>
    </w:p>
    <w:p>
      <w:pPr>
        <w:pStyle w:val="6"/>
        <w:spacing w:line="560" w:lineRule="atLeast"/>
        <w:ind w:firstLine="660"/>
        <w:rPr>
          <w:rFonts w:hint="default" w:ascii="仿宋_GB2312" w:eastAsia="仿宋_GB2312"/>
          <w:sz w:val="32"/>
          <w:szCs w:val="32"/>
        </w:rPr>
      </w:pPr>
      <w:r>
        <w:rPr>
          <w:rFonts w:ascii="仿宋_GB2312" w:eastAsia="仿宋_GB2312"/>
          <w:sz w:val="32"/>
          <w:szCs w:val="32"/>
        </w:rPr>
        <w:t>1.教育支出2296.08万元，包括：</w:t>
      </w:r>
    </w:p>
    <w:p>
      <w:pPr>
        <w:pStyle w:val="6"/>
        <w:spacing w:line="560" w:lineRule="atLeast"/>
        <w:ind w:firstLine="660"/>
        <w:rPr>
          <w:rFonts w:hint="default" w:ascii="仿宋_GB2312" w:eastAsia="仿宋_GB2312"/>
          <w:sz w:val="32"/>
          <w:szCs w:val="32"/>
        </w:rPr>
      </w:pPr>
      <w:r>
        <w:rPr>
          <w:rFonts w:ascii="仿宋_GB2312" w:eastAsia="仿宋_GB2312"/>
          <w:sz w:val="32"/>
          <w:szCs w:val="32"/>
        </w:rPr>
        <w:t>（1）普通教育支出2080.20万元，主要用于办公费、维修费、水电费等商品服务支出支出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（2）教育附加安排支出215.88万元，主要包括工资绩效支出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2.社会保障与就业支出97.62万元，包括：养老支出97.58万元，职业年金支出0.03万元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3、卫生健康支出57.52万元，包括：单位医疗支出57.52万元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4、城乡社区支出616.87万元，包括综合楼建设</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（三）政府性基金预算财政拨款支出情况。</w:t>
      </w:r>
    </w:p>
    <w:p>
      <w:pPr>
        <w:spacing w:line="560" w:lineRule="exact"/>
        <w:ind w:firstLine="640" w:firstLineChars="200"/>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我单位本年未发生此项资金。</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60" w:lineRule="exact"/>
        <w:ind w:firstLine="640" w:firstLineChars="200"/>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我单位本年未发生此项资金。</w:t>
      </w:r>
    </w:p>
    <w:p>
      <w:pPr>
        <w:pStyle w:val="6"/>
        <w:spacing w:line="560" w:lineRule="exact"/>
        <w:ind w:firstLine="640" w:firstLineChars="20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1461.17万元，其中：人员经费1171.76万元，主要包括基本工资、津贴补贴、奖金、其他社会保障缴费、机关事业单位基本养老保险缴费、其他工资福利支出、离休费、退休费、抚恤金、生活补助、奖励金、住房公积金、采暖补贴、其他对个人和家庭补助的支出；日常公用经费289.41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2021年机关运行经费支出0万元，与上年持平，主要原因是我单位属于事业单位，无机关运行经费。</w:t>
      </w:r>
    </w:p>
    <w:p>
      <w:pPr>
        <w:pStyle w:val="6"/>
        <w:spacing w:line="560" w:lineRule="exact"/>
        <w:ind w:firstLine="643" w:firstLineChars="200"/>
        <w:rPr>
          <w:rFonts w:hint="default" w:ascii="楷体_GB2312" w:eastAsia="楷体_GB2312"/>
          <w:b/>
          <w:color w:val="000000" w:themeColor="text1"/>
          <w:sz w:val="32"/>
          <w14:textFill>
            <w14:solidFill>
              <w14:schemeClr w14:val="tx1"/>
            </w14:solidFill>
          </w14:textFill>
        </w:rPr>
      </w:pPr>
      <w:r>
        <w:rPr>
          <w:rFonts w:ascii="楷体_GB2312" w:eastAsia="楷体_GB2312"/>
          <w:b/>
          <w:color w:val="000000" w:themeColor="text1"/>
          <w:sz w:val="32"/>
          <w14:textFill>
            <w14:solidFill>
              <w14:schemeClr w14:val="tx1"/>
            </w14:solidFill>
          </w14:textFill>
        </w:rPr>
        <w:t>（二）政府采购支出情况。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2021年政府采购支出总额0万元，其中：政府采购货物支出0万元，政府采购工程支出0万元，政府采购服务支出0万元。</w:t>
      </w:r>
    </w:p>
    <w:p>
      <w:pPr>
        <w:pStyle w:val="6"/>
        <w:spacing w:line="560" w:lineRule="exact"/>
        <w:ind w:firstLine="643" w:firstLineChars="200"/>
        <w:rPr>
          <w:rFonts w:hint="default" w:ascii="楷体_GB2312" w:eastAsia="楷体_GB2312"/>
          <w:b/>
          <w:sz w:val="32"/>
        </w:rPr>
      </w:pPr>
      <w:r>
        <w:rPr>
          <w:rFonts w:ascii="楷体_GB2312" w:eastAsia="楷体_GB2312"/>
          <w:b/>
          <w:sz w:val="32"/>
        </w:rPr>
        <w:t>（三）国有资产占用情况。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截至2021年12月31日，共有车辆0辆，其中：</w:t>
      </w:r>
      <w:r>
        <w:rPr>
          <w:rFonts w:ascii="仿宋_GB2312" w:hAnsi="宋体" w:eastAsia="仿宋_GB2312" w:cs="宋体"/>
          <w:kern w:val="0"/>
          <w:sz w:val="32"/>
          <w:szCs w:val="32"/>
        </w:rPr>
        <w:t>一般公务用车0辆。</w:t>
      </w:r>
      <w:r>
        <w:rPr>
          <w:rFonts w:ascii="仿宋_GB2312" w:hAnsi="黑体" w:eastAsia="仿宋_GB2312"/>
          <w:sz w:val="32"/>
          <w:szCs w:val="32"/>
        </w:rPr>
        <w:t>单位价值50万元以上通用设备0台（套），单价100万元以上专用设备0台（套）。</w:t>
      </w:r>
    </w:p>
    <w:p>
      <w:pPr>
        <w:widowControl/>
        <w:spacing w:line="560" w:lineRule="exact"/>
        <w:ind w:firstLine="643" w:firstLineChars="200"/>
        <w:rPr>
          <w:rFonts w:hint="default" w:ascii="楷体_GB2312" w:eastAsia="楷体_GB2312"/>
          <w:b/>
          <w:sz w:val="32"/>
        </w:rPr>
      </w:pPr>
      <w:r>
        <w:rPr>
          <w:rFonts w:ascii="楷体_GB2312" w:eastAsia="楷体_GB2312"/>
          <w:b/>
          <w:sz w:val="32"/>
        </w:rPr>
        <w:t>（四）预算绩效管理工作开展情况。</w:t>
      </w:r>
    </w:p>
    <w:p>
      <w:pPr>
        <w:widowControl/>
        <w:spacing w:line="560" w:lineRule="exact"/>
        <w:ind w:left="420" w:leftChars="200" w:firstLine="320" w:firstLineChars="100"/>
        <w:rPr>
          <w:rFonts w:hint="default"/>
          <w:b/>
          <w:sz w:val="36"/>
        </w:rPr>
      </w:pPr>
      <w:r>
        <w:rPr>
          <w:rFonts w:ascii="仿宋_GB2312" w:hAnsi="黑体" w:eastAsia="仿宋_GB2312" w:cs="Times New Roman"/>
          <w:sz w:val="32"/>
          <w:szCs w:val="32"/>
        </w:rPr>
        <w:t>2021年不涉及民生项目和重点支出项目。</w:t>
      </w:r>
    </w:p>
    <w:p>
      <w:pPr>
        <w:pStyle w:val="6"/>
        <w:spacing w:line="560" w:lineRule="exact"/>
        <w:rPr>
          <w:rFonts w:hint="default"/>
          <w:b/>
          <w:sz w:val="36"/>
        </w:rPr>
      </w:pPr>
    </w:p>
    <w:p>
      <w:pPr>
        <w:pStyle w:val="9"/>
        <w:autoSpaceDN w:val="0"/>
        <w:spacing w:line="560" w:lineRule="exact"/>
        <w:ind w:firstLine="2168" w:firstLineChars="6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sz w:val="32"/>
        </w:rPr>
        <w:sectPr>
          <w:headerReference r:id="rId3" w:type="default"/>
          <w:pgSz w:w="11906" w:h="16838"/>
          <w:pgMar w:top="1440" w:right="1800" w:bottom="1440" w:left="1800" w:header="851" w:footer="992" w:gutter="0"/>
          <w:cols w:space="425" w:num="1"/>
          <w:docGrid w:type="lines" w:linePitch="312" w:charSpace="0"/>
        </w:sect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sz w:val="32"/>
        </w:r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 沈阳市浑南区第一小学2021年度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2257D2"/>
    <w:multiLevelType w:val="singleLevel"/>
    <w:tmpl w:val="BB2257D2"/>
    <w:lvl w:ilvl="0" w:tentative="0">
      <w:start w:val="2"/>
      <w:numFmt w:val="chineseCounting"/>
      <w:suff w:val="space"/>
      <w:lvlText w:val="第%1部分"/>
      <w:lvlJc w:val="left"/>
      <w:rPr>
        <w:rFonts w:hint="eastAsia"/>
      </w:rPr>
    </w:lvl>
  </w:abstractNum>
  <w:abstractNum w:abstractNumId="1">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25EE8"/>
    <w:rsid w:val="00060165"/>
    <w:rsid w:val="000B596F"/>
    <w:rsid w:val="000D5F26"/>
    <w:rsid w:val="00100607"/>
    <w:rsid w:val="001D0B4A"/>
    <w:rsid w:val="00222336"/>
    <w:rsid w:val="00237C70"/>
    <w:rsid w:val="00320394"/>
    <w:rsid w:val="00342E31"/>
    <w:rsid w:val="0038444A"/>
    <w:rsid w:val="00387684"/>
    <w:rsid w:val="0044142C"/>
    <w:rsid w:val="00485722"/>
    <w:rsid w:val="00505889"/>
    <w:rsid w:val="005812D3"/>
    <w:rsid w:val="005814A4"/>
    <w:rsid w:val="00590A8D"/>
    <w:rsid w:val="005C4DCE"/>
    <w:rsid w:val="006D18E7"/>
    <w:rsid w:val="00753B9D"/>
    <w:rsid w:val="00756329"/>
    <w:rsid w:val="007F2DA7"/>
    <w:rsid w:val="007F77B9"/>
    <w:rsid w:val="008040A1"/>
    <w:rsid w:val="008664C5"/>
    <w:rsid w:val="00890C1C"/>
    <w:rsid w:val="00910272"/>
    <w:rsid w:val="00954778"/>
    <w:rsid w:val="00A17144"/>
    <w:rsid w:val="00A5357A"/>
    <w:rsid w:val="00A57A14"/>
    <w:rsid w:val="00B54181"/>
    <w:rsid w:val="00BC09C4"/>
    <w:rsid w:val="00D23C1B"/>
    <w:rsid w:val="00DC3915"/>
    <w:rsid w:val="00E4305D"/>
    <w:rsid w:val="00F16B2B"/>
    <w:rsid w:val="00F67249"/>
    <w:rsid w:val="00F724E9"/>
    <w:rsid w:val="048A62CE"/>
    <w:rsid w:val="09C4782E"/>
    <w:rsid w:val="0ECB7368"/>
    <w:rsid w:val="0F5C3E92"/>
    <w:rsid w:val="111222EB"/>
    <w:rsid w:val="11612EA5"/>
    <w:rsid w:val="12BD24FE"/>
    <w:rsid w:val="13D4106B"/>
    <w:rsid w:val="1A3966CB"/>
    <w:rsid w:val="1BBD4773"/>
    <w:rsid w:val="1C635C29"/>
    <w:rsid w:val="1DA45EC1"/>
    <w:rsid w:val="22877591"/>
    <w:rsid w:val="23503E27"/>
    <w:rsid w:val="23737E80"/>
    <w:rsid w:val="259D531E"/>
    <w:rsid w:val="26284BE7"/>
    <w:rsid w:val="2AD119CA"/>
    <w:rsid w:val="2E4F6256"/>
    <w:rsid w:val="31AA525F"/>
    <w:rsid w:val="36230505"/>
    <w:rsid w:val="3A830B2E"/>
    <w:rsid w:val="3E1026D9"/>
    <w:rsid w:val="3E843E30"/>
    <w:rsid w:val="42F66D16"/>
    <w:rsid w:val="43DF5027"/>
    <w:rsid w:val="45C226BA"/>
    <w:rsid w:val="491F7CB6"/>
    <w:rsid w:val="4DF90002"/>
    <w:rsid w:val="50541B71"/>
    <w:rsid w:val="51C712C4"/>
    <w:rsid w:val="52F448FA"/>
    <w:rsid w:val="54F6469B"/>
    <w:rsid w:val="564F5444"/>
    <w:rsid w:val="59A33FA9"/>
    <w:rsid w:val="5ADE040C"/>
    <w:rsid w:val="5B196A77"/>
    <w:rsid w:val="5B697371"/>
    <w:rsid w:val="5C827B2E"/>
    <w:rsid w:val="636B0E18"/>
    <w:rsid w:val="660F20DE"/>
    <w:rsid w:val="66E77A59"/>
    <w:rsid w:val="673C6F2C"/>
    <w:rsid w:val="69F04FE9"/>
    <w:rsid w:val="6A661AE5"/>
    <w:rsid w:val="724179B2"/>
    <w:rsid w:val="73620B6D"/>
    <w:rsid w:val="7C6A6C95"/>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11</Pages>
  <Words>3705</Words>
  <Characters>4119</Characters>
  <Lines>32</Lines>
  <Paragraphs>9</Paragraphs>
  <TotalTime>1</TotalTime>
  <ScaleCrop>false</ScaleCrop>
  <LinksUpToDate>false</LinksUpToDate>
  <CharactersWithSpaces>4149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2023-05-15T08:57:00Z</cp:lastPrinted>
  <dcterms:modified xsi:type="dcterms:W3CDTF">2023-06-20T03:02:47Z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