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沈阳市浑南区第三小学2021年度决算说明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沈阳市浑南区第三小学概况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沈阳市浑南区第三小学2021年决算情况说明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沈阳市浑南区第三小学2021年决算报表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沈阳市浑南区第三小学概况</w:t>
      </w:r>
    </w:p>
    <w:p>
      <w:pPr>
        <w:pStyle w:val="6"/>
        <w:spacing w:line="560" w:lineRule="exact"/>
        <w:ind w:firstLine="640"/>
        <w:rPr>
          <w:rFonts w:hint="default" w:ascii="黑体" w:eastAsia="黑体"/>
          <w:sz w:val="32"/>
        </w:rPr>
      </w:pP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（二）制定学校发展规划，并抓好组织实施和落实情况。</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（三）科学管理、合理使用学校的设施和经费，并积极筹措办学资金，改善办学条件。</w:t>
      </w:r>
    </w:p>
    <w:p>
      <w:pPr>
        <w:pStyle w:val="6"/>
        <w:spacing w:line="560" w:lineRule="atLeas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（四）依法接受各级教育行政部门的检查指导和人民群众的监督。</w:t>
      </w:r>
    </w:p>
    <w:p>
      <w:pPr>
        <w:ind w:left="359" w:leftChars="171" w:firstLine="313" w:firstLineChars="98"/>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（五）财务管理方面：</w:t>
      </w:r>
    </w:p>
    <w:p>
      <w:pPr>
        <w:widowControl/>
        <w:spacing w:line="400" w:lineRule="atLeast"/>
        <w:ind w:firstLine="627" w:firstLineChars="196"/>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hint="eastAsia" w:ascii="仿宋_GB2312" w:hAnsi="仿宋_GB2312" w:eastAsia="仿宋_GB2312" w:cs="仿宋_GB2312"/>
          <w:b w:val="0"/>
          <w:bCs w:val="0"/>
          <w:kern w:val="0"/>
          <w:sz w:val="32"/>
          <w:szCs w:val="32"/>
        </w:rPr>
      </w:pPr>
    </w:p>
    <w:p>
      <w:pPr>
        <w:widowControl/>
        <w:wordWrap w:val="0"/>
        <w:ind w:firstLine="56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spacing w:after="312" w:afterLines="100"/>
        <w:rPr>
          <w:rFonts w:hint="default" w:ascii="黑体" w:eastAsia="黑体"/>
          <w:sz w:val="32"/>
          <w:szCs w:val="32"/>
        </w:rPr>
      </w:pPr>
      <w:r>
        <w:rPr>
          <w:rFonts w:ascii="黑体" w:eastAsia="黑体"/>
          <w:sz w:val="32"/>
          <w:szCs w:val="32"/>
        </w:rPr>
        <w:t>二、决算单位构成</w:t>
      </w:r>
    </w:p>
    <w:p>
      <w:pPr>
        <w:widowControl/>
        <w:jc w:val="left"/>
        <w:rPr>
          <w:rFonts w:hint="default" w:eastAsia="仿宋_GB2312" w:cs="宋体"/>
          <w:b/>
          <w:bCs/>
          <w:kern w:val="0"/>
          <w:sz w:val="32"/>
          <w:szCs w:val="32"/>
        </w:rPr>
      </w:pPr>
      <w:r>
        <w:rPr>
          <w:rFonts w:ascii="宋体" w:hAnsi="宋体" w:cs="宋体"/>
          <w:kern w:val="0"/>
          <w:sz w:val="24"/>
          <w:szCs w:val="24"/>
          <w:lang w:bidi="ar"/>
        </w:rPr>
        <w:t xml:space="preserve">   </w:t>
      </w:r>
      <w:r>
        <w:rPr>
          <w:rFonts w:hint="eastAsia" w:ascii="仿宋_GB2312" w:hAnsi="仿宋_GB2312" w:eastAsia="仿宋_GB2312" w:cs="仿宋_GB2312"/>
          <w:b w:val="0"/>
          <w:bCs w:val="0"/>
          <w:kern w:val="0"/>
          <w:sz w:val="32"/>
          <w:szCs w:val="32"/>
        </w:rPr>
        <w:t>沈阳市浑南区第三小学是纳入浑南区教育局2021年决算编制范围的二级预算单位,本单位无下设机构</w:t>
      </w:r>
      <w:r>
        <w:rPr>
          <w:rFonts w:eastAsia="仿宋_GB2312" w:cs="宋体"/>
          <w:b/>
          <w:bCs/>
          <w:kern w:val="0"/>
          <w:sz w:val="32"/>
          <w:szCs w:val="32"/>
        </w:rPr>
        <w:t>。</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沈阳市浑南区第三小学2021年决算情况说明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（一）收入总计1875.64万元，包括：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1.财政拨款收入1623.04万元，占收入总计的86.53%。其中：一般公共预算财政拨款收入1623.04万元，政府性基金收入0万元，国有资本经营预算财政拨款收入0万元。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.事业收入89.4万元，占收入总计的4.77%。主要是学前教育等收入。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.上年结转和结余163.2万元，占收入总计的8.7%。主要是</w:t>
      </w:r>
      <w:r>
        <w:rPr>
          <w:rFonts w:ascii="仿宋_GB2312" w:eastAsia="仿宋_GB2312"/>
          <w:sz w:val="32"/>
          <w:szCs w:val="32"/>
        </w:rPr>
        <w:t>专项经费</w:t>
      </w:r>
      <w:r>
        <w:rPr>
          <w:rFonts w:ascii="仿宋_GB2312" w:eastAsia="仿宋_GB2312"/>
          <w:sz w:val="32"/>
        </w:rPr>
        <w:t>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与上年相比，今年收入增加465.33万元，增长32%，主要原因：</w:t>
      </w:r>
      <w:r>
        <w:rPr>
          <w:rFonts w:ascii="黑体" w:hAnsi="黑体" w:eastAsia="黑体"/>
          <w:sz w:val="32"/>
          <w:szCs w:val="32"/>
        </w:rPr>
        <w:t>一是</w:t>
      </w:r>
      <w:r>
        <w:rPr>
          <w:rFonts w:ascii="仿宋_GB2312" w:eastAsia="仿宋_GB2312"/>
          <w:sz w:val="32"/>
          <w:szCs w:val="32"/>
        </w:rPr>
        <w:t>学生人数增加；</w:t>
      </w:r>
      <w:r>
        <w:rPr>
          <w:rFonts w:ascii="黑体" w:hAnsi="黑体" w:eastAsia="黑体"/>
          <w:sz w:val="32"/>
          <w:szCs w:val="32"/>
        </w:rPr>
        <w:t>二是</w:t>
      </w:r>
      <w:r>
        <w:rPr>
          <w:rFonts w:ascii="仿宋_GB2312" w:eastAsia="仿宋_GB2312"/>
          <w:sz w:val="32"/>
          <w:szCs w:val="32"/>
        </w:rPr>
        <w:t>教师人数增加</w:t>
      </w:r>
      <w:r>
        <w:rPr>
          <w:rFonts w:ascii="仿宋_GB2312" w:eastAsia="仿宋_GB2312"/>
          <w:sz w:val="32"/>
        </w:rPr>
        <w:t>。</w:t>
      </w:r>
    </w:p>
    <w:p>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支出总计1875.64万元，包括：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1.基本支出717.65万元，占支出总计的38%。主要是为保障机构正常运转、完成日常工作任务而发生的各项支出，其中：工资福利支出503.67万元，对个人和家庭的补助支出0.53万元，商品和服务支出188.35万元，</w:t>
      </w:r>
      <w:r>
        <w:rPr>
          <w:rFonts w:ascii="仿宋_GB2312" w:eastAsia="仿宋_GB2312"/>
          <w:sz w:val="32"/>
          <w:szCs w:val="32"/>
        </w:rPr>
        <w:t>资本性支出25.1万元</w:t>
      </w:r>
      <w:r>
        <w:rPr>
          <w:rFonts w:ascii="仿宋_GB2312" w:eastAsia="仿宋_GB2312"/>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2.项目支出1157.99万元，占支出总计的62%。商品和服务支出等业务支出。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与上年相比，今年支出增加465.33万元，增长32%，主要原因：</w:t>
      </w:r>
      <w:r>
        <w:rPr>
          <w:rFonts w:ascii="黑体" w:hAnsi="黑体" w:eastAsia="黑体"/>
          <w:sz w:val="32"/>
          <w:szCs w:val="32"/>
        </w:rPr>
        <w:t>一是</w:t>
      </w:r>
      <w:r>
        <w:rPr>
          <w:rFonts w:ascii="仿宋_GB2312" w:eastAsia="仿宋_GB2312"/>
          <w:sz w:val="32"/>
          <w:szCs w:val="32"/>
        </w:rPr>
        <w:t>学生人数增加；</w:t>
      </w:r>
      <w:r>
        <w:rPr>
          <w:rFonts w:ascii="黑体" w:hAnsi="黑体" w:eastAsia="黑体"/>
          <w:sz w:val="32"/>
          <w:szCs w:val="32"/>
        </w:rPr>
        <w:t>二是</w:t>
      </w:r>
      <w:r>
        <w:rPr>
          <w:rFonts w:ascii="仿宋_GB2312" w:eastAsia="仿宋_GB2312"/>
          <w:sz w:val="32"/>
          <w:szCs w:val="32"/>
        </w:rPr>
        <w:t>教师人数增加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仿宋_GB2312" w:eastAsia="仿宋_GB2312"/>
          <w:sz w:val="32"/>
        </w:rPr>
      </w:pPr>
      <w:r>
        <w:rPr>
          <w:rFonts w:ascii="仿宋_GB2312" w:eastAsia="仿宋_GB2312"/>
          <w:sz w:val="32"/>
        </w:rPr>
        <w:t>与上年相比，今年结转结余增加0万元，增长0%，主要原因：本年无此业务。</w:t>
      </w:r>
    </w:p>
    <w:p>
      <w:pPr>
        <w:pStyle w:val="6"/>
        <w:numPr>
          <w:ilvl w:val="0"/>
          <w:numId w:val="2"/>
        </w:numPr>
        <w:spacing w:line="560" w:lineRule="exact"/>
        <w:ind w:firstLine="660"/>
        <w:rPr>
          <w:rFonts w:hint="default" w:ascii="黑体" w:eastAsia="黑体"/>
          <w:sz w:val="32"/>
        </w:rPr>
      </w:pPr>
      <w:r>
        <w:rPr>
          <w:rFonts w:ascii="黑体" w:eastAsia="黑体"/>
          <w:sz w:val="32"/>
        </w:rPr>
        <w:t>财政拨款收入支出决算情况说明</w:t>
      </w:r>
    </w:p>
    <w:p>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highlight w:val="cyan"/>
        </w:rPr>
      </w:pPr>
      <w:r>
        <w:rPr>
          <w:rFonts w:ascii="仿宋_GB2312" w:eastAsia="仿宋_GB2312"/>
          <w:sz w:val="32"/>
        </w:rPr>
        <w:t>2021年度财政拨款支出1786.24万元，其中：基本支出717.65万元，项目支出1068.59万元。与上年相比，财政拨款支出增加661.19万元，增长58%，主要原因：人员经费和公用经费费增加，支出增加。与年初预算相比，2021年度财政拨款支出完成年初预算的100%，其中：基本支出完成年初预算的142%，项目支出完成年初预算的100%。</w:t>
      </w:r>
    </w:p>
    <w:p>
      <w:pPr>
        <w:numPr>
          <w:ilvl w:val="0"/>
          <w:numId w:val="1"/>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一般公共预算财政拨款支出情况。</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2021年度一般公共预算财政拨款支出1786.24万元，按支出功能分类科目分，包括：教育支出1731.2万元，占97%；社会保障与就业支出31.44万元，占1.7%；卫生健康支出23.6万元，占1.3%。</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1.教育支出1731.2万元，包括：</w:t>
      </w:r>
    </w:p>
    <w:p>
      <w:pPr>
        <w:spacing w:line="560" w:lineRule="exact"/>
        <w:ind w:firstLine="660"/>
        <w:rPr>
          <w:rFonts w:hint="default" w:ascii="仿宋_GB2312" w:eastAsia="仿宋_GB2312"/>
          <w:sz w:val="32"/>
          <w:szCs w:val="32"/>
        </w:rPr>
      </w:pPr>
      <w:r>
        <w:rPr>
          <w:rFonts w:ascii="仿宋_GB2312" w:hAnsi="宋体" w:eastAsia="仿宋_GB2312"/>
          <w:sz w:val="32"/>
          <w:szCs w:val="32"/>
        </w:rPr>
        <w:t>（1）</w:t>
      </w:r>
      <w:r>
        <w:rPr>
          <w:rFonts w:ascii="仿宋_GB2312" w:eastAsia="仿宋_GB2312"/>
          <w:sz w:val="32"/>
          <w:szCs w:val="32"/>
        </w:rPr>
        <w:t>普通教育支出1451.02万元，水电费、办公设备购置、教师培训、文化建设、校舍维护、物业保洁、包公耗材、防疫物资等。完成年初预算的100%。</w:t>
      </w:r>
      <w:r>
        <w:rPr>
          <w:rFonts w:ascii="仿宋_GB2312" w:hAnsi="宋体" w:eastAsia="仿宋_GB2312"/>
          <w:sz w:val="32"/>
          <w:szCs w:val="32"/>
        </w:rPr>
        <w:t>决算数</w:t>
      </w:r>
      <w:r>
        <w:rPr>
          <w:rFonts w:ascii="仿宋_GB2312" w:eastAsia="仿宋_GB2312"/>
          <w:sz w:val="32"/>
          <w:szCs w:val="32"/>
        </w:rPr>
        <w:t>等于</w:t>
      </w:r>
      <w:r>
        <w:rPr>
          <w:rFonts w:ascii="仿宋_GB2312" w:hAnsi="宋体" w:eastAsia="仿宋_GB2312"/>
          <w:sz w:val="32"/>
          <w:szCs w:val="32"/>
        </w:rPr>
        <w:t>年初预算数的原因主要是</w:t>
      </w:r>
      <w:r>
        <w:rPr>
          <w:rFonts w:ascii="仿宋_GB2312" w:eastAsia="仿宋_GB2312"/>
          <w:sz w:val="32"/>
          <w:szCs w:val="32"/>
        </w:rPr>
        <w:t>严格按照年初预算执行。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（2）其他教育费附加安排的支出280.18万元，完成年初预算的100%。决算数等于年初预算数的原因主要是严格按照年初预算执行。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2.社会保障与就业支出31.44万元，包括：机关事业单位基本养老保险缴费支出29.78万元，  机关事业单位职业年金缴费支出1.66万。完成年初预算的100%。决算数等于年初预算数的原因主要是严格按照年初预算执行。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3、卫生健康支出23.6万元，包括：  事业单位医疗20.01万元 ，其他行政事业单位医疗支出3.59万元。完成年初预算的100%。决算数等于年初预算数的原因主要是严格按照年初预算执行。</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numPr>
          <w:ilvl w:val="0"/>
          <w:numId w:val="3"/>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firstLine="660"/>
        <w:rPr>
          <w:rFonts w:hint="default" w:ascii="楷体_GB2312" w:hAnsi="宋体" w:eastAsia="楷体_GB2312"/>
          <w:b/>
          <w:sz w:val="32"/>
          <w:szCs w:val="32"/>
        </w:rPr>
      </w:pPr>
      <w:r>
        <w:rPr>
          <w:rFonts w:ascii="仿宋_GB2312" w:hAnsi="宋体"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717.56万元，其中：人员经费504.19万元，主要包括基本工资、津贴补贴、奖金、其他社会保障缴费、机关事业单位基本养老保险缴费、其他工资福利支出、离休费、退休费、抚恤金、生活补助、奖励金、住房公积金、采暖补贴、其他对个人和家庭补助的支出；日常公用经费213.46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2021年度机关运行经费支出0万元，与上年持平，主要原因是本单位属于事业单位，无机关运行经费。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20</w:t>
      </w:r>
      <w:r>
        <w:rPr>
          <w:rFonts w:ascii="仿宋_GB2312" w:eastAsia="仿宋_GB2312"/>
          <w:sz w:val="32"/>
        </w:rPr>
        <w:t>21</w:t>
      </w:r>
      <w:r>
        <w:rPr>
          <w:rFonts w:hint="default" w:ascii="仿宋_GB2312" w:eastAsia="仿宋_GB2312"/>
          <w:sz w:val="32"/>
        </w:rPr>
        <w:t>年不涉及民生项目和重点支出项目，因此本单位无绩效自评及部门评价。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沈阳市浑南区第三小学2021年度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02692"/>
    <w:multiLevelType w:val="singleLevel"/>
    <w:tmpl w:val="B8C02692"/>
    <w:lvl w:ilvl="0" w:tentative="0">
      <w:start w:val="2"/>
      <w:numFmt w:val="chineseCounting"/>
      <w:suff w:val="nothing"/>
      <w:lvlText w:val="（%1）"/>
      <w:lvlJc w:val="left"/>
      <w:rPr>
        <w:rFonts w:hint="eastAsia"/>
      </w:rPr>
    </w:lvl>
  </w:abstractNum>
  <w:abstractNum w:abstractNumId="1">
    <w:nsid w:val="E4FABCC5"/>
    <w:multiLevelType w:val="singleLevel"/>
    <w:tmpl w:val="E4FABCC5"/>
    <w:lvl w:ilvl="0" w:tentative="0">
      <w:start w:val="2"/>
      <w:numFmt w:val="chineseCounting"/>
      <w:suff w:val="nothing"/>
      <w:lvlText w:val="%1、"/>
      <w:lvlJc w:val="left"/>
      <w:rPr>
        <w:rFonts w:hint="eastAsia"/>
      </w:rPr>
    </w:lvl>
  </w:abstractNum>
  <w:abstractNum w:abstractNumId="2">
    <w:nsid w:val="1EE51AC3"/>
    <w:multiLevelType w:val="singleLevel"/>
    <w:tmpl w:val="1EE51AC3"/>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2588B"/>
    <w:rsid w:val="00342E31"/>
    <w:rsid w:val="0038444A"/>
    <w:rsid w:val="00387684"/>
    <w:rsid w:val="0044142C"/>
    <w:rsid w:val="00485722"/>
    <w:rsid w:val="00505889"/>
    <w:rsid w:val="00545BF0"/>
    <w:rsid w:val="005812D3"/>
    <w:rsid w:val="005814A4"/>
    <w:rsid w:val="00590A8D"/>
    <w:rsid w:val="005C4DCE"/>
    <w:rsid w:val="005C6951"/>
    <w:rsid w:val="006A6C51"/>
    <w:rsid w:val="00753B9D"/>
    <w:rsid w:val="00756329"/>
    <w:rsid w:val="007F77B9"/>
    <w:rsid w:val="008040A1"/>
    <w:rsid w:val="00954778"/>
    <w:rsid w:val="009849A7"/>
    <w:rsid w:val="00A17144"/>
    <w:rsid w:val="00A5357A"/>
    <w:rsid w:val="00A57A14"/>
    <w:rsid w:val="00B54181"/>
    <w:rsid w:val="00BC09C4"/>
    <w:rsid w:val="00DC3915"/>
    <w:rsid w:val="00E4305D"/>
    <w:rsid w:val="00F16B2B"/>
    <w:rsid w:val="00F67249"/>
    <w:rsid w:val="00F724E9"/>
    <w:rsid w:val="01060318"/>
    <w:rsid w:val="025C3E9F"/>
    <w:rsid w:val="02B250DA"/>
    <w:rsid w:val="05CC711F"/>
    <w:rsid w:val="09C4782E"/>
    <w:rsid w:val="0C523489"/>
    <w:rsid w:val="0C6A432F"/>
    <w:rsid w:val="0ECB7368"/>
    <w:rsid w:val="0F340C24"/>
    <w:rsid w:val="0F9D4A1B"/>
    <w:rsid w:val="11612EA5"/>
    <w:rsid w:val="136C7D4D"/>
    <w:rsid w:val="13FF3EF7"/>
    <w:rsid w:val="168E3310"/>
    <w:rsid w:val="1753361B"/>
    <w:rsid w:val="189D4A94"/>
    <w:rsid w:val="1B3174A9"/>
    <w:rsid w:val="1B4641B9"/>
    <w:rsid w:val="1C5A43C0"/>
    <w:rsid w:val="1C635C29"/>
    <w:rsid w:val="1EFD54D7"/>
    <w:rsid w:val="21C978F2"/>
    <w:rsid w:val="269D2467"/>
    <w:rsid w:val="27135897"/>
    <w:rsid w:val="27206206"/>
    <w:rsid w:val="28134E2F"/>
    <w:rsid w:val="2B0807E5"/>
    <w:rsid w:val="2D102879"/>
    <w:rsid w:val="2E4F38B8"/>
    <w:rsid w:val="2E4F6256"/>
    <w:rsid w:val="2FC242FE"/>
    <w:rsid w:val="325904C6"/>
    <w:rsid w:val="36230505"/>
    <w:rsid w:val="36723C5D"/>
    <w:rsid w:val="3C237ED3"/>
    <w:rsid w:val="3DE42E15"/>
    <w:rsid w:val="3F6C7DE3"/>
    <w:rsid w:val="40786313"/>
    <w:rsid w:val="42B86E9B"/>
    <w:rsid w:val="431006FE"/>
    <w:rsid w:val="435766B4"/>
    <w:rsid w:val="466000AE"/>
    <w:rsid w:val="46CA3945"/>
    <w:rsid w:val="4A266DE0"/>
    <w:rsid w:val="4C455C43"/>
    <w:rsid w:val="4C72630D"/>
    <w:rsid w:val="4CD35DA9"/>
    <w:rsid w:val="4D13189E"/>
    <w:rsid w:val="4DD22DAD"/>
    <w:rsid w:val="51CE566C"/>
    <w:rsid w:val="54F6469B"/>
    <w:rsid w:val="55CE3D63"/>
    <w:rsid w:val="5A737E20"/>
    <w:rsid w:val="5B697371"/>
    <w:rsid w:val="5DDA0495"/>
    <w:rsid w:val="60C82547"/>
    <w:rsid w:val="632E6FDA"/>
    <w:rsid w:val="673C6F2C"/>
    <w:rsid w:val="683D1561"/>
    <w:rsid w:val="69B53FB1"/>
    <w:rsid w:val="6C7672FB"/>
    <w:rsid w:val="6F9B1553"/>
    <w:rsid w:val="702951B3"/>
    <w:rsid w:val="724179B2"/>
    <w:rsid w:val="74B6388F"/>
    <w:rsid w:val="759251A6"/>
    <w:rsid w:val="76307A4F"/>
    <w:rsid w:val="79A25BD4"/>
    <w:rsid w:val="7ACE3714"/>
    <w:rsid w:val="7C656C97"/>
    <w:rsid w:val="7CE342B8"/>
    <w:rsid w:val="7D024843"/>
    <w:rsid w:val="7F961D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12</Pages>
  <Words>4371</Words>
  <Characters>4734</Characters>
  <Lines>36</Lines>
  <Paragraphs>10</Paragraphs>
  <TotalTime>7</TotalTime>
  <ScaleCrop>false</ScaleCrop>
  <LinksUpToDate>false</LinksUpToDate>
  <CharactersWithSpaces>4773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2023-06-20T03:05:11Z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FF757302D1DE4A4EA05A0839B03D5869_13</vt:lpwstr>
  </property>
</Properties>
</file>