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sz w:val="52"/>
          <w:szCs w:val="52"/>
        </w:rPr>
      </w:pPr>
      <w:r>
        <w:rPr>
          <w:rFonts w:ascii="宋体" w:hAnsi="宋体"/>
          <w:b/>
          <w:sz w:val="52"/>
          <w:szCs w:val="52"/>
        </w:rPr>
        <w:t>沈阳市浑南区第九小学</w:t>
      </w:r>
    </w:p>
    <w:p>
      <w:pPr>
        <w:spacing w:line="540" w:lineRule="exact"/>
        <w:jc w:val="center"/>
        <w:rPr>
          <w:rFonts w:hint="default" w:ascii="宋体" w:hAnsi="宋体"/>
          <w:b/>
          <w:color w:val="FF0000"/>
          <w:sz w:val="52"/>
          <w:szCs w:val="52"/>
        </w:rPr>
      </w:pPr>
      <w:r>
        <w:rPr>
          <w:rFonts w:ascii="宋体" w:hAnsi="宋体"/>
          <w:b/>
          <w:sz w:val="52"/>
          <w:szCs w:val="52"/>
        </w:rPr>
        <w:t>2021年度决算说明</w:t>
      </w:r>
    </w:p>
    <w:p>
      <w:pPr>
        <w:pStyle w:val="6"/>
        <w:rPr>
          <w:rFonts w:hint="default" w:ascii="Times New Roman" w:eastAsia="Times New Roman"/>
          <w:b/>
          <w:sz w:val="44"/>
          <w:u w:val="single"/>
        </w:rPr>
      </w:pPr>
    </w:p>
    <w:p>
      <w:pPr>
        <w:pStyle w:val="6"/>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第一部分    沈阳市浑南区第九小学概况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第二部分    沈阳市浑南区第九小学2021年决算情况说明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第四部分    沈阳市浑南区第九小学2021年决算报表</w:t>
      </w:r>
    </w:p>
    <w:p>
      <w:pPr>
        <w:pStyle w:val="6"/>
        <w:spacing w:line="560" w:lineRule="exact"/>
        <w:rPr>
          <w:rFonts w:hint="default" w:ascii="仿宋_GB2312" w:eastAsia="仿宋_GB2312"/>
          <w:sz w:val="32"/>
        </w:rPr>
      </w:pP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rPr>
          <w:rFonts w:hint="default" w:ascii="仿宋_GB2312" w:eastAsia="仿宋_GB2312"/>
          <w:sz w:val="32"/>
        </w:rPr>
      </w:pPr>
    </w:p>
    <w:p>
      <w:pPr>
        <w:pStyle w:val="6"/>
        <w:spacing w:line="560" w:lineRule="exact"/>
        <w:jc w:val="center"/>
        <w:rPr>
          <w:rFonts w:hint="default"/>
          <w:b/>
          <w:sz w:val="36"/>
        </w:rPr>
      </w:pPr>
      <w:r>
        <w:rPr>
          <w:b/>
          <w:sz w:val="36"/>
        </w:rPr>
        <w:t>第一部分 沈阳市浑南区第九小学概况</w:t>
      </w:r>
    </w:p>
    <w:p>
      <w:pPr>
        <w:pStyle w:val="6"/>
        <w:spacing w:line="560" w:lineRule="exact"/>
        <w:ind w:firstLine="640"/>
        <w:rPr>
          <w:rFonts w:hint="default" w:ascii="黑体" w:eastAsia="黑体"/>
          <w:sz w:val="32"/>
        </w:rPr>
      </w:pPr>
    </w:p>
    <w:p>
      <w:pPr>
        <w:spacing w:line="540" w:lineRule="exact"/>
        <w:ind w:firstLine="640" w:firstLineChars="200"/>
        <w:jc w:val="left"/>
        <w:rPr>
          <w:rFonts w:hint="default" w:ascii="黑体" w:eastAsia="黑体"/>
          <w:sz w:val="32"/>
          <w:szCs w:val="32"/>
        </w:rPr>
      </w:pPr>
      <w:r>
        <w:rPr>
          <w:rFonts w:ascii="黑体" w:eastAsia="黑体"/>
          <w:sz w:val="32"/>
          <w:szCs w:val="32"/>
        </w:rPr>
        <w:t>一、主要职责</w:t>
      </w:r>
    </w:p>
    <w:p>
      <w:pPr>
        <w:spacing w:line="540" w:lineRule="exact"/>
        <w:ind w:firstLine="640" w:firstLineChars="200"/>
        <w:jc w:val="left"/>
        <w:rPr>
          <w:rFonts w:hint="default" w:ascii="仿宋_GB2312" w:eastAsia="仿宋_GB2312"/>
          <w:sz w:val="32"/>
          <w:szCs w:val="32"/>
        </w:rPr>
      </w:pPr>
      <w:r>
        <w:rPr>
          <w:rFonts w:ascii="仿宋_GB2312" w:eastAsia="仿宋_GB2312"/>
          <w:sz w:val="32"/>
          <w:szCs w:val="32"/>
        </w:rPr>
        <w:t>我单位隶属于沈阳市浑南区教育局，为全额拨款的事业单位公办小学。我单位贯彻执行国家和省市区教育方针、政策，接收本地学区的小学毕业生，完成为期六年的小学义务教育教学任务，为上级学校及社会培养德智体美等方面合格的毕业生。在此过程中，我单位根据省市区财政部门的要求，拟订本单位财政预算报告，严格按照上级财务政策实施完成上级财政拨款的支出，形成本单位的部门决算。</w:t>
      </w:r>
    </w:p>
    <w:p>
      <w:pPr>
        <w:pStyle w:val="6"/>
        <w:numPr>
          <w:ilvl w:val="0"/>
          <w:numId w:val="1"/>
        </w:numPr>
        <w:spacing w:line="560" w:lineRule="exact"/>
        <w:ind w:firstLine="640"/>
        <w:rPr>
          <w:rFonts w:hint="default" w:ascii="黑体" w:eastAsia="黑体"/>
          <w:sz w:val="32"/>
        </w:rPr>
      </w:pPr>
      <w:r>
        <w:rPr>
          <w:rFonts w:ascii="黑体" w:eastAsia="黑体"/>
          <w:sz w:val="32"/>
        </w:rPr>
        <w:t>决算单位构成</w:t>
      </w:r>
    </w:p>
    <w:p>
      <w:pPr>
        <w:spacing w:after="312" w:afterLines="100"/>
        <w:rPr>
          <w:rFonts w:hint="default"/>
          <w:sz w:val="32"/>
        </w:rPr>
      </w:pPr>
      <w:r>
        <w:rPr>
          <w:rFonts w:ascii="仿宋_GB2312" w:hAnsi="仿宋_GB2312" w:eastAsia="仿宋_GB2312" w:cs="仿宋_GB2312"/>
          <w:b/>
          <w:bCs/>
          <w:color w:val="FF0000"/>
          <w:sz w:val="32"/>
          <w:szCs w:val="32"/>
        </w:rPr>
        <w:t xml:space="preserve">     </w:t>
      </w:r>
      <w:r>
        <w:rPr>
          <w:rFonts w:hint="eastAsia" w:ascii="仿宋_GB2312" w:hAnsi="仿宋_GB2312" w:eastAsia="仿宋_GB2312" w:cs="仿宋_GB2312"/>
          <w:bCs/>
          <w:color w:val="FF0000"/>
          <w:sz w:val="32"/>
          <w:szCs w:val="32"/>
        </w:rPr>
        <w:t xml:space="preserve"> </w:t>
      </w:r>
      <w:r>
        <w:rPr>
          <w:rFonts w:hint="eastAsia" w:ascii="仿宋_GB2312" w:hAnsi="仿宋_GB2312" w:eastAsia="仿宋_GB2312" w:cs="仿宋_GB2312"/>
          <w:sz w:val="32"/>
        </w:rPr>
        <w:t>沈阳市浑南区第九小学是纳入浑南区教育局2021年决算编制范围的二级预算单位,本单位无下设机构。</w:t>
      </w:r>
    </w:p>
    <w:p>
      <w:pPr>
        <w:pStyle w:val="6"/>
        <w:numPr>
          <w:ilvl w:val="0"/>
          <w:numId w:val="2"/>
        </w:numPr>
        <w:spacing w:line="560" w:lineRule="exact"/>
        <w:jc w:val="center"/>
        <w:rPr>
          <w:rFonts w:hint="default"/>
          <w:b/>
          <w:sz w:val="36"/>
        </w:rPr>
      </w:pPr>
      <w:r>
        <w:rPr>
          <w:b/>
          <w:sz w:val="36"/>
          <w:szCs w:val="36"/>
        </w:rPr>
        <w:t xml:space="preserve">沈阳市浑南区第九小学   </w:t>
      </w:r>
    </w:p>
    <w:p>
      <w:pPr>
        <w:pStyle w:val="6"/>
        <w:spacing w:line="560" w:lineRule="exact"/>
        <w:ind w:firstLine="2168" w:firstLineChars="600"/>
        <w:rPr>
          <w:rFonts w:hint="default"/>
          <w:b/>
          <w:sz w:val="36"/>
        </w:rPr>
      </w:pPr>
      <w:r>
        <w:rPr>
          <w:b/>
          <w:sz w:val="36"/>
        </w:rPr>
        <w:t>2021年决算情况说明</w:t>
      </w:r>
      <w:bookmarkStart w:id="0" w:name="_GoBack"/>
      <w:bookmarkEnd w:id="0"/>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（一）收入总计1381.44万元，包括：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1.财政拨款收入1191.34万元，占收入总计的86.24%。其中：一般公共预算财政拨款收入1191.34万元，政府性基金收入0万元，国有资本经营预算财政拨款收入0万元。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.其他收入48.04万元，占收入总计的3.48%，</w:t>
      </w:r>
      <w:r>
        <w:rPr>
          <w:rFonts w:ascii="仿宋_GB2312" w:eastAsia="仿宋_GB2312"/>
          <w:sz w:val="32"/>
          <w:szCs w:val="32"/>
        </w:rPr>
        <w:t>主要是教育局拨入的2020年绩效工资48.04万</w:t>
      </w:r>
      <w:r>
        <w:rPr>
          <w:rFonts w:ascii="仿宋_GB2312" w:eastAsia="仿宋_GB2312"/>
          <w:sz w:val="32"/>
        </w:rPr>
        <w:t>。</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.上年结转和结余142.06万元，占收入总计的10.28%。</w:t>
      </w:r>
    </w:p>
    <w:p>
      <w:pPr>
        <w:pStyle w:val="6"/>
        <w:spacing w:line="560" w:lineRule="exact"/>
        <w:ind w:firstLine="660"/>
        <w:rPr>
          <w:rFonts w:hint="eastAsia" w:ascii="仿宋_GB2312" w:hAnsi="仿宋_GB2312" w:eastAsia="仿宋_GB2312" w:cs="仿宋_GB2312"/>
          <w:sz w:val="32"/>
        </w:rPr>
      </w:pPr>
      <w:r>
        <w:rPr>
          <w:rFonts w:ascii="仿宋_GB2312" w:eastAsia="仿宋_GB2312"/>
          <w:sz w:val="32"/>
        </w:rPr>
        <w:t>与上年相比，今年收入增加562.89万元，增长68.77%，主要原因</w:t>
      </w:r>
      <w:r>
        <w:rPr>
          <w:rFonts w:hint="eastAsia" w:ascii="仿宋_GB2312" w:hAnsi="仿宋_GB2312" w:eastAsia="仿宋_GB2312" w:cs="仿宋_GB2312"/>
          <w:sz w:val="32"/>
        </w:rPr>
        <w:t>：一是教师人数增多；二是学生人数增多。</w:t>
      </w:r>
    </w:p>
    <w:p>
      <w:pPr>
        <w:pStyle w:val="6"/>
        <w:numPr>
          <w:ilvl w:val="0"/>
          <w:numId w:val="3"/>
        </w:numPr>
        <w:spacing w:line="560" w:lineRule="exact"/>
        <w:ind w:firstLine="660"/>
        <w:rPr>
          <w:rFonts w:hint="default" w:ascii="楷体_GB2312" w:eastAsia="楷体_GB2312"/>
          <w:b/>
          <w:sz w:val="32"/>
        </w:rPr>
      </w:pPr>
      <w:r>
        <w:rPr>
          <w:rFonts w:ascii="楷体_GB2312" w:eastAsia="楷体_GB2312"/>
          <w:b/>
          <w:sz w:val="32"/>
        </w:rPr>
        <w:t>支出总计1381.44万元，</w:t>
      </w:r>
    </w:p>
    <w:p>
      <w:pPr>
        <w:pStyle w:val="6"/>
        <w:spacing w:line="560" w:lineRule="exact"/>
        <w:ind w:left="638" w:leftChars="304"/>
        <w:rPr>
          <w:rFonts w:hint="default" w:ascii="仿宋_GB2312" w:eastAsia="仿宋_GB2312"/>
          <w:sz w:val="32"/>
        </w:rPr>
      </w:pPr>
      <w:r>
        <w:rPr>
          <w:rFonts w:ascii="仿宋_GB2312" w:eastAsia="仿宋_GB2312"/>
          <w:sz w:val="32"/>
        </w:rPr>
        <w:t>1.基本支出768.37万元，占支出总计的55.62%。主要是为保障机构正常运转、完成日常工作任务而发生的各项支出，其中：工资福利支出573.13万元，对个人和家庭的补助支出0万元，商品和服务支出138.54万元，资本性支出56.7万元。</w:t>
      </w:r>
    </w:p>
    <w:p>
      <w:pPr>
        <w:pStyle w:val="6"/>
        <w:spacing w:line="560" w:lineRule="exact"/>
        <w:ind w:firstLine="660"/>
        <w:rPr>
          <w:rFonts w:hint="default" w:ascii="仿宋_GB2312" w:eastAsia="仿宋_GB2312"/>
          <w:sz w:val="32"/>
        </w:rPr>
      </w:pPr>
      <w:r>
        <w:rPr>
          <w:rFonts w:ascii="仿宋_GB2312" w:eastAsia="仿宋_GB2312"/>
          <w:sz w:val="32"/>
        </w:rPr>
        <w:t>2.项目支出613.07万元，占支出总计的44.38%。主要包括学前教育支出193.15万元，小学教育支出184.37万元，其他普通教育支出133.98万元，教育费附加安排的支出101.57万元。</w:t>
      </w:r>
    </w:p>
    <w:p>
      <w:pPr>
        <w:spacing w:line="540" w:lineRule="exact"/>
        <w:ind w:firstLine="660"/>
        <w:rPr>
          <w:rFonts w:hint="default" w:ascii="仿宋_GB2312" w:eastAsia="仿宋_GB2312"/>
          <w:sz w:val="32"/>
        </w:rPr>
      </w:pPr>
      <w:r>
        <w:rPr>
          <w:rFonts w:ascii="仿宋_GB2312" w:eastAsia="仿宋_GB2312"/>
          <w:sz w:val="32"/>
        </w:rPr>
        <w:t>与上年相比，今年支出增加562.89万元，增长68.76%，主要原因：</w:t>
      </w:r>
      <w:r>
        <w:rPr>
          <w:rFonts w:ascii="仿宋_GB2312" w:hAnsi="宋体" w:eastAsia="仿宋_GB2312"/>
          <w:sz w:val="32"/>
          <w:szCs w:val="32"/>
        </w:rPr>
        <w:t>主要原因：</w:t>
      </w:r>
      <w:r>
        <w:rPr>
          <w:rFonts w:hint="eastAsia" w:ascii="仿宋_GB2312" w:hAnsi="仿宋_GB2312" w:eastAsia="仿宋_GB2312" w:cs="仿宋_GB2312"/>
          <w:sz w:val="32"/>
          <w:szCs w:val="32"/>
        </w:rPr>
        <w:t>一是公用经费增加，支出就增加；二是教师人数增加，人员经费支出也增加</w:t>
      </w:r>
      <w:r>
        <w:rPr>
          <w:rFonts w:ascii="仿宋_GB2312" w:hAnsi="宋体" w:eastAsia="仿宋_GB2312"/>
          <w:sz w:val="32"/>
          <w:szCs w:val="32"/>
        </w:rPr>
        <w:t>。</w:t>
      </w:r>
    </w:p>
    <w:p>
      <w:pPr>
        <w:pStyle w:val="6"/>
        <w:numPr>
          <w:ilvl w:val="0"/>
          <w:numId w:val="3"/>
        </w:numPr>
        <w:spacing w:line="560" w:lineRule="exact"/>
        <w:ind w:firstLine="660"/>
        <w:rPr>
          <w:rFonts w:hint="default" w:ascii="楷体_GB2312" w:eastAsia="楷体_GB2312"/>
          <w:b/>
          <w:sz w:val="32"/>
        </w:rPr>
      </w:pPr>
      <w:r>
        <w:rPr>
          <w:rFonts w:ascii="楷体_GB2312" w:eastAsia="楷体_GB2312"/>
          <w:b/>
          <w:sz w:val="32"/>
        </w:rPr>
        <w:t>年末结转和结余0万元</w:t>
      </w:r>
    </w:p>
    <w:p>
      <w:pPr>
        <w:pStyle w:val="6"/>
        <w:spacing w:line="560" w:lineRule="exact"/>
        <w:ind w:firstLine="660"/>
        <w:rPr>
          <w:rFonts w:hint="default" w:ascii="仿宋_GB2312" w:eastAsia="仿宋_GB2312"/>
          <w:sz w:val="32"/>
        </w:rPr>
      </w:pPr>
      <w:r>
        <w:rPr>
          <w:rFonts w:ascii="仿宋_GB2312" w:eastAsia="仿宋_GB2312"/>
          <w:sz w:val="32"/>
        </w:rPr>
        <w:t>2021年收支一致没有结余，年末结转和结余0万元，今年结转结余减少142.06万元，降低100%。</w:t>
      </w:r>
    </w:p>
    <w:p>
      <w:pPr>
        <w:pStyle w:val="6"/>
        <w:spacing w:line="560" w:lineRule="exact"/>
        <w:ind w:firstLine="660"/>
        <w:rPr>
          <w:rFonts w:hint="default" w:ascii="仿宋_GB2312" w:eastAsia="仿宋_GB2312"/>
          <w:sz w:val="32"/>
        </w:rPr>
      </w:pPr>
      <w:r>
        <w:rPr>
          <w:rFonts w:ascii="仿宋_GB2312" w:eastAsia="仿宋_GB2312"/>
          <w:sz w:val="32"/>
        </w:rPr>
        <w:t>主要原因：今年没有结余。</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2021年度财政拨款支出1333.4万元，其中：基本支出768.37万元，项目支出565.03万元。与上年相比，财政拨款支出增加514.96万元，增长62.92%，</w:t>
      </w:r>
      <w:r>
        <w:rPr>
          <w:rFonts w:hint="eastAsia" w:ascii="仿宋_GB2312" w:hAnsi="仿宋_GB2312" w:eastAsia="仿宋_GB2312" w:cs="仿宋_GB2312"/>
          <w:sz w:val="32"/>
        </w:rPr>
        <w:t>主要原因：一是教师人数增多；二是学生人数增多。与年初预算相比2021年度财政拨款支出完成年初预算的100%，其中：基本支出完成年初预算的100%，项目支出完成年初预算的100</w:t>
      </w:r>
      <w:r>
        <w:rPr>
          <w:rFonts w:ascii="仿宋_GB2312" w:eastAsia="仿宋_GB2312"/>
          <w:sz w:val="32"/>
        </w:rPr>
        <w:t>%。</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2021年度一般公共预算财政拨款支出1333.4万元，按支出功能分类科目分，包括：教育支出1250.1万元，社会保障和就业支出47.42万元，卫生健康支出35.87万元。</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1.教育支出1250.1万元，具体包括：</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（1）教育支出支出1250.1万元，主要是小学教育、教育附加安排等支出，完成年初预算的100%</w:t>
      </w:r>
      <w:r>
        <w:rPr>
          <w:rFonts w:hint="eastAsia" w:ascii="仿宋_GB2312" w:eastAsia="仿宋_GB2312"/>
          <w:sz w:val="32"/>
          <w:szCs w:val="32"/>
          <w:lang w:val="en-US" w:eastAsia="zh-CN"/>
        </w:rPr>
        <w:t>，决算数等于年初预算数的原因是完全按照预算执行</w:t>
      </w:r>
      <w:r>
        <w:rPr>
          <w:rFonts w:ascii="仿宋_GB2312" w:hAnsi="宋体" w:eastAsia="仿宋_GB2312"/>
          <w:sz w:val="32"/>
          <w:szCs w:val="32"/>
        </w:rPr>
        <w:t>。</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2．社会保障和就业支出47.42万元，具体包括：</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（1）行政事业单位养老支出47.42万元，完成年初预算的100%</w:t>
      </w:r>
      <w:r>
        <w:rPr>
          <w:rFonts w:hint="eastAsia" w:ascii="仿宋_GB2312" w:eastAsia="仿宋_GB2312"/>
          <w:sz w:val="32"/>
          <w:szCs w:val="32"/>
          <w:lang w:val="en-US" w:eastAsia="zh-CN"/>
        </w:rPr>
        <w:t>，决算数等于年初预算数的原因是完全按照预算执行</w:t>
      </w:r>
      <w:r>
        <w:rPr>
          <w:rFonts w:ascii="仿宋_GB2312" w:hAnsi="宋体" w:eastAsia="仿宋_GB2312"/>
          <w:sz w:val="32"/>
          <w:szCs w:val="32"/>
        </w:rPr>
        <w:t>。</w:t>
      </w:r>
    </w:p>
    <w:p>
      <w:pPr>
        <w:spacing w:line="540" w:lineRule="exact"/>
        <w:ind w:left="660"/>
        <w:rPr>
          <w:rFonts w:hint="default" w:ascii="仿宋_GB2312" w:hAnsi="宋体" w:eastAsia="仿宋_GB2312"/>
          <w:sz w:val="32"/>
          <w:szCs w:val="32"/>
        </w:rPr>
      </w:pPr>
      <w:r>
        <w:rPr>
          <w:rFonts w:ascii="仿宋_GB2312" w:hAnsi="宋体" w:eastAsia="仿宋_GB2312"/>
          <w:sz w:val="32"/>
          <w:szCs w:val="32"/>
        </w:rPr>
        <w:t>3. 卫生健康支出35.87万元，具体包括：</w:t>
      </w:r>
    </w:p>
    <w:p>
      <w:pPr>
        <w:spacing w:line="540" w:lineRule="exact"/>
        <w:ind w:left="660"/>
        <w:rPr>
          <w:rFonts w:hint="default" w:ascii="仿宋_GB2312" w:hAnsi="宋体" w:eastAsia="仿宋_GB2312"/>
          <w:sz w:val="32"/>
          <w:szCs w:val="32"/>
        </w:rPr>
      </w:pPr>
      <w:r>
        <w:rPr>
          <w:rFonts w:ascii="仿宋_GB2312" w:hAnsi="宋体" w:eastAsia="仿宋_GB2312"/>
          <w:sz w:val="32"/>
          <w:szCs w:val="32"/>
        </w:rPr>
        <w:t>（1）行政事业单位医疗35.87万元，完成年初预算的100%</w:t>
      </w:r>
      <w:r>
        <w:rPr>
          <w:rFonts w:hint="eastAsia" w:ascii="仿宋_GB2312" w:eastAsia="仿宋_GB2312"/>
          <w:sz w:val="32"/>
          <w:szCs w:val="32"/>
          <w:lang w:val="en-US" w:eastAsia="zh-CN"/>
        </w:rPr>
        <w:t>，决算数等于年初预算数的原因是完全按照预算执行</w:t>
      </w:r>
      <w:r>
        <w:rPr>
          <w:rFonts w:ascii="仿宋_GB2312" w:hAnsi="宋体" w:eastAsia="仿宋_GB2312"/>
          <w:sz w:val="32"/>
          <w:szCs w:val="32"/>
        </w:rPr>
        <w:t>。</w:t>
      </w:r>
    </w:p>
    <w:p>
      <w:pPr>
        <w:numPr>
          <w:ilvl w:val="0"/>
          <w:numId w:val="4"/>
        </w:numPr>
        <w:spacing w:line="540" w:lineRule="exact"/>
        <w:ind w:firstLine="660"/>
        <w:outlineLvl w:val="2"/>
        <w:rPr>
          <w:rFonts w:hint="default" w:ascii="黑体" w:hAnsi="黑体" w:eastAsia="黑体" w:cs="黑体"/>
          <w:b/>
          <w:color w:val="FF0000"/>
          <w:sz w:val="32"/>
          <w:szCs w:val="32"/>
        </w:rPr>
      </w:pPr>
      <w:r>
        <w:rPr>
          <w:rFonts w:ascii="楷体_GB2312" w:hAnsi="宋体" w:eastAsia="楷体_GB2312"/>
          <w:b/>
          <w:sz w:val="32"/>
          <w:szCs w:val="32"/>
        </w:rPr>
        <w:t>政府性基金预算财政拨款支出情况。</w:t>
      </w:r>
    </w:p>
    <w:p>
      <w:pPr>
        <w:spacing w:line="540" w:lineRule="exact"/>
        <w:outlineLvl w:val="2"/>
        <w:rPr>
          <w:rFonts w:hint="default" w:ascii="黑体" w:hAnsi="黑体" w:eastAsia="黑体" w:cs="黑体"/>
          <w:b/>
          <w:color w:val="FF0000"/>
          <w:sz w:val="32"/>
          <w:szCs w:val="32"/>
        </w:rPr>
      </w:pPr>
      <w:r>
        <w:rPr>
          <w:rFonts w:ascii="黑体" w:hAnsi="黑体" w:eastAsia="黑体" w:cs="黑体"/>
          <w:b/>
          <w:color w:val="FF0000"/>
          <w:sz w:val="32"/>
          <w:szCs w:val="32"/>
        </w:rPr>
        <w:t xml:space="preserve">       </w:t>
      </w:r>
      <w:r>
        <w:rPr>
          <w:rFonts w:ascii="仿宋_GB2312" w:hAnsi="宋体" w:eastAsia="仿宋_GB2312"/>
          <w:sz w:val="32"/>
          <w:szCs w:val="32"/>
        </w:rPr>
        <w:t xml:space="preserve">  本年未发生此项资金。</w:t>
      </w:r>
    </w:p>
    <w:p>
      <w:pPr>
        <w:numPr>
          <w:ilvl w:val="0"/>
          <w:numId w:val="4"/>
        </w:num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国有资本经营预算财政拨款支出情况。</w:t>
      </w:r>
    </w:p>
    <w:p>
      <w:pPr>
        <w:spacing w:line="560" w:lineRule="exact"/>
        <w:ind w:left="660" w:firstLine="640" w:firstLineChars="200"/>
        <w:rPr>
          <w:rFonts w:hint="default" w:ascii="仿宋_GB2312" w:hAnsi="宋体" w:eastAsia="仿宋_GB2312"/>
          <w:sz w:val="32"/>
          <w:szCs w:val="32"/>
        </w:rPr>
      </w:pPr>
      <w:r>
        <w:rPr>
          <w:rFonts w:ascii="仿宋_GB2312" w:hAnsi="宋体" w:eastAsia="仿宋_GB2312"/>
          <w:sz w:val="32"/>
          <w:szCs w:val="32"/>
        </w:rPr>
        <w:t xml:space="preserve"> 本年未发生此项资金。</w:t>
      </w:r>
    </w:p>
    <w:p>
      <w:pPr>
        <w:pStyle w:val="6"/>
        <w:spacing w:line="560" w:lineRule="exact"/>
        <w:ind w:firstLine="660"/>
        <w:rPr>
          <w:rFonts w:hint="default" w:ascii="黑体" w:eastAsia="黑体"/>
          <w:b/>
          <w:bCs/>
          <w:sz w:val="32"/>
        </w:rPr>
      </w:pPr>
      <w:r>
        <w:rPr>
          <w:rFonts w:ascii="黑体" w:eastAsia="黑体"/>
          <w:b/>
          <w:bCs/>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pStyle w:val="6"/>
        <w:autoSpaceDN w:val="0"/>
        <w:spacing w:line="560" w:lineRule="exact"/>
        <w:ind w:firstLine="640"/>
        <w:rPr>
          <w:rFonts w:hint="default" w:ascii="仿宋_GB2312" w:eastAsia="仿宋_GB2312"/>
          <w:sz w:val="32"/>
        </w:rPr>
      </w:pPr>
      <w:r>
        <w:rPr>
          <w:rFonts w:ascii="仿宋_GB2312"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768.37万元，其中：人员经费573.13万元，主要包括基本工资、津贴补贴、奖金、其他社会保障缴费、机关事业单位基本养老保险缴费、其他工资福利支出、离休费、退休费、抚恤金、生活补助、奖励金、住房公积金、采暖补贴、其他对个人和家庭补助的支出；日常公用经费195.24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spacing w:line="540" w:lineRule="exact"/>
        <w:ind w:firstLine="640" w:firstLineChars="200"/>
        <w:rPr>
          <w:rFonts w:hint="default" w:ascii="仿宋_GB2312" w:hAnsi="黑体" w:eastAsia="仿宋_GB2312"/>
          <w:sz w:val="32"/>
          <w:szCs w:val="32"/>
        </w:rPr>
      </w:pPr>
      <w:r>
        <w:rPr>
          <w:rFonts w:ascii="楷体_GB2312" w:hAnsi="黑体" w:eastAsia="楷体_GB2312"/>
          <w:bCs/>
          <w:sz w:val="32"/>
          <w:szCs w:val="32"/>
        </w:rPr>
        <w:t>2021年机关运行经费支出0万元，与上年持平，主要原因是本单位属于事业单位，无机关运行经费。</w:t>
      </w:r>
    </w:p>
    <w:p>
      <w:pPr>
        <w:pStyle w:val="6"/>
        <w:numPr>
          <w:ilvl w:val="0"/>
          <w:numId w:val="5"/>
        </w:numPr>
        <w:spacing w:line="560" w:lineRule="exact"/>
        <w:ind w:firstLine="640"/>
        <w:rPr>
          <w:rFonts w:hint="default" w:ascii="楷体_GB2312" w:eastAsia="楷体_GB2312"/>
          <w:b/>
          <w:sz w:val="32"/>
        </w:rPr>
      </w:pPr>
      <w:r>
        <w:rPr>
          <w:rFonts w:ascii="楷体_GB2312" w:eastAsia="楷体_GB2312"/>
          <w:b/>
          <w:sz w:val="32"/>
        </w:rPr>
        <w:t>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授予中小企业合同金额0万元，占政府采购支出总额的0%，其中：授予小微企业合同金额0万元，占政府采购支出总额的0%；货物采购授予中小企业合同金额占货物支出金额的0%；工程采购授予中小企业合同金额占工程支出金额的0%；服务采购授予中小企业合同金额占服务支出金额的0%。</w:t>
      </w:r>
    </w:p>
    <w:p>
      <w:pPr>
        <w:pStyle w:val="6"/>
        <w:numPr>
          <w:ilvl w:val="0"/>
          <w:numId w:val="5"/>
        </w:numPr>
        <w:spacing w:line="560" w:lineRule="exact"/>
        <w:ind w:firstLine="640"/>
        <w:rPr>
          <w:rFonts w:hint="default" w:ascii="仿宋_GB2312" w:eastAsia="仿宋_GB2312"/>
          <w:sz w:val="32"/>
        </w:rPr>
      </w:pPr>
      <w:r>
        <w:rPr>
          <w:rFonts w:ascii="楷体_GB2312" w:eastAsia="楷体_GB2312"/>
          <w:b/>
          <w:sz w:val="32"/>
        </w:rPr>
        <w:t>国有资产占用情况。</w:t>
      </w:r>
    </w:p>
    <w:p>
      <w:pPr>
        <w:pStyle w:val="6"/>
        <w:spacing w:line="560" w:lineRule="exact"/>
        <w:ind w:firstLine="640" w:firstLineChars="200"/>
        <w:rPr>
          <w:rFonts w:hint="default" w:ascii="仿宋_GB2312" w:eastAsia="仿宋_GB2312"/>
          <w:sz w:val="32"/>
        </w:rPr>
      </w:pPr>
      <w:r>
        <w:rPr>
          <w:rFonts w:ascii="仿宋_GB2312" w:eastAsia="仿宋_GB2312"/>
          <w:sz w:val="32"/>
        </w:rPr>
        <w:t>截至2021年12月31日，共有车辆0辆，其中：副省级以上领导干部用车0辆，主要领导干部用车0辆，机要通讯用车0辆，应急保障用车0辆，执法执勤用车0辆，特种专业技术用车0辆，离退休干部用车0辆，其他用车0辆，单位价值50万元以上通用设备0台（套），单价100万元以上专用设备0台（套）。</w:t>
      </w:r>
    </w:p>
    <w:p>
      <w:pPr>
        <w:widowControl/>
        <w:numPr>
          <w:ilvl w:val="0"/>
          <w:numId w:val="5"/>
        </w:numPr>
        <w:spacing w:line="540" w:lineRule="exact"/>
        <w:ind w:firstLine="640"/>
        <w:jc w:val="left"/>
        <w:rPr>
          <w:rFonts w:hint="default" w:ascii="楷体_GB2312" w:hAnsi="宋体" w:eastAsia="楷体_GB2312" w:cs="楷体_GB2312"/>
          <w:b/>
          <w:color w:val="FF0000"/>
          <w:sz w:val="32"/>
          <w:szCs w:val="32"/>
          <w:lang w:bidi="ar"/>
        </w:rPr>
      </w:pPr>
      <w:r>
        <w:rPr>
          <w:rFonts w:ascii="楷体_GB2312" w:eastAsia="楷体_GB2312"/>
          <w:b/>
          <w:sz w:val="32"/>
        </w:rPr>
        <w:t>预算绩效管理工作开展情况。</w:t>
      </w:r>
    </w:p>
    <w:p>
      <w:pPr>
        <w:spacing w:line="540" w:lineRule="exact"/>
        <w:ind w:firstLine="640" w:firstLineChars="200"/>
        <w:rPr>
          <w:rFonts w:hint="default" w:ascii="楷体_GB2312" w:hAnsi="宋体" w:eastAsia="楷体_GB2312"/>
          <w:bCs/>
          <w:sz w:val="32"/>
          <w:szCs w:val="32"/>
        </w:rPr>
      </w:pPr>
      <w:r>
        <w:rPr>
          <w:rFonts w:ascii="仿宋_GB2312" w:eastAsia="仿宋_GB2312"/>
          <w:bCs/>
          <w:color w:val="000000"/>
          <w:sz w:val="32"/>
          <w:szCs w:val="32"/>
        </w:rPr>
        <w:t>2021年不涉及民生项目和重点支出项目。因此本单位无绩效自评及部门评价。</w:t>
      </w:r>
    </w:p>
    <w:p>
      <w:pPr>
        <w:widowControl/>
        <w:spacing w:line="540" w:lineRule="exact"/>
        <w:ind w:left="640"/>
        <w:jc w:val="left"/>
        <w:rPr>
          <w:rFonts w:hint="default" w:ascii="楷体_GB2312" w:hAnsi="宋体" w:eastAsia="楷体_GB2312" w:cs="楷体_GB2312"/>
          <w:b/>
          <w:color w:val="FF0000"/>
          <w:sz w:val="32"/>
          <w:szCs w:val="32"/>
          <w:lang w:bidi="ar"/>
        </w:rPr>
      </w:pPr>
    </w:p>
    <w:p>
      <w:pPr>
        <w:pStyle w:val="6"/>
        <w:spacing w:line="560" w:lineRule="exact"/>
        <w:rPr>
          <w:rFonts w:hint="default"/>
          <w:b/>
          <w:sz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sz w:val="32"/>
        </w:rPr>
        <w:sectPr>
          <w:headerReference r:id="rId3" w:type="default"/>
          <w:pgSz w:w="11906" w:h="16838"/>
          <w:pgMar w:top="1440" w:right="1800" w:bottom="1440" w:left="1800" w:header="851" w:footer="992" w:gutter="0"/>
          <w:cols w:space="425" w:num="1"/>
          <w:docGrid w:type="lines" w:linePitch="312" w:charSpace="0"/>
        </w:sect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sz w:val="32"/>
        </w:rPr>
      </w:pPr>
    </w:p>
    <w:p>
      <w:pPr>
        <w:rPr>
          <w:rFonts w:hint="default" w:ascii="仿宋_GB2312" w:hAnsi="宋体" w:eastAsia="仿宋_GB2312"/>
          <w:kern w:val="0"/>
          <w:sz w:val="32"/>
        </w:rPr>
      </w:pPr>
    </w:p>
    <w:p>
      <w:pPr>
        <w:spacing w:line="540" w:lineRule="exact"/>
        <w:jc w:val="center"/>
        <w:rPr>
          <w:rFonts w:ascii="仿宋_GB2312" w:hAnsi="仿宋_GB2312" w:eastAsia="仿宋_GB2312" w:cs="仿宋_GB2312"/>
          <w:b/>
          <w:sz w:val="52"/>
          <w:szCs w:val="52"/>
        </w:rPr>
      </w:pPr>
    </w:p>
    <w:p>
      <w:pPr>
        <w:spacing w:line="540" w:lineRule="exact"/>
        <w:jc w:val="center"/>
        <w:rPr>
          <w:rFonts w:ascii="仿宋_GB2312" w:hAnsi="仿宋_GB2312" w:eastAsia="仿宋_GB2312" w:cs="仿宋_GB2312"/>
          <w:b/>
          <w:sz w:val="52"/>
          <w:szCs w:val="52"/>
        </w:rPr>
      </w:pPr>
    </w:p>
    <w:p>
      <w:pPr>
        <w:spacing w:line="540" w:lineRule="exact"/>
        <w:jc w:val="center"/>
        <w:rPr>
          <w:rFonts w:ascii="仿宋_GB2312" w:hAnsi="仿宋_GB2312" w:eastAsia="仿宋_GB2312" w:cs="仿宋_GB2312"/>
          <w:b/>
          <w:sz w:val="52"/>
          <w:szCs w:val="52"/>
        </w:rPr>
      </w:pPr>
    </w:p>
    <w:p>
      <w:pPr>
        <w:spacing w:line="540" w:lineRule="exact"/>
        <w:jc w:val="center"/>
        <w:rPr>
          <w:rFonts w:ascii="仿宋_GB2312" w:hAnsi="仿宋_GB2312" w:eastAsia="仿宋_GB2312" w:cs="仿宋_GB2312"/>
          <w:b/>
          <w:sz w:val="52"/>
          <w:szCs w:val="52"/>
        </w:rPr>
      </w:pPr>
    </w:p>
    <w:p>
      <w:pPr>
        <w:spacing w:line="540" w:lineRule="exact"/>
        <w:jc w:val="center"/>
        <w:rPr>
          <w:rFonts w:hint="default" w:ascii="宋体" w:hAnsi="宋体"/>
          <w:b/>
          <w:sz w:val="52"/>
          <w:szCs w:val="52"/>
        </w:rPr>
      </w:pPr>
      <w:r>
        <w:rPr>
          <w:rFonts w:ascii="仿宋_GB2312" w:hAnsi="仿宋_GB2312" w:eastAsia="仿宋_GB2312" w:cs="仿宋_GB2312"/>
          <w:b/>
          <w:sz w:val="52"/>
          <w:szCs w:val="52"/>
        </w:rPr>
        <w:t xml:space="preserve">第四部分 </w:t>
      </w:r>
      <w:r>
        <w:rPr>
          <w:rFonts w:ascii="宋体" w:hAnsi="宋体"/>
          <w:b/>
          <w:sz w:val="52"/>
          <w:szCs w:val="52"/>
        </w:rPr>
        <w:t>沈阳市浑南区第九小学</w:t>
      </w:r>
    </w:p>
    <w:p>
      <w:pPr>
        <w:pStyle w:val="6"/>
        <w:spacing w:line="560" w:lineRule="atLeast"/>
        <w:jc w:val="center"/>
        <w:rPr>
          <w:rFonts w:hint="default"/>
          <w:b/>
          <w:sz w:val="36"/>
        </w:rPr>
      </w:pPr>
      <w:r>
        <w:rPr>
          <w:rFonts w:ascii="仿宋_GB2312" w:hAnsi="仿宋_GB2312" w:eastAsia="仿宋_GB2312" w:cs="仿宋_GB2312"/>
          <w:b/>
          <w:sz w:val="52"/>
          <w:szCs w:val="52"/>
        </w:rPr>
        <w:t>2021年度决算表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E08A24"/>
    <w:multiLevelType w:val="singleLevel"/>
    <w:tmpl w:val="E9E08A24"/>
    <w:lvl w:ilvl="0" w:tentative="0">
      <w:start w:val="3"/>
      <w:numFmt w:val="chineseCounting"/>
      <w:suff w:val="nothing"/>
      <w:lvlText w:val="（%1）"/>
      <w:lvlJc w:val="left"/>
      <w:rPr>
        <w:rFonts w:hint="eastAsia"/>
        <w:color w:val="auto"/>
      </w:rPr>
    </w:lvl>
  </w:abstractNum>
  <w:abstractNum w:abstractNumId="1">
    <w:nsid w:val="41246ABF"/>
    <w:multiLevelType w:val="singleLevel"/>
    <w:tmpl w:val="41246ABF"/>
    <w:lvl w:ilvl="0" w:tentative="0">
      <w:start w:val="2"/>
      <w:numFmt w:val="chineseCounting"/>
      <w:suff w:val="nothing"/>
      <w:lvlText w:val="（%1）"/>
      <w:lvlJc w:val="left"/>
      <w:rPr>
        <w:rFonts w:hint="eastAsia"/>
        <w:color w:val="auto"/>
      </w:rPr>
    </w:lvl>
  </w:abstractNum>
  <w:abstractNum w:abstractNumId="2">
    <w:nsid w:val="4A86BDE3"/>
    <w:multiLevelType w:val="singleLevel"/>
    <w:tmpl w:val="4A86BDE3"/>
    <w:lvl w:ilvl="0" w:tentative="0">
      <w:start w:val="2"/>
      <w:numFmt w:val="chineseCounting"/>
      <w:suff w:val="nothing"/>
      <w:lvlText w:val="（%1）"/>
      <w:lvlJc w:val="left"/>
      <w:rPr>
        <w:rFonts w:hint="eastAsia"/>
      </w:rPr>
    </w:lvl>
  </w:abstractNum>
  <w:abstractNum w:abstractNumId="3">
    <w:nsid w:val="51BC4620"/>
    <w:multiLevelType w:val="singleLevel"/>
    <w:tmpl w:val="51BC4620"/>
    <w:lvl w:ilvl="0" w:tentative="0">
      <w:start w:val="2"/>
      <w:numFmt w:val="chineseCounting"/>
      <w:suff w:val="space"/>
      <w:lvlText w:val="第%1部分"/>
      <w:lvlJc w:val="left"/>
      <w:rPr>
        <w:rFonts w:hint="eastAsia"/>
      </w:rPr>
    </w:lvl>
  </w:abstractNum>
  <w:abstractNum w:abstractNumId="4">
    <w:nsid w:val="6DC9117B"/>
    <w:multiLevelType w:val="singleLevel"/>
    <w:tmpl w:val="6DC9117B"/>
    <w:lvl w:ilvl="0" w:tentative="0">
      <w:start w:val="2"/>
      <w:numFmt w:val="chineseCounting"/>
      <w:suff w:val="nothing"/>
      <w:lvlText w:val="%1、"/>
      <w:lvlJc w:val="left"/>
      <w:rPr>
        <w:rFonts w:hint="eastAsia"/>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304D4"/>
    <w:rsid w:val="00060165"/>
    <w:rsid w:val="000B596F"/>
    <w:rsid w:val="00100607"/>
    <w:rsid w:val="001D0B4A"/>
    <w:rsid w:val="00320394"/>
    <w:rsid w:val="00322B3B"/>
    <w:rsid w:val="00342E31"/>
    <w:rsid w:val="0038444A"/>
    <w:rsid w:val="00387684"/>
    <w:rsid w:val="0044142C"/>
    <w:rsid w:val="00485722"/>
    <w:rsid w:val="00505889"/>
    <w:rsid w:val="005812D3"/>
    <w:rsid w:val="005814A4"/>
    <w:rsid w:val="00590A8D"/>
    <w:rsid w:val="005C4DCE"/>
    <w:rsid w:val="00641D0D"/>
    <w:rsid w:val="00753B9D"/>
    <w:rsid w:val="00756329"/>
    <w:rsid w:val="007D1436"/>
    <w:rsid w:val="007F77B9"/>
    <w:rsid w:val="008040A1"/>
    <w:rsid w:val="008C60F6"/>
    <w:rsid w:val="00954778"/>
    <w:rsid w:val="00A17144"/>
    <w:rsid w:val="00A5357A"/>
    <w:rsid w:val="00A57A14"/>
    <w:rsid w:val="00B54181"/>
    <w:rsid w:val="00BC09C4"/>
    <w:rsid w:val="00DC3915"/>
    <w:rsid w:val="00E4305D"/>
    <w:rsid w:val="00F16B2B"/>
    <w:rsid w:val="00F67249"/>
    <w:rsid w:val="00F724E9"/>
    <w:rsid w:val="01270538"/>
    <w:rsid w:val="02693733"/>
    <w:rsid w:val="02E80AFB"/>
    <w:rsid w:val="030B47EA"/>
    <w:rsid w:val="049802FF"/>
    <w:rsid w:val="05080FE1"/>
    <w:rsid w:val="069D39AB"/>
    <w:rsid w:val="06E15F8D"/>
    <w:rsid w:val="07124399"/>
    <w:rsid w:val="07DE427B"/>
    <w:rsid w:val="09C4782E"/>
    <w:rsid w:val="0A081A83"/>
    <w:rsid w:val="0A2A6469"/>
    <w:rsid w:val="0A4F1460"/>
    <w:rsid w:val="0A5C592B"/>
    <w:rsid w:val="0A670558"/>
    <w:rsid w:val="0BBE4AEF"/>
    <w:rsid w:val="0C871385"/>
    <w:rsid w:val="0CB101B0"/>
    <w:rsid w:val="0D4508F8"/>
    <w:rsid w:val="0DE545B5"/>
    <w:rsid w:val="0E4C6694"/>
    <w:rsid w:val="0ECB7368"/>
    <w:rsid w:val="0FF00FEF"/>
    <w:rsid w:val="107E2A9F"/>
    <w:rsid w:val="11612EA5"/>
    <w:rsid w:val="1201534E"/>
    <w:rsid w:val="134C29E0"/>
    <w:rsid w:val="136E6DFB"/>
    <w:rsid w:val="14327E28"/>
    <w:rsid w:val="146E6986"/>
    <w:rsid w:val="14863CD0"/>
    <w:rsid w:val="148937C0"/>
    <w:rsid w:val="17EE4066"/>
    <w:rsid w:val="1A620D3B"/>
    <w:rsid w:val="1A68623D"/>
    <w:rsid w:val="1B410951"/>
    <w:rsid w:val="1B574618"/>
    <w:rsid w:val="1B5A1A13"/>
    <w:rsid w:val="1BB455C7"/>
    <w:rsid w:val="1C0320AA"/>
    <w:rsid w:val="1C635C29"/>
    <w:rsid w:val="1D921938"/>
    <w:rsid w:val="1E4F5A7B"/>
    <w:rsid w:val="1E7D4396"/>
    <w:rsid w:val="1EA5569B"/>
    <w:rsid w:val="1ECA6EAF"/>
    <w:rsid w:val="1FD634B2"/>
    <w:rsid w:val="20BB72C4"/>
    <w:rsid w:val="24A02B8C"/>
    <w:rsid w:val="24F86524"/>
    <w:rsid w:val="2524556B"/>
    <w:rsid w:val="262B2929"/>
    <w:rsid w:val="267C311D"/>
    <w:rsid w:val="27351CB2"/>
    <w:rsid w:val="2973261D"/>
    <w:rsid w:val="29740F50"/>
    <w:rsid w:val="297B3BC8"/>
    <w:rsid w:val="298F1421"/>
    <w:rsid w:val="2B0100FD"/>
    <w:rsid w:val="2E3F6F72"/>
    <w:rsid w:val="2E4F6256"/>
    <w:rsid w:val="301F52AD"/>
    <w:rsid w:val="30365B94"/>
    <w:rsid w:val="304545E8"/>
    <w:rsid w:val="30CE6CD3"/>
    <w:rsid w:val="316B62D0"/>
    <w:rsid w:val="31D2634F"/>
    <w:rsid w:val="321D581C"/>
    <w:rsid w:val="32494863"/>
    <w:rsid w:val="348C6C89"/>
    <w:rsid w:val="3529097C"/>
    <w:rsid w:val="36230505"/>
    <w:rsid w:val="36DC19F5"/>
    <w:rsid w:val="38C033A5"/>
    <w:rsid w:val="38E576DC"/>
    <w:rsid w:val="394C661D"/>
    <w:rsid w:val="39810D86"/>
    <w:rsid w:val="3D0173C5"/>
    <w:rsid w:val="3E030D4F"/>
    <w:rsid w:val="3E506F79"/>
    <w:rsid w:val="3F002A81"/>
    <w:rsid w:val="3F2301EA"/>
    <w:rsid w:val="3FAF4004"/>
    <w:rsid w:val="40B067B1"/>
    <w:rsid w:val="41560E63"/>
    <w:rsid w:val="42DF08CC"/>
    <w:rsid w:val="4315232B"/>
    <w:rsid w:val="434720A9"/>
    <w:rsid w:val="44CD67E7"/>
    <w:rsid w:val="467A2DE5"/>
    <w:rsid w:val="48276F9D"/>
    <w:rsid w:val="485853A8"/>
    <w:rsid w:val="49995C78"/>
    <w:rsid w:val="49C03205"/>
    <w:rsid w:val="49DF7EDF"/>
    <w:rsid w:val="4B375749"/>
    <w:rsid w:val="4D7D31BB"/>
    <w:rsid w:val="4E676345"/>
    <w:rsid w:val="500B0F52"/>
    <w:rsid w:val="50836D3A"/>
    <w:rsid w:val="51984A67"/>
    <w:rsid w:val="5209326F"/>
    <w:rsid w:val="529E1C09"/>
    <w:rsid w:val="52FC2DD4"/>
    <w:rsid w:val="54A6749B"/>
    <w:rsid w:val="54C618EB"/>
    <w:rsid w:val="54F6469B"/>
    <w:rsid w:val="5511700B"/>
    <w:rsid w:val="559E126A"/>
    <w:rsid w:val="56C1680E"/>
    <w:rsid w:val="5717642E"/>
    <w:rsid w:val="57CC546B"/>
    <w:rsid w:val="582C415B"/>
    <w:rsid w:val="58F26503"/>
    <w:rsid w:val="59A0095D"/>
    <w:rsid w:val="5A355549"/>
    <w:rsid w:val="5B697371"/>
    <w:rsid w:val="5B6D2AC1"/>
    <w:rsid w:val="5CA90989"/>
    <w:rsid w:val="5CB14C2F"/>
    <w:rsid w:val="5D26561D"/>
    <w:rsid w:val="5D873F59"/>
    <w:rsid w:val="5D957858"/>
    <w:rsid w:val="5E062D59"/>
    <w:rsid w:val="5EE94B54"/>
    <w:rsid w:val="5EF4201D"/>
    <w:rsid w:val="5FD96977"/>
    <w:rsid w:val="619D39D4"/>
    <w:rsid w:val="62E93487"/>
    <w:rsid w:val="631877B6"/>
    <w:rsid w:val="63730E90"/>
    <w:rsid w:val="63C94F54"/>
    <w:rsid w:val="653D569A"/>
    <w:rsid w:val="665B6338"/>
    <w:rsid w:val="66AA4BC9"/>
    <w:rsid w:val="673C6F2C"/>
    <w:rsid w:val="67CC6DC1"/>
    <w:rsid w:val="69AB6CE0"/>
    <w:rsid w:val="6A2D478D"/>
    <w:rsid w:val="6A2D7FEB"/>
    <w:rsid w:val="6AB2229E"/>
    <w:rsid w:val="6B482ECB"/>
    <w:rsid w:val="6BA20565"/>
    <w:rsid w:val="6C68355C"/>
    <w:rsid w:val="6C7D282A"/>
    <w:rsid w:val="6CB467A2"/>
    <w:rsid w:val="6E7361E8"/>
    <w:rsid w:val="703B0F88"/>
    <w:rsid w:val="703F45D4"/>
    <w:rsid w:val="70447E3C"/>
    <w:rsid w:val="71397275"/>
    <w:rsid w:val="716E6788"/>
    <w:rsid w:val="724179B2"/>
    <w:rsid w:val="72695938"/>
    <w:rsid w:val="72872262"/>
    <w:rsid w:val="733046A8"/>
    <w:rsid w:val="73A17354"/>
    <w:rsid w:val="75F47C0F"/>
    <w:rsid w:val="762B73A9"/>
    <w:rsid w:val="768C7CF7"/>
    <w:rsid w:val="778D3EB4"/>
    <w:rsid w:val="78080872"/>
    <w:rsid w:val="782347DB"/>
    <w:rsid w:val="78B90C9C"/>
    <w:rsid w:val="78E86229"/>
    <w:rsid w:val="794E56C7"/>
    <w:rsid w:val="796C5D0E"/>
    <w:rsid w:val="7A3727C0"/>
    <w:rsid w:val="7A5C5D83"/>
    <w:rsid w:val="7A61783D"/>
    <w:rsid w:val="7D024843"/>
    <w:rsid w:val="7EF23159"/>
    <w:rsid w:val="7F783ABD"/>
    <w:rsid w:val="7FA206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11</Pages>
  <Words>3807</Words>
  <Characters>4198</Characters>
  <Lines>32</Lines>
  <Paragraphs>9</Paragraphs>
  <TotalTime>1</TotalTime>
  <ScaleCrop>false</ScaleCrop>
  <LinksUpToDate>false</LinksUpToDate>
  <CharactersWithSpaces>4247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初初</cp:lastModifiedBy>
  <cp:lastPrinted>2022-09-19T10:34:00Z</cp:lastPrinted>
  <dcterms:modified xsi:type="dcterms:W3CDTF">2023-09-01T09:04:42Z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