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沈阳市浑南区第八小学2021年度决算说明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沈阳市浑南区第八小学概况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沈阳市浑南区第八小学2021年决算情况说明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沈阳市浑南区第八小学2021年决算报表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沈阳市浑南区第八小学概况</w:t>
      </w:r>
    </w:p>
    <w:p>
      <w:pPr>
        <w:pStyle w:val="6"/>
        <w:spacing w:line="560" w:lineRule="exact"/>
        <w:ind w:firstLine="640"/>
        <w:rPr>
          <w:rFonts w:hint="default" w:ascii="黑体" w:eastAsia="黑体"/>
          <w:sz w:val="32"/>
        </w:rPr>
      </w:pPr>
    </w:p>
    <w:p>
      <w:pPr>
        <w:spacing w:line="540" w:lineRule="exact"/>
        <w:ind w:firstLine="640" w:firstLineChars="200"/>
        <w:jc w:val="left"/>
        <w:rPr>
          <w:rFonts w:hint="default" w:ascii="黑体" w:eastAsia="黑体"/>
          <w:sz w:val="32"/>
          <w:szCs w:val="32"/>
        </w:rPr>
      </w:pPr>
      <w:r>
        <w:rPr>
          <w:rFonts w:ascii="黑体" w:eastAsia="黑体"/>
          <w:sz w:val="32"/>
          <w:szCs w:val="32"/>
        </w:rPr>
        <w:t>一、主要职责</w:t>
      </w:r>
    </w:p>
    <w:p>
      <w:pPr>
        <w:widowControl/>
        <w:spacing w:line="360" w:lineRule="auto"/>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（一）组织教育教学、科学研究活动，保证教育教学质量。维护教职工利益，保障教职工合法权益，以教职工和学生的人生幸福和生命质量作为重点。</w:t>
      </w:r>
    </w:p>
    <w:p>
      <w:pPr>
        <w:widowControl/>
        <w:spacing w:line="360" w:lineRule="auto"/>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（二）制定学校发展规划，并抓好组织实施和落实情况。</w:t>
      </w:r>
    </w:p>
    <w:p>
      <w:pPr>
        <w:widowControl/>
        <w:spacing w:line="360" w:lineRule="auto"/>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（三）科学管理、合理使用学校的设施和经费，并积极筹措办学资金，改善办学条件。</w:t>
      </w:r>
    </w:p>
    <w:p>
      <w:pPr>
        <w:pStyle w:val="6"/>
        <w:spacing w:line="560" w:lineRule="atLeast"/>
        <w:ind w:firstLine="64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（四）依法接受各级教育行政部门的检查指导和人民群众的监督。</w:t>
      </w:r>
    </w:p>
    <w:p>
      <w:pPr>
        <w:ind w:left="359" w:leftChars="171" w:firstLine="313" w:firstLineChars="98"/>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（五）财务管理方面：</w:t>
      </w:r>
    </w:p>
    <w:p>
      <w:pPr>
        <w:widowControl/>
        <w:spacing w:line="400" w:lineRule="atLeast"/>
        <w:ind w:firstLine="627" w:firstLineChars="196"/>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widowControl/>
        <w:wordWrap w:val="0"/>
        <w:ind w:firstLine="560"/>
        <w:jc w:val="left"/>
        <w:rPr>
          <w:rFonts w:hint="eastAsia" w:ascii="仿宋_GB2312" w:hAnsi="仿宋_GB2312" w:eastAsia="仿宋_GB2312" w:cs="仿宋_GB2312"/>
          <w:b w:val="0"/>
          <w:bCs w:val="0"/>
          <w:kern w:val="0"/>
          <w:sz w:val="32"/>
          <w:szCs w:val="32"/>
        </w:rPr>
      </w:pPr>
    </w:p>
    <w:p>
      <w:pPr>
        <w:widowControl/>
        <w:wordWrap w:val="0"/>
        <w:ind w:firstLine="56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spacing w:after="312" w:afterLines="100"/>
        <w:rPr>
          <w:rFonts w:hint="default" w:ascii="黑体" w:eastAsia="黑体"/>
          <w:sz w:val="32"/>
          <w:szCs w:val="32"/>
        </w:rPr>
      </w:pPr>
      <w:r>
        <w:rPr>
          <w:rFonts w:ascii="黑体" w:eastAsia="黑体"/>
          <w:sz w:val="32"/>
          <w:szCs w:val="32"/>
        </w:rPr>
        <w:t>二、决算单位构成</w:t>
      </w:r>
    </w:p>
    <w:p>
      <w:pPr>
        <w:widowControl/>
        <w:jc w:val="left"/>
        <w:rPr>
          <w:rFonts w:hint="default" w:eastAsia="仿宋_GB2312" w:cs="宋体"/>
          <w:b/>
          <w:bCs/>
          <w:kern w:val="0"/>
          <w:sz w:val="32"/>
          <w:szCs w:val="32"/>
        </w:rPr>
      </w:pPr>
      <w:r>
        <w:rPr>
          <w:rFonts w:ascii="宋体" w:hAnsi="宋体" w:cs="宋体"/>
          <w:kern w:val="0"/>
          <w:sz w:val="24"/>
          <w:szCs w:val="24"/>
          <w:lang w:bidi="ar"/>
        </w:rPr>
        <w:t xml:space="preserve">  </w:t>
      </w:r>
      <w:r>
        <w:rPr>
          <w:rFonts w:hint="eastAsia" w:ascii="仿宋_GB2312" w:hAnsi="仿宋_GB2312" w:eastAsia="仿宋_GB2312" w:cs="仿宋_GB2312"/>
          <w:b w:val="0"/>
          <w:bCs w:val="0"/>
          <w:kern w:val="0"/>
          <w:sz w:val="32"/>
          <w:szCs w:val="32"/>
          <w:lang w:bidi="ar"/>
        </w:rPr>
        <w:t xml:space="preserve"> </w:t>
      </w:r>
      <w:r>
        <w:rPr>
          <w:rFonts w:hint="eastAsia" w:ascii="仿宋_GB2312" w:hAnsi="仿宋_GB2312" w:eastAsia="仿宋_GB2312" w:cs="仿宋_GB2312"/>
          <w:b w:val="0"/>
          <w:bCs w:val="0"/>
          <w:kern w:val="0"/>
          <w:sz w:val="32"/>
          <w:szCs w:val="32"/>
        </w:rPr>
        <w:t>沈阳市浑南区第八小学是纳入浑南区教育局2021年决算编制范围的二级预算单位,本单位无下设机构</w:t>
      </w:r>
      <w:r>
        <w:rPr>
          <w:rFonts w:eastAsia="仿宋_GB2312" w:cs="宋体"/>
          <w:b/>
          <w:bCs/>
          <w:kern w:val="0"/>
          <w:sz w:val="32"/>
          <w:szCs w:val="32"/>
        </w:rPr>
        <w:t>。</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第二部分 沈阳市浑南区第八小学2021年决算情况说明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（一）收入总计1171.67万元，包括：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1.财政拨款收入952.68万元，占收入总计的81.31%。其中：一般公共预算财政拨款收入952.68万元，政府性基金收入0万元，国有资本经营预算财政拨款收入0万元。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.其他收入139.29万元，占收入总计的11.89%。</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.上年结转和结余79.7万元，占收入总计的6.8%。主要是</w:t>
      </w:r>
      <w:r>
        <w:rPr>
          <w:rFonts w:ascii="仿宋_GB2312" w:eastAsia="仿宋_GB2312"/>
          <w:sz w:val="32"/>
          <w:szCs w:val="32"/>
        </w:rPr>
        <w:t>专项经费</w:t>
      </w:r>
      <w:r>
        <w:rPr>
          <w:rFonts w:ascii="仿宋_GB2312" w:eastAsia="仿宋_GB2312"/>
          <w:sz w:val="32"/>
        </w:rPr>
        <w:t>等。</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与上年相比，今年收入增加519.63万元，增长79%，主要原因：</w:t>
      </w:r>
      <w:r>
        <w:rPr>
          <w:rFonts w:ascii="黑体" w:hAnsi="黑体" w:eastAsia="黑体"/>
          <w:sz w:val="32"/>
          <w:szCs w:val="32"/>
        </w:rPr>
        <w:t>一是</w:t>
      </w:r>
      <w:r>
        <w:rPr>
          <w:rFonts w:ascii="仿宋_GB2312" w:eastAsia="仿宋_GB2312"/>
          <w:sz w:val="32"/>
          <w:szCs w:val="32"/>
        </w:rPr>
        <w:t>学生人数增加；</w:t>
      </w:r>
      <w:r>
        <w:rPr>
          <w:rFonts w:ascii="黑体" w:hAnsi="黑体" w:eastAsia="黑体"/>
          <w:sz w:val="32"/>
          <w:szCs w:val="32"/>
        </w:rPr>
        <w:t>二是</w:t>
      </w:r>
      <w:r>
        <w:rPr>
          <w:rFonts w:ascii="仿宋_GB2312" w:eastAsia="仿宋_GB2312"/>
          <w:sz w:val="32"/>
          <w:szCs w:val="32"/>
        </w:rPr>
        <w:t>教师人数增加</w:t>
      </w:r>
      <w:r>
        <w:rPr>
          <w:rFonts w:ascii="仿宋_GB2312" w:eastAsia="仿宋_GB2312"/>
          <w:sz w:val="32"/>
        </w:rPr>
        <w:t>。</w:t>
      </w:r>
    </w:p>
    <w:p>
      <w:pPr>
        <w:pStyle w:val="6"/>
        <w:numPr>
          <w:ilvl w:val="0"/>
          <w:numId w:val="1"/>
        </w:numPr>
        <w:spacing w:line="560" w:lineRule="exact"/>
        <w:ind w:firstLine="660"/>
        <w:rPr>
          <w:rFonts w:hint="default" w:ascii="楷体_GB2312" w:eastAsia="楷体_GB2312"/>
          <w:b/>
          <w:sz w:val="32"/>
        </w:rPr>
      </w:pPr>
      <w:r>
        <w:rPr>
          <w:rFonts w:ascii="楷体_GB2312" w:eastAsia="楷体_GB2312"/>
          <w:b/>
          <w:sz w:val="32"/>
        </w:rPr>
        <w:t>支出总计1171.67万元，包括：</w:t>
      </w:r>
    </w:p>
    <w:p>
      <w:pPr>
        <w:pStyle w:val="6"/>
        <w:spacing w:line="560" w:lineRule="exact"/>
        <w:ind w:firstLine="640" w:firstLineChars="200"/>
        <w:rPr>
          <w:rFonts w:hint="default" w:ascii="仿宋_GB2312" w:eastAsia="仿宋_GB2312"/>
          <w:sz w:val="32"/>
        </w:rPr>
      </w:pPr>
      <w:r>
        <w:rPr>
          <w:rFonts w:ascii="仿宋_GB2312" w:eastAsia="仿宋_GB2312"/>
          <w:sz w:val="32"/>
        </w:rPr>
        <w:t>1.基本支出789.05万元，占支出总计的67.34%。主要是为保障机构正常运转、完成日常工作任务而发生的各项支出，其中：工资福利支出586.36万元，对个人和家庭的补助支出0.53万元，商品和服务支出166.57万元，</w:t>
      </w:r>
      <w:r>
        <w:rPr>
          <w:rFonts w:ascii="仿宋_GB2312" w:eastAsia="仿宋_GB2312"/>
          <w:sz w:val="32"/>
          <w:szCs w:val="32"/>
        </w:rPr>
        <w:t>资本性支出35.59万元</w:t>
      </w:r>
      <w:r>
        <w:rPr>
          <w:rFonts w:ascii="仿宋_GB2312" w:eastAsia="仿宋_GB2312"/>
          <w:sz w:val="32"/>
        </w:rPr>
        <w:t xml:space="preserve">。 </w:t>
      </w:r>
    </w:p>
    <w:p>
      <w:pPr>
        <w:pStyle w:val="6"/>
        <w:spacing w:line="560" w:lineRule="exact"/>
        <w:ind w:firstLine="660"/>
        <w:rPr>
          <w:rFonts w:hint="default" w:ascii="仿宋_GB2312" w:eastAsia="仿宋_GB2312"/>
          <w:sz w:val="32"/>
        </w:rPr>
      </w:pPr>
      <w:r>
        <w:rPr>
          <w:rFonts w:ascii="仿宋_GB2312" w:eastAsia="仿宋_GB2312"/>
          <w:sz w:val="32"/>
        </w:rPr>
        <w:t>2.项目支出382.62万元，占支出总计的32.66%。商品和服务支出等业务支出。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与上年相比，今年支出增加519.63万元，增长79%，主要原因：</w:t>
      </w:r>
      <w:r>
        <w:rPr>
          <w:rFonts w:ascii="黑体" w:hAnsi="黑体" w:eastAsia="黑体"/>
          <w:sz w:val="32"/>
          <w:szCs w:val="32"/>
        </w:rPr>
        <w:t>一是</w:t>
      </w:r>
      <w:r>
        <w:rPr>
          <w:rFonts w:ascii="仿宋_GB2312" w:eastAsia="仿宋_GB2312"/>
          <w:sz w:val="32"/>
          <w:szCs w:val="32"/>
        </w:rPr>
        <w:t>学生人数增加；</w:t>
      </w:r>
      <w:r>
        <w:rPr>
          <w:rFonts w:ascii="黑体" w:hAnsi="黑体" w:eastAsia="黑体"/>
          <w:sz w:val="32"/>
          <w:szCs w:val="32"/>
        </w:rPr>
        <w:t>二是</w:t>
      </w:r>
      <w:r>
        <w:rPr>
          <w:rFonts w:ascii="仿宋_GB2312" w:eastAsia="仿宋_GB2312"/>
          <w:sz w:val="32"/>
          <w:szCs w:val="32"/>
        </w:rPr>
        <w:t>教师人数增加</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（三）年末结转和结余0万元</w:t>
      </w:r>
    </w:p>
    <w:p>
      <w:pPr>
        <w:pStyle w:val="6"/>
        <w:spacing w:line="560" w:lineRule="exact"/>
        <w:ind w:firstLine="660"/>
        <w:rPr>
          <w:rFonts w:hint="default" w:ascii="仿宋_GB2312" w:eastAsia="仿宋_GB2312"/>
          <w:sz w:val="32"/>
        </w:rPr>
      </w:pPr>
      <w:r>
        <w:rPr>
          <w:rFonts w:ascii="仿宋_GB2312" w:eastAsia="仿宋_GB2312"/>
          <w:sz w:val="32"/>
        </w:rPr>
        <w:t>与上年相比，今年结转结余增加0万元，增长0%，主要原因：本年无此业务。</w:t>
      </w:r>
    </w:p>
    <w:p>
      <w:pPr>
        <w:pStyle w:val="6"/>
        <w:numPr>
          <w:ilvl w:val="0"/>
          <w:numId w:val="2"/>
        </w:numPr>
        <w:spacing w:line="560" w:lineRule="exact"/>
        <w:ind w:firstLine="660"/>
        <w:rPr>
          <w:rFonts w:hint="default" w:ascii="黑体" w:eastAsia="黑体"/>
          <w:sz w:val="32"/>
        </w:rPr>
      </w:pPr>
      <w:r>
        <w:rPr>
          <w:rFonts w:ascii="黑体" w:eastAsia="黑体"/>
          <w:sz w:val="32"/>
        </w:rPr>
        <w:t>财政拨款收入支出决算情况说明</w:t>
      </w:r>
    </w:p>
    <w:p>
      <w:pPr>
        <w:pStyle w:val="6"/>
        <w:spacing w:line="560" w:lineRule="exact"/>
        <w:ind w:firstLine="643" w:firstLineChars="20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highlight w:val="cyan"/>
        </w:rPr>
      </w:pPr>
      <w:r>
        <w:rPr>
          <w:rFonts w:ascii="仿宋_GB2312" w:eastAsia="仿宋_GB2312"/>
          <w:sz w:val="32"/>
        </w:rPr>
        <w:t>2021年度财政拨款支出1032.38万元，其中：基本支出789.05万元，项目支出243.33万元。与上年相比，财政拨款支出增加380.34万元，增长58%，主要原因：人员经费和公用经费费增加，支出增加。与年初预算相比，2021年度财政拨款支出完成年初预算的100%，其中：基本支出完成年初预算的100%，项目支出完成年初预算的100%。</w:t>
      </w:r>
    </w:p>
    <w:p>
      <w:pPr>
        <w:numPr>
          <w:ilvl w:val="0"/>
          <w:numId w:val="1"/>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一般公共预算财政拨款支出情况。</w:t>
      </w:r>
    </w:p>
    <w:p>
      <w:pPr>
        <w:spacing w:line="560" w:lineRule="exact"/>
        <w:ind w:firstLine="640" w:firstLineChars="20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ascii="仿宋_GB2312" w:eastAsia="仿宋_GB2312"/>
          <w:sz w:val="32"/>
        </w:rPr>
        <w:t>1032.38</w:t>
      </w:r>
      <w:r>
        <w:rPr>
          <w:rFonts w:ascii="仿宋_GB2312" w:hAnsi="宋体" w:eastAsia="仿宋_GB2312"/>
          <w:sz w:val="32"/>
          <w:szCs w:val="32"/>
        </w:rPr>
        <w:t>万元，按支出功能分类科目分，包括：教育支出939.37万元，占91%；社会保障与就业支出51.73万元，占5%；卫生健康支出41.27万元，占4%。</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1.教育支出939.37万元，包括：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（1）普通教育支出912.65万元，</w:t>
      </w:r>
      <w:r>
        <w:rPr>
          <w:rFonts w:ascii="仿宋_GB2312" w:eastAsia="仿宋_GB2312"/>
          <w:sz w:val="32"/>
          <w:szCs w:val="32"/>
        </w:rPr>
        <w:t>水电费、办公设备购置、教师培训、文化建设、校舍维护、物业保洁、包公耗材、防疫物资等。完成年初预算的100%。</w:t>
      </w:r>
      <w:r>
        <w:rPr>
          <w:rFonts w:ascii="仿宋_GB2312" w:hAnsi="宋体" w:eastAsia="仿宋_GB2312"/>
          <w:sz w:val="32"/>
          <w:szCs w:val="32"/>
        </w:rPr>
        <w:t>决算数</w:t>
      </w:r>
      <w:r>
        <w:rPr>
          <w:rFonts w:ascii="仿宋_GB2312" w:eastAsia="仿宋_GB2312"/>
          <w:sz w:val="32"/>
          <w:szCs w:val="32"/>
        </w:rPr>
        <w:t>等于</w:t>
      </w:r>
      <w:r>
        <w:rPr>
          <w:rFonts w:ascii="仿宋_GB2312" w:hAnsi="宋体" w:eastAsia="仿宋_GB2312"/>
          <w:sz w:val="32"/>
          <w:szCs w:val="32"/>
        </w:rPr>
        <w:t>年初预算数的原因主要是</w:t>
      </w:r>
      <w:r>
        <w:rPr>
          <w:rFonts w:ascii="仿宋_GB2312" w:eastAsia="仿宋_GB2312"/>
          <w:sz w:val="32"/>
          <w:szCs w:val="32"/>
        </w:rPr>
        <w:t>严格按照年初预算执行。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（2）其他教育费附加安排的支出26.72万元，完成年初预算的100%。决算数等于年初预算数的原因主要是严格按照年初预算执行。</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2.社会保障与就业支出51.73万元，包括：机关事业单位基本养老保险缴费支出50.6万元，机关事业单位职业年金缴费支出1.13万。完成年初预算的100%。决算数等于年初预算数的原因主要是严格按照年初预算执行。</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3、卫生健康支出41.27万元，包括：  事业单位医疗37.4万元 ，其他行政事业单位医疗支出3.87万元。完成年初预算的100%。决算数等于年初预算数的原因主要是严格按照年初预算执行。</w:t>
      </w:r>
    </w:p>
    <w:p>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本年未发生此项资金。</w:t>
      </w:r>
    </w:p>
    <w:p>
      <w:pPr>
        <w:numPr>
          <w:ilvl w:val="0"/>
          <w:numId w:val="3"/>
        </w:num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国有资本经营预算财政拨款支出情况。</w:t>
      </w:r>
    </w:p>
    <w:p>
      <w:pPr>
        <w:spacing w:line="560" w:lineRule="exact"/>
        <w:ind w:firstLine="660"/>
        <w:rPr>
          <w:rFonts w:hint="default" w:ascii="楷体_GB2312" w:hAnsi="宋体" w:eastAsia="楷体_GB2312"/>
          <w:b/>
          <w:sz w:val="32"/>
          <w:szCs w:val="32"/>
        </w:rPr>
      </w:pPr>
      <w:r>
        <w:rPr>
          <w:rFonts w:ascii="仿宋_GB2312" w:hAnsi="宋体" w:eastAsia="仿宋_GB2312"/>
          <w:sz w:val="32"/>
          <w:szCs w:val="32"/>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autoSpaceDN w:val="0"/>
        <w:spacing w:line="560" w:lineRule="exact"/>
        <w:ind w:firstLine="640"/>
        <w:rPr>
          <w:rFonts w:hint="default"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789.05万元，其中：人员经费586.89万元，主要包括基本工资、津贴补贴、奖金、其他社会保障缴费、机关事业单位基本养老保险缴费、其他工资福利支出、离休费、退休费、抚恤金、生活补助、奖励金、住房公积金、采暖补贴、其他对个人和家庭补助的支出；日常公用经费202.16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2021年度机关运行经费支出0万元，与上年持平，主要原因是本单位属于事业单位，无机关运行经费。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20</w:t>
      </w:r>
      <w:r>
        <w:rPr>
          <w:rFonts w:ascii="仿宋_GB2312" w:eastAsia="仿宋_GB2312"/>
          <w:sz w:val="32"/>
        </w:rPr>
        <w:t>21</w:t>
      </w:r>
      <w:r>
        <w:rPr>
          <w:rFonts w:hint="default" w:ascii="仿宋_GB2312" w:eastAsia="仿宋_GB2312"/>
          <w:sz w:val="32"/>
        </w:rPr>
        <w:t>年不涉及民生项目和重点支出项目，因此本单位无绩效自评及部门评价。</w:t>
      </w:r>
    </w:p>
    <w:p>
      <w:pPr>
        <w:pStyle w:val="6"/>
        <w:spacing w:line="560" w:lineRule="exact"/>
        <w:rPr>
          <w:rFonts w:hint="default"/>
          <w:b/>
          <w:sz w:val="36"/>
        </w:rPr>
      </w:pPr>
    </w:p>
    <w:p>
      <w:pPr>
        <w:pStyle w:val="9"/>
        <w:autoSpaceDN w:val="0"/>
        <w:spacing w:line="560" w:lineRule="exact"/>
        <w:ind w:firstLine="2168" w:firstLineChars="6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pP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沈阳市浑南区第八小学2021年度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02692"/>
    <w:multiLevelType w:val="singleLevel"/>
    <w:tmpl w:val="B8C02692"/>
    <w:lvl w:ilvl="0" w:tentative="0">
      <w:start w:val="2"/>
      <w:numFmt w:val="chineseCounting"/>
      <w:suff w:val="nothing"/>
      <w:lvlText w:val="（%1）"/>
      <w:lvlJc w:val="left"/>
      <w:rPr>
        <w:rFonts w:hint="eastAsia"/>
      </w:rPr>
    </w:lvl>
  </w:abstractNum>
  <w:abstractNum w:abstractNumId="1">
    <w:nsid w:val="E4FABCC5"/>
    <w:multiLevelType w:val="singleLevel"/>
    <w:tmpl w:val="E4FABCC5"/>
    <w:lvl w:ilvl="0" w:tentative="0">
      <w:start w:val="2"/>
      <w:numFmt w:val="chineseCounting"/>
      <w:suff w:val="nothing"/>
      <w:lvlText w:val="%1、"/>
      <w:lvlJc w:val="left"/>
      <w:rPr>
        <w:rFonts w:hint="eastAsia"/>
      </w:rPr>
    </w:lvl>
  </w:abstractNum>
  <w:abstractNum w:abstractNumId="2">
    <w:nsid w:val="1EE51AC3"/>
    <w:multiLevelType w:val="singleLevel"/>
    <w:tmpl w:val="1EE51AC3"/>
    <w:lvl w:ilvl="0" w:tentative="0">
      <w:start w:val="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497FD5"/>
    <w:rsid w:val="00505889"/>
    <w:rsid w:val="005812D3"/>
    <w:rsid w:val="005814A4"/>
    <w:rsid w:val="00590A8D"/>
    <w:rsid w:val="005C4DCE"/>
    <w:rsid w:val="00753B9D"/>
    <w:rsid w:val="00756329"/>
    <w:rsid w:val="0077626C"/>
    <w:rsid w:val="007D3113"/>
    <w:rsid w:val="007F77B9"/>
    <w:rsid w:val="008040A1"/>
    <w:rsid w:val="00945992"/>
    <w:rsid w:val="00951FEE"/>
    <w:rsid w:val="00954778"/>
    <w:rsid w:val="009626E7"/>
    <w:rsid w:val="00A17144"/>
    <w:rsid w:val="00A5357A"/>
    <w:rsid w:val="00A57A14"/>
    <w:rsid w:val="00A57E25"/>
    <w:rsid w:val="00B54181"/>
    <w:rsid w:val="00BC09C4"/>
    <w:rsid w:val="00DC3915"/>
    <w:rsid w:val="00E4305D"/>
    <w:rsid w:val="00F16B2B"/>
    <w:rsid w:val="00F67249"/>
    <w:rsid w:val="00F724E9"/>
    <w:rsid w:val="02160F0D"/>
    <w:rsid w:val="025C3E9F"/>
    <w:rsid w:val="02B250DA"/>
    <w:rsid w:val="039842CF"/>
    <w:rsid w:val="047531AD"/>
    <w:rsid w:val="04787C5D"/>
    <w:rsid w:val="0495080F"/>
    <w:rsid w:val="05CC711F"/>
    <w:rsid w:val="09C4782E"/>
    <w:rsid w:val="0C396BCF"/>
    <w:rsid w:val="0C523489"/>
    <w:rsid w:val="0C6A432F"/>
    <w:rsid w:val="0D841421"/>
    <w:rsid w:val="0ECB7368"/>
    <w:rsid w:val="0F340C24"/>
    <w:rsid w:val="0F9D4A1B"/>
    <w:rsid w:val="101D790A"/>
    <w:rsid w:val="11612EA5"/>
    <w:rsid w:val="11901201"/>
    <w:rsid w:val="12E3308D"/>
    <w:rsid w:val="13451652"/>
    <w:rsid w:val="136C7D4D"/>
    <w:rsid w:val="13FF3EF7"/>
    <w:rsid w:val="144731A8"/>
    <w:rsid w:val="168E3310"/>
    <w:rsid w:val="1753361B"/>
    <w:rsid w:val="1ABD41C4"/>
    <w:rsid w:val="1B3174A9"/>
    <w:rsid w:val="1B4641B9"/>
    <w:rsid w:val="1C5A43C0"/>
    <w:rsid w:val="1C635C29"/>
    <w:rsid w:val="1EFD54D7"/>
    <w:rsid w:val="21C978F2"/>
    <w:rsid w:val="269D2467"/>
    <w:rsid w:val="27135897"/>
    <w:rsid w:val="27206206"/>
    <w:rsid w:val="27870CC0"/>
    <w:rsid w:val="28134E2F"/>
    <w:rsid w:val="28942A08"/>
    <w:rsid w:val="2D102879"/>
    <w:rsid w:val="2D5C5B9B"/>
    <w:rsid w:val="2E4F38B8"/>
    <w:rsid w:val="2E4F6256"/>
    <w:rsid w:val="2EB23BE8"/>
    <w:rsid w:val="2FC242FE"/>
    <w:rsid w:val="30EE2ED1"/>
    <w:rsid w:val="325904C6"/>
    <w:rsid w:val="34FF745B"/>
    <w:rsid w:val="36230505"/>
    <w:rsid w:val="36723C5D"/>
    <w:rsid w:val="36A165F4"/>
    <w:rsid w:val="3C237ED3"/>
    <w:rsid w:val="3DE42E15"/>
    <w:rsid w:val="3E500D27"/>
    <w:rsid w:val="3F6C7DE3"/>
    <w:rsid w:val="3FAA26B9"/>
    <w:rsid w:val="40786313"/>
    <w:rsid w:val="42B86E9B"/>
    <w:rsid w:val="431006FE"/>
    <w:rsid w:val="435766B4"/>
    <w:rsid w:val="466000AE"/>
    <w:rsid w:val="46B502C1"/>
    <w:rsid w:val="46CA3945"/>
    <w:rsid w:val="477F442B"/>
    <w:rsid w:val="4A266DE0"/>
    <w:rsid w:val="4C160075"/>
    <w:rsid w:val="4C455C43"/>
    <w:rsid w:val="4CD35DA9"/>
    <w:rsid w:val="4D13189E"/>
    <w:rsid w:val="51CE566C"/>
    <w:rsid w:val="53000B16"/>
    <w:rsid w:val="54F6469B"/>
    <w:rsid w:val="55CE3D63"/>
    <w:rsid w:val="561E62AD"/>
    <w:rsid w:val="5A737E20"/>
    <w:rsid w:val="5A957D96"/>
    <w:rsid w:val="5B697371"/>
    <w:rsid w:val="5DDA0495"/>
    <w:rsid w:val="60C82547"/>
    <w:rsid w:val="632E6FDA"/>
    <w:rsid w:val="639A01CB"/>
    <w:rsid w:val="63FD77EF"/>
    <w:rsid w:val="673C6F2C"/>
    <w:rsid w:val="683D1561"/>
    <w:rsid w:val="69463F30"/>
    <w:rsid w:val="69B53FB1"/>
    <w:rsid w:val="6C7672FB"/>
    <w:rsid w:val="6F9B1553"/>
    <w:rsid w:val="702951B3"/>
    <w:rsid w:val="71A010A2"/>
    <w:rsid w:val="724179B2"/>
    <w:rsid w:val="74B6388F"/>
    <w:rsid w:val="759251A6"/>
    <w:rsid w:val="79A25BD4"/>
    <w:rsid w:val="7ACE3714"/>
    <w:rsid w:val="7C656C97"/>
    <w:rsid w:val="7CE342B8"/>
    <w:rsid w:val="7D024843"/>
    <w:rsid w:val="7F961D3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13</Pages>
  <Words>4527</Words>
  <Characters>4905</Characters>
  <Lines>36</Lines>
  <Paragraphs>10</Paragraphs>
  <TotalTime>27</TotalTime>
  <ScaleCrop>false</ScaleCrop>
  <LinksUpToDate>false</LinksUpToDate>
  <CharactersWithSpaces>4942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2023-06-20T03:09:37Z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FF757302D1DE4A4EA05A0839B03D5869_13</vt:lpwstr>
  </property>
</Properties>
</file>