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sz w:val="52"/>
          <w:szCs w:val="52"/>
        </w:rPr>
      </w:pPr>
      <w:r>
        <w:rPr>
          <w:rFonts w:ascii="宋体" w:hAnsi="宋体" w:cs="宋体"/>
          <w:b/>
          <w:sz w:val="52"/>
          <w:szCs w:val="52"/>
        </w:rPr>
        <w:t>沈阳市浑南区第十二小学</w:t>
      </w:r>
      <w:r>
        <w:rPr>
          <w:rFonts w:ascii="宋体" w:hAnsi="宋体"/>
          <w:b/>
          <w:sz w:val="52"/>
          <w:szCs w:val="52"/>
        </w:rPr>
        <w:t>2021年度</w:t>
      </w:r>
    </w:p>
    <w:p>
      <w:pPr>
        <w:spacing w:line="540" w:lineRule="exact"/>
        <w:jc w:val="center"/>
        <w:rPr>
          <w:rFonts w:hint="default" w:ascii="宋体" w:hAnsi="宋体"/>
          <w:b/>
          <w:sz w:val="52"/>
          <w:szCs w:val="52"/>
        </w:rPr>
      </w:pPr>
    </w:p>
    <w:p>
      <w:pPr>
        <w:spacing w:line="540" w:lineRule="exact"/>
        <w:jc w:val="center"/>
        <w:rPr>
          <w:rFonts w:hint="default" w:ascii="宋体" w:hAnsi="宋体"/>
          <w:b/>
          <w:sz w:val="52"/>
          <w:szCs w:val="52"/>
        </w:rPr>
      </w:pPr>
    </w:p>
    <w:p>
      <w:pPr>
        <w:spacing w:line="540" w:lineRule="exact"/>
        <w:jc w:val="center"/>
        <w:rPr>
          <w:rFonts w:hint="default" w:ascii="宋体" w:hAnsi="宋体"/>
          <w:b/>
          <w:color w:val="FF0000"/>
          <w:sz w:val="52"/>
          <w:szCs w:val="52"/>
        </w:rPr>
      </w:pPr>
      <w:r>
        <w:rPr>
          <w:rFonts w:ascii="宋体" w:hAnsi="宋体"/>
          <w:b/>
          <w:sz w:val="52"/>
          <w:szCs w:val="52"/>
        </w:rPr>
        <w:t>决算说明</w:t>
      </w:r>
    </w:p>
    <w:p>
      <w:pPr>
        <w:pStyle w:val="6"/>
        <w:jc w:val="center"/>
        <w:rPr>
          <w:rFonts w:hint="default" w:ascii="仿宋_GB2312" w:eastAsia="仿宋_GB2312"/>
          <w:b/>
          <w:sz w:val="52"/>
        </w:rPr>
      </w:pPr>
    </w:p>
    <w:p>
      <w:pPr>
        <w:pStyle w:val="6"/>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b/>
          <w:sz w:val="44"/>
        </w:rPr>
      </w:pPr>
    </w:p>
    <w:p>
      <w:pPr>
        <w:pStyle w:val="6"/>
        <w:spacing w:line="560" w:lineRule="exact"/>
        <w:jc w:val="center"/>
        <w:rPr>
          <w:rFonts w:hint="default"/>
          <w:b/>
          <w:sz w:val="44"/>
        </w:rPr>
      </w:pPr>
    </w:p>
    <w:p>
      <w:pPr>
        <w:pStyle w:val="6"/>
        <w:spacing w:line="560" w:lineRule="exact"/>
        <w:jc w:val="center"/>
        <w:rPr>
          <w:rFonts w:hint="default"/>
          <w:b/>
          <w:sz w:val="44"/>
        </w:rPr>
      </w:pPr>
    </w:p>
    <w:p>
      <w:pPr>
        <w:pStyle w:val="6"/>
        <w:spacing w:line="560" w:lineRule="exact"/>
        <w:jc w:val="center"/>
        <w:rPr>
          <w:rFonts w:hint="default"/>
          <w:b/>
          <w:sz w:val="44"/>
        </w:rPr>
      </w:pPr>
    </w:p>
    <w:p>
      <w:pPr>
        <w:pStyle w:val="6"/>
        <w:spacing w:line="560" w:lineRule="exact"/>
        <w:jc w:val="center"/>
        <w:rPr>
          <w:rFonts w:hint="default"/>
          <w:b/>
          <w:sz w:val="44"/>
        </w:rPr>
      </w:pPr>
    </w:p>
    <w:p>
      <w:pPr>
        <w:pStyle w:val="6"/>
        <w:spacing w:line="560" w:lineRule="exact"/>
        <w:jc w:val="center"/>
        <w:rPr>
          <w:rFonts w:hint="default"/>
          <w:b/>
          <w:sz w:val="44"/>
        </w:rPr>
      </w:pPr>
    </w:p>
    <w:p>
      <w:pPr>
        <w:pStyle w:val="6"/>
        <w:spacing w:line="560" w:lineRule="exact"/>
        <w:jc w:val="center"/>
        <w:rPr>
          <w:rFonts w:hint="default"/>
          <w:b/>
          <w:sz w:val="44"/>
        </w:rPr>
      </w:pPr>
    </w:p>
    <w:p>
      <w:pPr>
        <w:pStyle w:val="6"/>
        <w:spacing w:line="560" w:lineRule="exact"/>
        <w:jc w:val="center"/>
        <w:rPr>
          <w:rFonts w:hint="default"/>
          <w:b/>
          <w:sz w:val="44"/>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黑体" w:eastAsia="黑体"/>
          <w:sz w:val="32"/>
        </w:rPr>
      </w:pPr>
      <w:r>
        <w:rPr>
          <w:rFonts w:ascii="黑体" w:eastAsia="黑体"/>
          <w:sz w:val="32"/>
        </w:rPr>
        <w:t>第一部分    沈阳市浑南区第十二小学部门概况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第二部分    沈阳市浑南区第十二小学2021年决算情况说明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第四部分    沈阳市浑南区第十二小学部门2021年决算报表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r>
        <w:rPr>
          <w:b/>
          <w:sz w:val="36"/>
        </w:rPr>
        <w:t>第一部分 沈阳市浑南区第十二小学概况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pStyle w:val="6"/>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（一）贯彻执行国家教育方针、政策和有关法律、法规、规章及省有关要求，实施义务教育，促进基础教育发展。</w:t>
      </w:r>
    </w:p>
    <w:p>
      <w:pPr>
        <w:pStyle w:val="6"/>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（二）提高财政资金使用效益。</w:t>
      </w:r>
    </w:p>
    <w:p>
      <w:pPr>
        <w:pStyle w:val="6"/>
        <w:spacing w:line="560" w:lineRule="exact"/>
        <w:ind w:firstLine="640"/>
        <w:rPr>
          <w:rFonts w:hint="default" w:ascii="黑体" w:eastAsia="黑体"/>
          <w:sz w:val="32"/>
        </w:rPr>
      </w:pPr>
      <w:r>
        <w:rPr>
          <w:rFonts w:ascii="黑体" w:eastAsia="黑体"/>
          <w:sz w:val="32"/>
        </w:rPr>
        <w:t>二、决算单位构成</w:t>
      </w:r>
    </w:p>
    <w:p>
      <w:pPr>
        <w:pStyle w:val="6"/>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沈阳市浑南区第十二小学是纳入浑南区教育局2021年决算编制范围的二级预算单位,本单位无下设机构。</w:t>
      </w:r>
    </w:p>
    <w:p>
      <w:pPr>
        <w:pStyle w:val="6"/>
        <w:spacing w:line="560" w:lineRule="exact"/>
        <w:ind w:firstLine="640" w:firstLineChars="200"/>
        <w:rPr>
          <w:rFonts w:hint="default" w:ascii="仿宋_GB2312" w:eastAsia="仿宋_GB2312"/>
          <w:bCs/>
          <w:sz w:val="32"/>
          <w:szCs w:val="32"/>
        </w:rPr>
      </w:pPr>
    </w:p>
    <w:p>
      <w:pPr>
        <w:pStyle w:val="6"/>
        <w:spacing w:line="560" w:lineRule="exact"/>
        <w:jc w:val="center"/>
        <w:rPr>
          <w:rFonts w:hint="default"/>
          <w:b/>
          <w:sz w:val="36"/>
        </w:rPr>
      </w:pPr>
      <w:r>
        <w:rPr>
          <w:b/>
          <w:sz w:val="36"/>
        </w:rPr>
        <w:t>第二部分 浑南区第十二小学2021年决算情况说明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（一）收入总计1135.13万元</w:t>
      </w:r>
    </w:p>
    <w:p>
      <w:pPr>
        <w:pStyle w:val="6"/>
        <w:spacing w:line="560" w:lineRule="exact"/>
        <w:ind w:firstLine="660"/>
        <w:rPr>
          <w:rFonts w:hint="default" w:ascii="仿宋_GB2312" w:eastAsia="仿宋_GB2312"/>
          <w:sz w:val="32"/>
        </w:rPr>
      </w:pPr>
      <w:r>
        <w:rPr>
          <w:rFonts w:ascii="仿宋_GB2312" w:eastAsia="仿宋_GB2312"/>
          <w:sz w:val="32"/>
        </w:rPr>
        <w:t>1.财政拨款收入1014.37万元，占收入总计的90%。其中：一般公共预算财政拨款收入1014.37万元，政府性基金收入0万元，国有资本经营预算财政拨款收入0万元。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.其他收入47.89万元，占收入总计的5%。主要是绩效工资收入。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.上年结转和结余72.87万元，占收入总计的7%。主要是小学教育等。</w:t>
      </w:r>
    </w:p>
    <w:p>
      <w:pPr>
        <w:pStyle w:val="6"/>
        <w:spacing w:line="560" w:lineRule="exact"/>
        <w:ind w:firstLine="660"/>
        <w:rPr>
          <w:rFonts w:hint="default" w:ascii="仿宋_GB2312" w:eastAsia="仿宋_GB2312"/>
          <w:sz w:val="32"/>
        </w:rPr>
      </w:pPr>
      <w:r>
        <w:rPr>
          <w:rFonts w:ascii="仿宋_GB2312" w:eastAsia="仿宋_GB2312"/>
          <w:sz w:val="32"/>
        </w:rPr>
        <w:t>与上年相比，今</w:t>
      </w:r>
      <w:r>
        <w:rPr>
          <w:rFonts w:hint="eastAsia" w:ascii="仿宋_GB2312" w:hAnsi="仿宋_GB2312" w:eastAsia="仿宋_GB2312" w:cs="仿宋_GB2312"/>
          <w:sz w:val="32"/>
        </w:rPr>
        <w:t>年收入增加169.92万元，增长18%，主要原因：一是人员工资调整；二是项目增加</w:t>
      </w:r>
      <w:r>
        <w:rPr>
          <w:rFonts w:ascii="仿宋_GB2312" w:eastAsia="仿宋_GB2312"/>
          <w:sz w:val="32"/>
        </w:rPr>
        <w:t>。</w:t>
      </w:r>
    </w:p>
    <w:p>
      <w:pPr>
        <w:pStyle w:val="6"/>
        <w:spacing w:line="560" w:lineRule="exact"/>
        <w:ind w:firstLine="660"/>
        <w:rPr>
          <w:rFonts w:hint="default" w:ascii="楷体_GB2312" w:eastAsia="楷体_GB2312"/>
          <w:b/>
          <w:sz w:val="32"/>
        </w:rPr>
      </w:pPr>
      <w:r>
        <w:rPr>
          <w:rFonts w:ascii="楷体_GB2312" w:eastAsia="楷体_GB2312"/>
          <w:b/>
          <w:sz w:val="32"/>
        </w:rPr>
        <w:t>（二）支出总计1135.13万元</w:t>
      </w:r>
    </w:p>
    <w:p>
      <w:pPr>
        <w:pStyle w:val="6"/>
        <w:spacing w:line="560" w:lineRule="exact"/>
        <w:ind w:firstLine="660"/>
        <w:rPr>
          <w:rFonts w:hint="default" w:ascii="仿宋_GB2312" w:eastAsia="仿宋_GB2312"/>
          <w:sz w:val="32"/>
        </w:rPr>
      </w:pPr>
      <w:r>
        <w:rPr>
          <w:rFonts w:ascii="仿宋_GB2312" w:eastAsia="仿宋_GB2312"/>
          <w:sz w:val="32"/>
        </w:rPr>
        <w:t>1.基本支出919.48万元，占支出总计的81%。主要是为保障机构正常运转、完成日常工作任务而发生的各项支出，其中：工资福利支出721.77万元，对个人和家庭的补助支出77.88万元，商品和服务支出119.83万元。</w:t>
      </w:r>
    </w:p>
    <w:p>
      <w:pPr>
        <w:pStyle w:val="6"/>
        <w:spacing w:line="560" w:lineRule="exact"/>
        <w:ind w:firstLine="660"/>
        <w:rPr>
          <w:rFonts w:hint="default" w:ascii="仿宋_GB2312" w:eastAsia="仿宋_GB2312"/>
          <w:sz w:val="32"/>
        </w:rPr>
      </w:pPr>
      <w:r>
        <w:rPr>
          <w:rFonts w:ascii="仿宋_GB2312" w:eastAsia="仿宋_GB2312"/>
          <w:sz w:val="32"/>
        </w:rPr>
        <w:t>2.项目支出215.65万元，占支出总计的19%。主要包括电采暖费、图书采购等业务支出。</w:t>
      </w:r>
    </w:p>
    <w:p>
      <w:pPr>
        <w:pStyle w:val="6"/>
        <w:spacing w:line="560" w:lineRule="exact"/>
        <w:ind w:firstLine="660"/>
        <w:rPr>
          <w:rFonts w:hint="default" w:ascii="仿宋_GB2312" w:eastAsia="仿宋_GB2312"/>
          <w:sz w:val="32"/>
        </w:rPr>
      </w:pPr>
      <w:r>
        <w:rPr>
          <w:rFonts w:ascii="仿宋_GB2312" w:eastAsia="仿宋_GB2312"/>
          <w:sz w:val="32"/>
        </w:rPr>
        <w:t>与上年相比，今年支出增加169.92万元，增长18%，主要原因：</w:t>
      </w:r>
      <w:r>
        <w:rPr>
          <w:rFonts w:ascii="黑体" w:eastAsia="黑体"/>
          <w:sz w:val="32"/>
        </w:rPr>
        <w:t>一是人员工资调整</w:t>
      </w:r>
      <w:r>
        <w:rPr>
          <w:rFonts w:ascii="仿宋_GB2312" w:eastAsia="仿宋_GB2312"/>
          <w:sz w:val="32"/>
        </w:rPr>
        <w:t>；</w:t>
      </w:r>
      <w:r>
        <w:rPr>
          <w:rFonts w:ascii="黑体" w:eastAsia="黑体"/>
          <w:sz w:val="32"/>
        </w:rPr>
        <w:t>二是项目增加</w:t>
      </w:r>
      <w:r>
        <w:rPr>
          <w:rFonts w:ascii="仿宋_GB2312" w:eastAsia="仿宋_GB2312"/>
          <w:sz w:val="32"/>
        </w:rPr>
        <w:t>。</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（三）年末结转和结余0万元</w:t>
      </w:r>
    </w:p>
    <w:p>
      <w:pPr>
        <w:pStyle w:val="6"/>
        <w:spacing w:line="560" w:lineRule="exact"/>
        <w:ind w:firstLine="660"/>
        <w:rPr>
          <w:rFonts w:hint="default" w:ascii="仿宋_GB2312" w:eastAsia="仿宋_GB2312"/>
          <w:sz w:val="32"/>
        </w:rPr>
      </w:pPr>
      <w:r>
        <w:rPr>
          <w:rFonts w:ascii="仿宋_GB2312" w:eastAsia="仿宋_GB2312"/>
          <w:sz w:val="32"/>
        </w:rPr>
        <w:t>与上年相比，</w:t>
      </w:r>
      <w:r>
        <w:rPr>
          <w:rFonts w:ascii="仿宋_GB2312" w:hAnsi="黑体" w:eastAsia="仿宋_GB2312" w:cs="黑体"/>
          <w:bCs/>
          <w:sz w:val="32"/>
          <w:szCs w:val="32"/>
        </w:rPr>
        <w:t>与上年持平</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color w:val="000000" w:themeColor="text1"/>
          <w:sz w:val="32"/>
          <w14:textFill>
            <w14:solidFill>
              <w14:schemeClr w14:val="tx1"/>
            </w14:solidFill>
          </w14:textFill>
        </w:rPr>
      </w:pPr>
      <w:r>
        <w:rPr>
          <w:rFonts w:ascii="仿宋_GB2312" w:eastAsia="仿宋_GB2312"/>
          <w:color w:val="000000" w:themeColor="text1"/>
          <w:sz w:val="32"/>
          <w14:textFill>
            <w14:solidFill>
              <w14:schemeClr w14:val="tx1"/>
            </w14:solidFill>
          </w14:textFill>
        </w:rPr>
        <w:t>2021年度财政拨款支出1087.24万元，其中：基本支出919.48万元，项目支出167,76万元。与上年相比，财政拨款支出增加169.92万元，增长</w:t>
      </w:r>
      <w:r>
        <w:rPr>
          <w:rFonts w:hint="eastAsia" w:ascii="仿宋_GB2312" w:hAnsi="仿宋_GB2312" w:eastAsia="仿宋_GB2312" w:cs="仿宋_GB2312"/>
          <w:color w:val="000000" w:themeColor="text1"/>
          <w:sz w:val="32"/>
          <w14:textFill>
            <w14:solidFill>
              <w14:schemeClr w14:val="tx1"/>
            </w14:solidFill>
          </w14:textFill>
        </w:rPr>
        <w:t>18%，主要原因：一是人员工资调整；二是项目增加。与年初预算相比，2021年度财政拨款支出完成年初预算的154%，其中：基本</w:t>
      </w:r>
      <w:r>
        <w:rPr>
          <w:rFonts w:ascii="仿宋_GB2312" w:eastAsia="仿宋_GB2312"/>
          <w:color w:val="000000" w:themeColor="text1"/>
          <w:sz w:val="32"/>
          <w14:textFill>
            <w14:solidFill>
              <w14:schemeClr w14:val="tx1"/>
            </w14:solidFill>
          </w14:textFill>
        </w:rPr>
        <w:t>支出完成年初预算的137%。</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pStyle w:val="6"/>
        <w:spacing w:line="560" w:lineRule="atLeast"/>
        <w:ind w:firstLine="660"/>
        <w:rPr>
          <w:rFonts w:hint="default" w:ascii="仿宋_GB2312" w:eastAsia="仿宋_GB2312"/>
          <w:sz w:val="32"/>
          <w:szCs w:val="32"/>
        </w:rPr>
      </w:pPr>
      <w:r>
        <w:rPr>
          <w:rFonts w:ascii="仿宋_GB2312" w:eastAsia="仿宋_GB2312"/>
          <w:sz w:val="32"/>
          <w:szCs w:val="32"/>
        </w:rPr>
        <w:t>2021年度一般公共预算财政拨款支出1087.24万元，包括：包括教育支出969.85万元，社会保障与就业支出77.14万元，卫生健康支出40,25万元。</w:t>
      </w:r>
    </w:p>
    <w:p>
      <w:pPr>
        <w:pStyle w:val="6"/>
        <w:spacing w:line="560" w:lineRule="atLeast"/>
        <w:ind w:firstLine="660"/>
        <w:rPr>
          <w:rFonts w:hint="default" w:ascii="仿宋_GB2312" w:eastAsia="仿宋_GB2312"/>
          <w:sz w:val="32"/>
          <w:szCs w:val="32"/>
        </w:rPr>
      </w:pPr>
      <w:r>
        <w:rPr>
          <w:rFonts w:ascii="仿宋_GB2312" w:eastAsia="仿宋_GB2312"/>
          <w:sz w:val="32"/>
          <w:szCs w:val="32"/>
        </w:rPr>
        <w:t>1.教育支出969.85万元，包括：</w:t>
      </w:r>
    </w:p>
    <w:p>
      <w:pPr>
        <w:pStyle w:val="6"/>
        <w:spacing w:line="560" w:lineRule="atLeast"/>
        <w:ind w:firstLine="660"/>
        <w:rPr>
          <w:rFonts w:hint="default" w:ascii="仿宋_GB2312" w:eastAsia="仿宋_GB2312"/>
          <w:sz w:val="32"/>
          <w:szCs w:val="32"/>
        </w:rPr>
      </w:pPr>
      <w:r>
        <w:rPr>
          <w:rFonts w:ascii="仿宋_GB2312" w:eastAsia="仿宋_GB2312"/>
          <w:sz w:val="32"/>
          <w:szCs w:val="32"/>
        </w:rPr>
        <w:t>（1）普通教育支出934.10万元，主要用于办公费、维修费、水电费等商品服务支出支出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（2）教育附加安排支出35.75万元，主要包括工资绩效支出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2.社会保障与就业支出77.14万元，包括：养老支出77.14万元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3、卫生健康支出40,25万元，包括：单位医疗支出40,25万元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numPr>
          <w:ilvl w:val="0"/>
          <w:numId w:val="1"/>
        </w:numPr>
        <w:spacing w:line="540" w:lineRule="exact"/>
        <w:ind w:firstLine="660"/>
        <w:outlineLvl w:val="2"/>
        <w:rPr>
          <w:rFonts w:hint="default" w:ascii="黑体" w:hAnsi="黑体" w:eastAsia="黑体" w:cs="黑体"/>
          <w:b/>
          <w:color w:val="FF0000"/>
          <w:sz w:val="32"/>
          <w:szCs w:val="32"/>
        </w:rPr>
      </w:pPr>
      <w:r>
        <w:rPr>
          <w:rFonts w:ascii="楷体_GB2312" w:hAnsi="宋体" w:eastAsia="楷体_GB2312"/>
          <w:b/>
          <w:sz w:val="32"/>
          <w:szCs w:val="32"/>
        </w:rPr>
        <w:t>政府性基金预算财政拨款支出情况。</w:t>
      </w:r>
    </w:p>
    <w:p>
      <w:pPr>
        <w:spacing w:line="540" w:lineRule="exact"/>
        <w:ind w:firstLine="640" w:firstLineChars="200"/>
        <w:outlineLvl w:val="2"/>
        <w:rPr>
          <w:rFonts w:hint="default" w:ascii="仿宋_GB2312" w:hAnsi="黑体" w:eastAsia="仿宋_GB2312" w:cs="黑体"/>
          <w:color w:val="FF0000"/>
          <w:sz w:val="32"/>
          <w:szCs w:val="32"/>
        </w:rPr>
      </w:pPr>
      <w:r>
        <w:rPr>
          <w:rFonts w:ascii="仿宋_GB2312" w:hAnsi="宋体" w:eastAsia="仿宋_GB2312"/>
          <w:sz w:val="32"/>
          <w:szCs w:val="32"/>
        </w:rPr>
        <w:t>2021年度</w:t>
      </w:r>
      <w:r>
        <w:rPr>
          <w:rFonts w:ascii="仿宋_GB2312" w:hAnsi="黑体" w:eastAsia="仿宋_GB2312" w:cs="黑体"/>
          <w:sz w:val="32"/>
          <w:szCs w:val="32"/>
        </w:rPr>
        <w:t>本年未发生此项资金</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40" w:lineRule="exact"/>
        <w:ind w:firstLine="640" w:firstLineChars="200"/>
        <w:outlineLvl w:val="2"/>
        <w:rPr>
          <w:rFonts w:hint="default" w:ascii="仿宋_GB2312" w:hAnsi="宋体" w:eastAsia="仿宋_GB2312"/>
          <w:sz w:val="32"/>
          <w:szCs w:val="32"/>
        </w:rPr>
      </w:pPr>
      <w:r>
        <w:rPr>
          <w:rFonts w:ascii="仿宋_GB2312" w:hAnsi="宋体" w:eastAsia="仿宋_GB2312"/>
          <w:sz w:val="32"/>
          <w:szCs w:val="32"/>
        </w:rPr>
        <w:t>2021年度</w:t>
      </w:r>
      <w:r>
        <w:rPr>
          <w:rFonts w:ascii="仿宋_GB2312" w:hAnsi="黑体" w:eastAsia="仿宋_GB2312" w:cs="黑体"/>
          <w:sz w:val="32"/>
          <w:szCs w:val="32"/>
        </w:rPr>
        <w:t>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pStyle w:val="6"/>
        <w:spacing w:line="560" w:lineRule="exact"/>
        <w:ind w:firstLine="640" w:firstLineChars="200"/>
        <w:rPr>
          <w:rFonts w:hint="default" w:ascii="Times New Roman" w:hAnsi="Times New Roman" w:cs="Times New Roman"/>
          <w:kern w:val="0"/>
          <w:szCs w:val="21"/>
        </w:rPr>
      </w:pPr>
      <w:r>
        <w:rPr>
          <w:rFonts w:ascii="仿宋_GB2312"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919.48万元，其中：人员经费799.64万元，主要包括基本工资、津贴补贴、奖金、其他社会保障缴费、机关事业单位基本养老保险缴费、其他工资福利支出、离休费、退休费、抚恤金、生活补助、奖励金、住房公积金、采暖补贴、其他对个人和家庭补助的支出；日常公用经费119.83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eastAsia" w:ascii="仿宋_GB2312" w:eastAsia="仿宋_GB2312"/>
          <w:sz w:val="32"/>
          <w:lang w:eastAsia="zh-CN"/>
        </w:rPr>
      </w:pPr>
      <w:r>
        <w:rPr>
          <w:rFonts w:ascii="仿宋_GB2312" w:eastAsia="仿宋_GB2312"/>
          <w:sz w:val="32"/>
        </w:rPr>
        <w:t>2021年度浑南区第十二小学无机关运行经费支出</w:t>
      </w:r>
      <w:r>
        <w:rPr>
          <w:rFonts w:hint="eastAsia" w:ascii="仿宋_GB2312" w:eastAsia="仿宋_GB2312"/>
          <w:sz w:val="32"/>
          <w:lang w:eastAsia="zh-CN"/>
        </w:rPr>
        <w:t>，主要因为我单位是事业单位。</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eastAsia" w:ascii="仿宋_GB2312" w:eastAsia="仿宋_GB2312"/>
          <w:sz w:val="32"/>
          <w:lang w:val="en-US" w:eastAsia="zh-CN"/>
        </w:rPr>
      </w:pPr>
      <w:r>
        <w:rPr>
          <w:rFonts w:ascii="仿宋_GB2312" w:eastAsia="仿宋_GB2312"/>
          <w:sz w:val="32"/>
        </w:rPr>
        <w:t>2021年浑南区第十二小学政府采购支出总额0万元，其中：政府采购货物支出0万元，政府采购工程支出0万元，政府采购服务支出0万元。授予中小企业合同金额0万元。</w:t>
      </w:r>
      <w:r>
        <w:rPr>
          <w:rFonts w:hint="eastAsia" w:ascii="仿宋_GB2312" w:eastAsia="仿宋_GB2312"/>
          <w:sz w:val="32"/>
          <w:lang w:val="en-US" w:eastAsia="zh-CN"/>
        </w:rPr>
        <w:t xml:space="preserve">  </w:t>
      </w:r>
    </w:p>
    <w:p>
      <w:pPr>
        <w:pStyle w:val="6"/>
        <w:spacing w:line="560" w:lineRule="exact"/>
        <w:ind w:firstLine="640"/>
        <w:rPr>
          <w:rFonts w:hint="default" w:ascii="仿宋_GB2312" w:eastAsia="仿宋_GB2312"/>
          <w:sz w:val="32"/>
          <w:lang w:val="en-US" w:eastAsia="zh-CN"/>
        </w:rPr>
      </w:pPr>
      <w:r>
        <w:rPr>
          <w:rFonts w:ascii="楷体_GB2312" w:eastAsia="楷体_GB2312"/>
          <w:b/>
          <w:sz w:val="32"/>
        </w:rPr>
        <w:t>（</w:t>
      </w:r>
      <w:r>
        <w:rPr>
          <w:rFonts w:hint="eastAsia" w:ascii="楷体_GB2312" w:eastAsia="楷体_GB2312"/>
          <w:b/>
          <w:sz w:val="32"/>
          <w:lang w:eastAsia="zh-CN"/>
        </w:rPr>
        <w:t>三</w:t>
      </w:r>
      <w:r>
        <w:rPr>
          <w:rFonts w:ascii="楷体_GB2312" w:eastAsia="楷体_GB2312"/>
          <w:b/>
          <w:sz w:val="32"/>
        </w:rPr>
        <w:t>）国有资产占用情况。</w:t>
      </w:r>
    </w:p>
    <w:p>
      <w:pPr>
        <w:pStyle w:val="6"/>
        <w:spacing w:line="560" w:lineRule="exact"/>
        <w:ind w:firstLine="640"/>
        <w:rPr>
          <w:rFonts w:hint="default" w:ascii="楷体_GB2312" w:eastAsia="楷体_GB2312"/>
          <w:b w:val="0"/>
          <w:bCs/>
          <w:sz w:val="32"/>
        </w:rPr>
      </w:pPr>
      <w:r>
        <w:rPr>
          <w:rFonts w:ascii="楷体_GB2312" w:eastAsia="楷体_GB2312"/>
          <w:b w:val="0"/>
          <w:bCs/>
          <w:sz w:val="32"/>
        </w:rPr>
        <w:t>截至2021年12月31日，浑南区第十二小学共有车辆0辆，其中：截至2021年12月31日，共有车辆0辆；单位价值50万元以上通用设备0台（套），单价100万元以上专用设备0台（套）。</w:t>
      </w:r>
    </w:p>
    <w:p>
      <w:pPr>
        <w:widowControl/>
        <w:spacing w:line="540" w:lineRule="exact"/>
        <w:ind w:firstLine="643" w:firstLineChars="200"/>
        <w:jc w:val="left"/>
        <w:rPr>
          <w:rFonts w:hint="default"/>
          <w:b/>
          <w:color w:val="FF0000"/>
        </w:rPr>
      </w:pPr>
      <w:r>
        <w:rPr>
          <w:rFonts w:ascii="楷体_GB2312" w:eastAsia="楷体_GB2312"/>
          <w:b/>
          <w:sz w:val="32"/>
        </w:rPr>
        <w:t>（四）预算绩效管理工作开展情况。</w:t>
      </w:r>
    </w:p>
    <w:p>
      <w:pPr>
        <w:widowControl/>
        <w:spacing w:line="560" w:lineRule="exact"/>
        <w:ind w:firstLine="640" w:firstLineChars="200"/>
        <w:rPr>
          <w:rFonts w:hint="default"/>
          <w:b/>
          <w:sz w:val="36"/>
        </w:rPr>
      </w:pPr>
      <w:r>
        <w:rPr>
          <w:rFonts w:ascii="楷体_GB2312" w:hAnsi="宋体" w:eastAsia="楷体_GB2312" w:cs="楷体_GB2312"/>
          <w:sz w:val="32"/>
          <w:szCs w:val="32"/>
          <w:lang w:bidi="ar"/>
        </w:rPr>
        <w:t>我单位没发生该业务。</w:t>
      </w:r>
    </w:p>
    <w:p>
      <w:pPr>
        <w:pStyle w:val="6"/>
        <w:spacing w:line="560" w:lineRule="exact"/>
        <w:rPr>
          <w:rFonts w:hint="default"/>
          <w:b/>
          <w:sz w:val="36"/>
        </w:rPr>
      </w:pPr>
    </w:p>
    <w:p>
      <w:pPr>
        <w:pStyle w:val="9"/>
        <w:autoSpaceDN w:val="0"/>
        <w:spacing w:line="560" w:lineRule="exact"/>
        <w:ind w:firstLine="2168" w:firstLineChars="600"/>
        <w:rPr>
          <w:rFonts w:hint="eastAsia"/>
          <w:b/>
          <w:bCs/>
          <w:sz w:val="36"/>
          <w:szCs w:val="36"/>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sectPr>
          <w:headerReference r:id="rId3" w:type="default"/>
          <w:pgSz w:w="11906" w:h="16838"/>
          <w:pgMar w:top="1440" w:right="1800" w:bottom="1440" w:left="1800" w:header="851" w:footer="992" w:gutter="0"/>
          <w:cols w:space="425" w:num="1"/>
          <w:docGrid w:type="lines" w:linePitch="312" w:charSpace="0"/>
        </w:sectPr>
      </w:pPr>
      <w:r>
        <w:rPr>
          <w:rFonts w:ascii="仿宋_GB2312" w:eastAsia="仿宋_GB2312"/>
          <w:b/>
          <w:sz w:val="32"/>
        </w:rPr>
        <w:t>11.“三公”经费：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r>
        <w:rPr>
          <w:rFonts w:ascii="仿宋_GB2312" w:hAnsi="仿宋_GB2312" w:eastAsia="仿宋_GB2312" w:cs="仿宋_GB2312"/>
          <w:b/>
          <w:sz w:val="52"/>
          <w:szCs w:val="52"/>
        </w:rPr>
        <w:t xml:space="preserve">   </w:t>
      </w: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numPr>
          <w:ilvl w:val="0"/>
          <w:numId w:val="2"/>
        </w:numPr>
        <w:spacing w:line="560" w:lineRule="atLeast"/>
        <w:jc w:val="center"/>
        <w:rPr>
          <w:rFonts w:hint="default" w:ascii="仿宋_GB2312" w:hAnsi="仿宋_GB2312" w:eastAsia="仿宋_GB2312" w:cs="仿宋_GB2312"/>
          <w:b/>
          <w:sz w:val="52"/>
          <w:szCs w:val="52"/>
        </w:rPr>
      </w:pPr>
      <w:r>
        <w:rPr>
          <w:rFonts w:ascii="仿宋_GB2312" w:hAnsi="仿宋_GB2312" w:eastAsia="仿宋_GB2312" w:cs="仿宋_GB2312"/>
          <w:b/>
          <w:sz w:val="52"/>
          <w:szCs w:val="52"/>
        </w:rPr>
        <w:t>浑南区第十二小学部门2021年度</w:t>
      </w:r>
      <w:bookmarkStart w:id="0" w:name="_GoBack"/>
      <w:bookmarkEnd w:id="0"/>
      <w:r>
        <w:rPr>
          <w:rFonts w:ascii="仿宋_GB2312" w:hAnsi="仿宋_GB2312" w:eastAsia="仿宋_GB2312" w:cs="仿宋_GB2312"/>
          <w:b/>
          <w:sz w:val="52"/>
          <w:szCs w:val="52"/>
        </w:rPr>
        <w:t>决算表</w:t>
      </w:r>
    </w:p>
    <w:p>
      <w:pPr>
        <w:pStyle w:val="6"/>
        <w:spacing w:line="560" w:lineRule="atLeast"/>
        <w:rPr>
          <w:rFonts w:hint="default" w:ascii="仿宋_GB2312" w:hAnsi="仿宋_GB2312" w:eastAsia="仿宋_GB2312" w:cs="仿宋_GB2312"/>
          <w:b/>
          <w:sz w:val="52"/>
          <w:szCs w:val="52"/>
        </w:rPr>
      </w:pPr>
      <w:r>
        <w:rPr>
          <w:rFonts w:ascii="仿宋_GB2312" w:hAnsi="仿宋_GB2312" w:eastAsia="仿宋_GB2312" w:cs="仿宋_GB2312"/>
          <w:b/>
          <w:sz w:val="52"/>
          <w:szCs w:val="52"/>
        </w:rPr>
        <w:t xml:space="preserve">          </w:t>
      </w:r>
    </w:p>
    <w:p>
      <w:pPr>
        <w:rPr>
          <w:rFonts w:hint="default" w:ascii="仿宋_GB2312" w:hAnsi="宋体" w:eastAsia="仿宋_GB2312"/>
          <w:kern w:val="0"/>
          <w:sz w:val="32"/>
        </w:rPr>
      </w:pPr>
    </w:p>
    <w:p>
      <w:pPr>
        <w:rPr>
          <w:rFonts w:hint="default"/>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E08A24"/>
    <w:multiLevelType w:val="singleLevel"/>
    <w:tmpl w:val="E9E08A24"/>
    <w:lvl w:ilvl="0" w:tentative="0">
      <w:start w:val="3"/>
      <w:numFmt w:val="chineseCounting"/>
      <w:suff w:val="nothing"/>
      <w:lvlText w:val="（%1）"/>
      <w:lvlJc w:val="left"/>
      <w:rPr>
        <w:rFonts w:hint="eastAsia"/>
        <w:color w:val="auto"/>
      </w:rPr>
    </w:lvl>
  </w:abstractNum>
  <w:abstractNum w:abstractNumId="1">
    <w:nsid w:val="6F3953B4"/>
    <w:multiLevelType w:val="singleLevel"/>
    <w:tmpl w:val="6F3953B4"/>
    <w:lvl w:ilvl="0" w:tentative="0">
      <w:start w:val="4"/>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610AE"/>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833F1A"/>
    <w:rsid w:val="00954778"/>
    <w:rsid w:val="009E6D29"/>
    <w:rsid w:val="009F236E"/>
    <w:rsid w:val="00A17144"/>
    <w:rsid w:val="00A5357A"/>
    <w:rsid w:val="00A57A14"/>
    <w:rsid w:val="00B54181"/>
    <w:rsid w:val="00BC09C4"/>
    <w:rsid w:val="00C756C5"/>
    <w:rsid w:val="00D63B9C"/>
    <w:rsid w:val="00DC3915"/>
    <w:rsid w:val="00E4305D"/>
    <w:rsid w:val="00F16B2B"/>
    <w:rsid w:val="00F67249"/>
    <w:rsid w:val="00F724E9"/>
    <w:rsid w:val="031567C8"/>
    <w:rsid w:val="06F86D3C"/>
    <w:rsid w:val="09C4782E"/>
    <w:rsid w:val="0C1768E3"/>
    <w:rsid w:val="0D7E7412"/>
    <w:rsid w:val="0ECB7368"/>
    <w:rsid w:val="11612EA5"/>
    <w:rsid w:val="12281D56"/>
    <w:rsid w:val="147108EC"/>
    <w:rsid w:val="15B12FCF"/>
    <w:rsid w:val="167E3FA7"/>
    <w:rsid w:val="1ABD1F3F"/>
    <w:rsid w:val="1C635C29"/>
    <w:rsid w:val="233D40F4"/>
    <w:rsid w:val="24DA3ABD"/>
    <w:rsid w:val="26B07BAC"/>
    <w:rsid w:val="2BFF770F"/>
    <w:rsid w:val="2D350B2B"/>
    <w:rsid w:val="2E4F6256"/>
    <w:rsid w:val="2EEA69A8"/>
    <w:rsid w:val="32BF68D3"/>
    <w:rsid w:val="36230505"/>
    <w:rsid w:val="36C45B89"/>
    <w:rsid w:val="37C27CC3"/>
    <w:rsid w:val="380F001F"/>
    <w:rsid w:val="3AE625D8"/>
    <w:rsid w:val="3B5B13F0"/>
    <w:rsid w:val="3CDE6B84"/>
    <w:rsid w:val="3D63620E"/>
    <w:rsid w:val="3DEB4A20"/>
    <w:rsid w:val="42343DF0"/>
    <w:rsid w:val="42631937"/>
    <w:rsid w:val="484D62D8"/>
    <w:rsid w:val="54F6469B"/>
    <w:rsid w:val="5B697371"/>
    <w:rsid w:val="66CF7FE8"/>
    <w:rsid w:val="673C6F2C"/>
    <w:rsid w:val="67865F8A"/>
    <w:rsid w:val="68AF6FD7"/>
    <w:rsid w:val="69522321"/>
    <w:rsid w:val="69CE7A3C"/>
    <w:rsid w:val="6F5C240A"/>
    <w:rsid w:val="724179B2"/>
    <w:rsid w:val="72B16F0E"/>
    <w:rsid w:val="74464914"/>
    <w:rsid w:val="7CC3357B"/>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10</Pages>
  <Words>3089</Words>
  <Characters>3412</Characters>
  <Lines>25</Lines>
  <Paragraphs>7</Paragraphs>
  <TotalTime>0</TotalTime>
  <ScaleCrop>false</ScaleCrop>
  <LinksUpToDate>false</LinksUpToDate>
  <CharactersWithSpaces>3454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2023-06-25T01:49:36Z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