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jc w:val="center"/>
        <w:rPr>
          <w:rFonts w:hint="default" w:ascii="Times New Roman" w:eastAsia="Times New Roman"/>
          <w:b/>
          <w:sz w:val="44"/>
          <w:u w:val="single"/>
        </w:rPr>
      </w:pPr>
      <w:r>
        <w:rPr>
          <w:rFonts w:hint="eastAsia" w:ascii="宋体" w:hAnsi="宋体" w:eastAsia="宋体" w:cs="宋体"/>
          <w:b/>
          <w:sz w:val="52"/>
          <w:szCs w:val="52"/>
        </w:rPr>
        <w:t>沈阳市浑南区实验小学</w:t>
      </w:r>
      <w:r>
        <w:rPr>
          <w:b/>
          <w:sz w:val="52"/>
          <w:szCs w:val="52"/>
        </w:rPr>
        <w:t>2021年度决算说明</w:t>
      </w: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ascii="黑体" w:hAnsi="黑体" w:eastAsia="黑体"/>
          <w:sz w:val="32"/>
          <w:szCs w:val="32"/>
        </w:rPr>
        <w:t>沈阳市浑南区实验小学概况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spacing w:line="540" w:lineRule="exact"/>
        <w:rPr>
          <w:rFonts w:hint="default" w:ascii="黑体" w:hAnsi="黑体" w:eastAsia="黑体"/>
          <w:sz w:val="32"/>
          <w:szCs w:val="32"/>
        </w:rPr>
      </w:pPr>
      <w:r>
        <w:rPr>
          <w:rFonts w:ascii="黑体" w:eastAsia="黑体"/>
          <w:sz w:val="32"/>
        </w:rPr>
        <w:t xml:space="preserve">第二部分    </w:t>
      </w:r>
      <w:r>
        <w:rPr>
          <w:rFonts w:ascii="黑体" w:hAnsi="黑体" w:eastAsia="黑体"/>
          <w:sz w:val="32"/>
          <w:szCs w:val="32"/>
        </w:rPr>
        <w:t>沈阳市浑南区实验小学2021年度决算情况说明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hAnsi="黑体" w:eastAsia="黑体"/>
          <w:sz w:val="32"/>
          <w:szCs w:val="32"/>
        </w:rPr>
      </w:pPr>
      <w:r>
        <w:rPr>
          <w:rFonts w:ascii="黑体" w:eastAsia="黑体"/>
          <w:sz w:val="32"/>
        </w:rPr>
        <w:t xml:space="preserve">第四部分    </w:t>
      </w:r>
      <w:r>
        <w:rPr>
          <w:rFonts w:ascii="黑体" w:hAnsi="黑体" w:eastAsia="黑体"/>
          <w:sz w:val="32"/>
          <w:szCs w:val="32"/>
        </w:rPr>
        <w:t>沈阳市浑南区实验小学2021年度决算报表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spacing w:line="540" w:lineRule="exact"/>
        <w:jc w:val="center"/>
        <w:rPr>
          <w:rFonts w:hint="default"/>
          <w:b/>
          <w:sz w:val="36"/>
        </w:rPr>
      </w:pPr>
      <w:r>
        <w:rPr>
          <w:b/>
          <w:sz w:val="36"/>
        </w:rPr>
        <w:t xml:space="preserve">第一部分 </w:t>
      </w:r>
      <w:r>
        <w:rPr>
          <w:rFonts w:ascii="宋体" w:hAnsi="宋体"/>
          <w:b/>
          <w:sz w:val="36"/>
          <w:szCs w:val="36"/>
        </w:rPr>
        <w:t>沈阳市浑南区实验小学概况</w:t>
      </w:r>
    </w:p>
    <w:p>
      <w:pPr>
        <w:pStyle w:val="6"/>
        <w:spacing w:line="560" w:lineRule="exact"/>
        <w:ind w:firstLine="640"/>
        <w:rPr>
          <w:rFonts w:hint="default" w:ascii="黑体" w:eastAsia="黑体"/>
          <w:sz w:val="32"/>
        </w:rPr>
      </w:pPr>
    </w:p>
    <w:p>
      <w:pPr>
        <w:pStyle w:val="6"/>
        <w:numPr>
          <w:ilvl w:val="0"/>
          <w:numId w:val="1"/>
        </w:numPr>
        <w:spacing w:line="560" w:lineRule="exact"/>
        <w:ind w:firstLine="640"/>
        <w:rPr>
          <w:rFonts w:hint="default" w:ascii="黑体" w:eastAsia="黑体"/>
          <w:sz w:val="32"/>
        </w:rPr>
      </w:pPr>
      <w:r>
        <w:rPr>
          <w:rFonts w:ascii="黑体" w:eastAsia="黑体"/>
          <w:sz w:val="32"/>
        </w:rPr>
        <w:t>主要职责</w:t>
      </w:r>
    </w:p>
    <w:p>
      <w:pPr>
        <w:widowControl/>
        <w:spacing w:line="360" w:lineRule="auto"/>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（二）制定学校发展规划，并抓好组织实施和落实情况。</w:t>
      </w:r>
    </w:p>
    <w:p>
      <w:pPr>
        <w:widowControl/>
        <w:spacing w:line="360" w:lineRule="auto"/>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（三）科学管理、合理使用学校的设施和经费，并积极筹措办学资金，改善办学条件。</w:t>
      </w:r>
    </w:p>
    <w:p>
      <w:pPr>
        <w:pStyle w:val="6"/>
        <w:spacing w:line="560" w:lineRule="atLeas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（四）依法接受各级教育行政部门的检查指导和人民群众的监督。</w:t>
      </w:r>
    </w:p>
    <w:p>
      <w:pPr>
        <w:ind w:left="359" w:leftChars="171" w:firstLine="313" w:firstLineChars="98"/>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（五）财务管理方面：</w:t>
      </w:r>
    </w:p>
    <w:p>
      <w:pPr>
        <w:widowControl/>
        <w:spacing w:line="400" w:lineRule="atLeast"/>
        <w:ind w:firstLine="627" w:firstLineChars="196"/>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56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6"/>
        <w:numPr>
          <w:ilvl w:val="0"/>
          <w:numId w:val="1"/>
        </w:numPr>
        <w:spacing w:line="560" w:lineRule="exact"/>
        <w:ind w:firstLine="640"/>
        <w:rPr>
          <w:rFonts w:hint="default" w:ascii="黑体" w:eastAsia="黑体"/>
          <w:sz w:val="32"/>
        </w:rPr>
      </w:pPr>
      <w:r>
        <w:rPr>
          <w:rFonts w:ascii="黑体" w:eastAsia="黑体"/>
          <w:sz w:val="32"/>
        </w:rPr>
        <w:t>决算单位构成</w:t>
      </w:r>
    </w:p>
    <w:p>
      <w:pPr>
        <w:pStyle w:val="6"/>
        <w:spacing w:line="560" w:lineRule="exact"/>
        <w:ind w:firstLine="640"/>
        <w:rPr>
          <w:rFonts w:hint="default" w:ascii="Times New Roman" w:hAnsi="Times New Roman" w:eastAsia="仿宋_GB2312" w:cs="宋体"/>
          <w:b w:val="0"/>
          <w:bCs w:val="0"/>
          <w:kern w:val="0"/>
          <w:sz w:val="32"/>
          <w:szCs w:val="32"/>
        </w:rPr>
      </w:pPr>
      <w:r>
        <w:rPr>
          <w:rFonts w:ascii="Times New Roman" w:hAnsi="Times New Roman" w:eastAsia="仿宋_GB2312" w:cs="宋体"/>
          <w:b w:val="0"/>
          <w:bCs w:val="0"/>
          <w:kern w:val="0"/>
          <w:sz w:val="32"/>
          <w:szCs w:val="32"/>
        </w:rPr>
        <w:t>沈阳市浑南区实验小学是纳入浑南区浑南区教育局2021年度决算编制范围的二级预算单位，本单位无下设机构。</w:t>
      </w:r>
    </w:p>
    <w:p>
      <w:pPr>
        <w:spacing w:line="540" w:lineRule="exact"/>
        <w:jc w:val="center"/>
        <w:rPr>
          <w:rFonts w:hint="default"/>
          <w:b/>
          <w:sz w:val="36"/>
        </w:rPr>
      </w:pPr>
    </w:p>
    <w:p>
      <w:pPr>
        <w:spacing w:line="540" w:lineRule="exact"/>
        <w:jc w:val="center"/>
        <w:rPr>
          <w:rFonts w:hint="default" w:ascii="宋体" w:hAnsi="宋体"/>
          <w:b/>
          <w:sz w:val="36"/>
          <w:szCs w:val="36"/>
        </w:rPr>
      </w:pPr>
      <w:r>
        <w:rPr>
          <w:b/>
          <w:sz w:val="36"/>
        </w:rPr>
        <w:t xml:space="preserve">第二部分 </w:t>
      </w:r>
      <w:r>
        <w:rPr>
          <w:rFonts w:ascii="宋体" w:hAnsi="宋体"/>
          <w:b/>
          <w:sz w:val="36"/>
          <w:szCs w:val="36"/>
        </w:rPr>
        <w:t>沈阳市浑南区实验小学2021年度决算情况说明</w:t>
      </w:r>
    </w:p>
    <w:p>
      <w:pPr>
        <w:pStyle w:val="6"/>
        <w:spacing w:line="560" w:lineRule="exact"/>
        <w:jc w:val="center"/>
        <w:rPr>
          <w:rFonts w:hint="default"/>
          <w:b/>
          <w:sz w:val="36"/>
        </w:rPr>
      </w:pP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（一）收入总计2299.09万元，包括：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1.财政拨款收入1977.18万元，占收入总计的86%。其中：一般公共预算财政拨款收入1977.18万元，政府性基金收入0万元，国有资本经营预算财政拨款收入0万元。</w:t>
      </w:r>
    </w:p>
    <w:p>
      <w:pPr>
        <w:spacing w:line="54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.其他收入130.56万元，占收入总计的5.7%。</w:t>
      </w:r>
      <w:r>
        <w:rPr>
          <w:rFonts w:ascii="仿宋_GB2312" w:hAnsi="宋体" w:eastAsia="仿宋_GB2312"/>
          <w:sz w:val="32"/>
          <w:szCs w:val="32"/>
        </w:rPr>
        <w:t>主要是教育局拨入的2020年绩效工资101.75万，还有教研中心拨入的各类考试的考务费收入。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.上年结转和结余191.35万元，占收入总计的8.3%。主要是市级转移支付资金40.99万元，“两自一包”学校所需教师经费39.82万元，12-2021.7普惠性课后服务专项资金34.82万元2019年10月-2020年11月弹性离校资金26.53万元</w:t>
      </w:r>
    </w:p>
    <w:p>
      <w:pPr>
        <w:spacing w:line="540" w:lineRule="exact"/>
        <w:ind w:firstLine="660"/>
        <w:rPr>
          <w:rFonts w:hint="default" w:ascii="仿宋_GB2312" w:hAnsi="宋体" w:eastAsia="仿宋_GB2312"/>
          <w:sz w:val="32"/>
          <w:szCs w:val="32"/>
        </w:rPr>
      </w:pPr>
      <w:r>
        <w:rPr>
          <w:rFonts w:ascii="仿宋_GB2312" w:eastAsia="仿宋_GB2312"/>
          <w:sz w:val="32"/>
        </w:rPr>
        <w:t>与上年相比，今年收入增加277.44万元，增长13.72%，主要原因：</w:t>
      </w:r>
      <w:r>
        <w:rPr>
          <w:rFonts w:ascii="黑体" w:hAnsi="黑体" w:eastAsia="黑体"/>
          <w:sz w:val="32"/>
          <w:szCs w:val="32"/>
        </w:rPr>
        <w:t>一是</w:t>
      </w:r>
      <w:r>
        <w:rPr>
          <w:rFonts w:ascii="仿宋_GB2312" w:hAnsi="宋体" w:eastAsia="仿宋_GB2312"/>
          <w:sz w:val="32"/>
          <w:szCs w:val="32"/>
        </w:rPr>
        <w:t>学生人数增加，公用经费增加；</w:t>
      </w:r>
      <w:r>
        <w:rPr>
          <w:rFonts w:ascii="黑体" w:hAnsi="黑体" w:eastAsia="黑体"/>
          <w:sz w:val="32"/>
          <w:szCs w:val="32"/>
        </w:rPr>
        <w:t>二是</w:t>
      </w:r>
      <w:r>
        <w:rPr>
          <w:rFonts w:ascii="仿宋_GB2312" w:hAnsi="宋体" w:eastAsia="仿宋_GB2312"/>
          <w:sz w:val="32"/>
          <w:szCs w:val="32"/>
        </w:rPr>
        <w:t>教师人数增加，人员经费增加。</w:t>
      </w:r>
    </w:p>
    <w:p>
      <w:pPr>
        <w:pStyle w:val="6"/>
        <w:numPr>
          <w:ilvl w:val="0"/>
          <w:numId w:val="2"/>
        </w:numPr>
        <w:spacing w:line="560" w:lineRule="exact"/>
        <w:ind w:firstLine="660"/>
        <w:rPr>
          <w:rFonts w:hint="default" w:ascii="楷体_GB2312" w:eastAsia="楷体_GB2312"/>
          <w:b/>
          <w:sz w:val="32"/>
        </w:rPr>
      </w:pPr>
      <w:r>
        <w:rPr>
          <w:rFonts w:ascii="楷体_GB2312" w:eastAsia="楷体_GB2312"/>
          <w:b/>
          <w:sz w:val="32"/>
        </w:rPr>
        <w:t>支出总计2297.26万元，包括：</w:t>
      </w:r>
    </w:p>
    <w:p>
      <w:pPr>
        <w:pStyle w:val="6"/>
        <w:numPr>
          <w:ilvl w:val="0"/>
          <w:numId w:val="3"/>
        </w:numPr>
        <w:spacing w:line="560" w:lineRule="exact"/>
        <w:ind w:firstLine="640" w:firstLineChars="200"/>
        <w:rPr>
          <w:rFonts w:hint="default" w:ascii="仿宋_GB2312" w:eastAsia="仿宋_GB2312"/>
          <w:sz w:val="32"/>
        </w:rPr>
      </w:pPr>
      <w:r>
        <w:rPr>
          <w:rFonts w:ascii="仿宋_GB2312" w:eastAsia="仿宋_GB2312"/>
          <w:sz w:val="32"/>
        </w:rPr>
        <w:t>基本支出1693.76万元，占支出总计的73.73%。主要是为保障机构正常运转、完成日常工作任务而发生的各项支出，其中：工资福利支出1463.38万元，对个人和家庭的补助支出12.01万元，商品和服务支出182.34万元，资本性支出36.03万元.</w:t>
      </w:r>
    </w:p>
    <w:p>
      <w:pPr>
        <w:pStyle w:val="6"/>
        <w:spacing w:line="560" w:lineRule="exact"/>
        <w:ind w:firstLine="660"/>
        <w:rPr>
          <w:rFonts w:hint="default" w:ascii="仿宋_GB2312" w:eastAsia="仿宋_GB2312"/>
          <w:sz w:val="32"/>
        </w:rPr>
      </w:pPr>
      <w:r>
        <w:rPr>
          <w:rFonts w:ascii="仿宋_GB2312" w:eastAsia="仿宋_GB2312"/>
          <w:sz w:val="32"/>
        </w:rPr>
        <w:t>2.项目支出603.5万元，占支出总计的26.27%。主要包括商品和服务支出534.31万元，资本性支出67.98万元。</w:t>
      </w:r>
    </w:p>
    <w:p>
      <w:pPr>
        <w:spacing w:line="540" w:lineRule="exact"/>
        <w:ind w:firstLine="660"/>
        <w:rPr>
          <w:rFonts w:hint="default" w:ascii="仿宋_GB2312" w:hAnsi="宋体" w:eastAsia="仿宋_GB2312"/>
          <w:sz w:val="32"/>
          <w:szCs w:val="32"/>
        </w:rPr>
      </w:pPr>
      <w:r>
        <w:rPr>
          <w:rFonts w:ascii="仿宋_GB2312" w:eastAsia="仿宋_GB2312"/>
          <w:sz w:val="32"/>
        </w:rPr>
        <w:t>与上年相比，今年支出增加316.45万元，增长15.98%，主要原因：</w:t>
      </w:r>
      <w:r>
        <w:rPr>
          <w:rFonts w:ascii="黑体" w:hAnsi="黑体" w:eastAsia="黑体"/>
          <w:sz w:val="32"/>
          <w:szCs w:val="32"/>
        </w:rPr>
        <w:t>一是</w:t>
      </w:r>
      <w:r>
        <w:rPr>
          <w:rFonts w:ascii="仿宋_GB2312" w:hAnsi="宋体" w:eastAsia="仿宋_GB2312"/>
          <w:sz w:val="32"/>
          <w:szCs w:val="32"/>
        </w:rPr>
        <w:t>公用经费增加，支出就增加；</w:t>
      </w:r>
      <w:r>
        <w:rPr>
          <w:rFonts w:ascii="黑体" w:hAnsi="黑体" w:eastAsia="黑体"/>
          <w:sz w:val="32"/>
          <w:szCs w:val="32"/>
        </w:rPr>
        <w:t>二是教师人数增加，</w:t>
      </w:r>
      <w:r>
        <w:rPr>
          <w:rFonts w:ascii="仿宋_GB2312" w:hAnsi="宋体" w:eastAsia="仿宋_GB2312"/>
          <w:sz w:val="32"/>
          <w:szCs w:val="32"/>
        </w:rPr>
        <w:t>人员经费支出也增加。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（三）年末结转和结余1.83万元</w:t>
      </w:r>
    </w:p>
    <w:p>
      <w:pPr>
        <w:pStyle w:val="6"/>
        <w:spacing w:line="560" w:lineRule="exact"/>
        <w:ind w:firstLine="660"/>
        <w:rPr>
          <w:rFonts w:hint="default" w:ascii="仿宋_GB2312" w:eastAsia="仿宋_GB2312"/>
          <w:sz w:val="32"/>
        </w:rPr>
      </w:pPr>
      <w:r>
        <w:rPr>
          <w:rFonts w:ascii="仿宋_GB2312" w:eastAsia="仿宋_GB2312"/>
          <w:sz w:val="32"/>
        </w:rPr>
        <w:t>主要是教研中心拨入的考试经费形成的结余。与上年相比，今年结转结余减少39.02万元，降低95.52%，主要原因：考试经费未支付</w:t>
      </w:r>
    </w:p>
    <w:p>
      <w:pPr>
        <w:pStyle w:val="6"/>
        <w:numPr>
          <w:ilvl w:val="0"/>
          <w:numId w:val="1"/>
        </w:numPr>
        <w:spacing w:line="560" w:lineRule="exact"/>
        <w:ind w:firstLine="640"/>
        <w:rPr>
          <w:rFonts w:hint="default" w:ascii="黑体" w:eastAsia="黑体"/>
          <w:sz w:val="32"/>
        </w:rPr>
      </w:pPr>
      <w:r>
        <w:rPr>
          <w:rFonts w:ascii="黑体" w:eastAsia="黑体"/>
          <w:sz w:val="32"/>
        </w:rPr>
        <w:t>财政拨款收入支出决算情况说明</w:t>
      </w:r>
    </w:p>
    <w:p>
      <w:pPr>
        <w:pStyle w:val="6"/>
        <w:spacing w:line="560" w:lineRule="exact"/>
        <w:ind w:left="640"/>
        <w:rPr>
          <w:rFonts w:hint="default" w:ascii="楷体_GB2312" w:eastAsia="楷体_GB2312"/>
          <w:b/>
          <w:sz w:val="32"/>
        </w:rPr>
      </w:pPr>
      <w:r>
        <w:rPr>
          <w:rFonts w:ascii="楷体_GB2312" w:eastAsia="楷体_GB2312"/>
          <w:b/>
          <w:sz w:val="32"/>
        </w:rPr>
        <w:t>（一）总体情况</w:t>
      </w:r>
    </w:p>
    <w:p>
      <w:pPr>
        <w:spacing w:line="540" w:lineRule="exact"/>
        <w:ind w:firstLine="660"/>
        <w:rPr>
          <w:rFonts w:hint="default" w:ascii="仿宋_GB2312" w:hAnsi="宋体" w:eastAsia="仿宋_GB2312"/>
          <w:sz w:val="32"/>
          <w:szCs w:val="32"/>
        </w:rPr>
      </w:pPr>
      <w:r>
        <w:rPr>
          <w:rFonts w:ascii="仿宋_GB2312" w:eastAsia="仿宋_GB2312"/>
          <w:sz w:val="32"/>
        </w:rPr>
        <w:t>2021年度财政拨款支出2163.8万元，其中：基本支出1693.76万元，项目支出470.03万元。与上年相比，财政拨款支出增加182.99万元，增长9.24%，主要原因：</w:t>
      </w:r>
      <w:r>
        <w:rPr>
          <w:rFonts w:ascii="仿宋_GB2312" w:hAnsi="宋体" w:eastAsia="仿宋_GB2312" w:cs="Times New Roman"/>
          <w:sz w:val="32"/>
          <w:szCs w:val="32"/>
        </w:rPr>
        <w:t>人员经费和公用经费费增加，支出增加</w:t>
      </w:r>
      <w:r>
        <w:rPr>
          <w:rFonts w:ascii="仿宋_GB2312" w:eastAsia="仿宋_GB2312"/>
          <w:sz w:val="32"/>
        </w:rPr>
        <w:t>。与年初预算1579.06万元相比，2021年度财政拨款支出完成年初预算的137.03%，其中：基本支出完成年初预算的107%，</w:t>
      </w:r>
      <w:r>
        <w:rPr>
          <w:rFonts w:ascii="仿宋_GB2312" w:hAnsi="宋体" w:eastAsia="仿宋_GB2312"/>
          <w:sz w:val="32"/>
          <w:szCs w:val="32"/>
        </w:rPr>
        <w:t>学校没有单独安排项目支出年初预算，由教育局统一安排。</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eastAsia="仿宋_GB2312"/>
          <w:sz w:val="32"/>
          <w:szCs w:val="32"/>
        </w:rPr>
      </w:pPr>
      <w:r>
        <w:rPr>
          <w:rFonts w:ascii="仿宋_GB2312" w:hAnsi="宋体" w:eastAsia="仿宋_GB2312"/>
          <w:sz w:val="32"/>
          <w:szCs w:val="32"/>
        </w:rPr>
        <w:t>2021年度一般公共预算财政拨款支出2163.8万元，按支出功能分类科目分，包括：</w:t>
      </w:r>
      <w:r>
        <w:rPr>
          <w:rFonts w:ascii="仿宋_GB2312" w:eastAsia="仿宋_GB2312"/>
          <w:sz w:val="32"/>
          <w:szCs w:val="32"/>
        </w:rPr>
        <w:t>包括教育支出1953.49万元，社会保障与就业支出132.51万元，卫生健康支出77.8万元。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1.教育支出2086.95万元，包括：</w:t>
      </w:r>
    </w:p>
    <w:p>
      <w:pPr>
        <w:rPr>
          <w:rFonts w:hint="default" w:ascii="仿宋_GB2312" w:eastAsia="仿宋_GB2312"/>
          <w:sz w:val="32"/>
          <w:szCs w:val="32"/>
        </w:rPr>
      </w:pPr>
      <w:r>
        <w:rPr>
          <w:rFonts w:ascii="仿宋_GB2312" w:eastAsia="仿宋_GB2312"/>
          <w:sz w:val="32"/>
          <w:szCs w:val="32"/>
        </w:rPr>
        <w:t>（1）小学教育支出1750.24万元，主要用于工资福利支出1214.21万元，学校办公费、维修费、水电费等商品服务支出支出472.56万元，对个人和家庭补助支出11.34万元，资本性支出52.13万元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rPr>
          <w:rFonts w:hint="default" w:ascii="仿宋_GB2312" w:eastAsia="仿宋_GB2312"/>
          <w:sz w:val="32"/>
          <w:szCs w:val="32"/>
        </w:rPr>
      </w:pPr>
      <w:r>
        <w:rPr>
          <w:rFonts w:ascii="仿宋_GB2312" w:eastAsia="仿宋_GB2312"/>
          <w:sz w:val="32"/>
          <w:szCs w:val="32"/>
        </w:rPr>
        <w:t>（2）其他普通教育支出41.65万元，主要包括工资福利支出39.82万元，商品服务支出0.59万元，资本性支出1.23万元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（3）其他教育附加安排支出137.39万元，主要是商品服务支出88.04万元、对个人和家庭补助支出0.91等支出,办公设备购置等资本性支出48.44万元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（4）其他教育支出24.21万元，主要是商品服务支出24.21万元支出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2.社会保障与就业支出132.51万元，包括：工资福利支出131.55万元，对个人和家庭补助支出0.96万元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3、卫生健康支出77.8万元，包括：工资福利支出77.8万元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40" w:firstLineChars="200"/>
        <w:rPr>
          <w:rFonts w:hint="default" w:ascii="仿宋_GB2312" w:hAnsi="宋体" w:eastAsia="仿宋_GB2312"/>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r>
        <w:rPr>
          <w:rFonts w:ascii="黑体" w:hAnsi="黑体" w:eastAsia="黑体" w:cs="黑体"/>
          <w:b/>
          <w:color w:val="000000" w:themeColor="text1"/>
          <w:sz w:val="32"/>
          <w:szCs w:val="32"/>
          <w14:textFill>
            <w14:solidFill>
              <w14:schemeClr w14:val="tx1"/>
            </w14:solidFill>
          </w14:textFill>
        </w:rPr>
        <w:t>。</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1693.76万元，其中：人员经费1475.39万元，主要包括基本工资、津贴补贴、奖金、其他社会保障缴费、机关事业单位基本养老保险缴费、其他工资福利支出、离休费、退休费、抚恤金、生活补助、奖励金、住房公积金、采暖补贴、其他对个人和家庭补助的支出；日常公用经费218.37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2021年机关运行经费支出0万元，与上年持平，主要原因是我单位属于事业单位，无机关运行经费。</w:t>
      </w:r>
    </w:p>
    <w:p>
      <w:pPr>
        <w:pStyle w:val="6"/>
        <w:numPr>
          <w:ilvl w:val="0"/>
          <w:numId w:val="4"/>
        </w:numPr>
        <w:spacing w:line="560" w:lineRule="exact"/>
        <w:ind w:firstLine="643" w:firstLineChars="200"/>
        <w:rPr>
          <w:rFonts w:hint="default" w:ascii="楷体_GB2312" w:eastAsia="楷体_GB2312"/>
          <w:b/>
          <w:color w:val="000000" w:themeColor="text1"/>
          <w:sz w:val="32"/>
          <w14:textFill>
            <w14:solidFill>
              <w14:schemeClr w14:val="tx1"/>
            </w14:solidFill>
          </w14:textFill>
        </w:rPr>
      </w:pPr>
      <w:r>
        <w:rPr>
          <w:rFonts w:ascii="楷体_GB2312" w:eastAsia="楷体_GB2312"/>
          <w:b/>
          <w:color w:val="000000" w:themeColor="text1"/>
          <w:sz w:val="32"/>
          <w14:textFill>
            <w14:solidFill>
              <w14:schemeClr w14:val="tx1"/>
            </w14:solidFill>
          </w14:textFill>
        </w:rPr>
        <w:t>政府采购支出情况。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2021年政府采购支出总额0万元，其中：政府采购货物支出0万元，政府采购工程支出0万元，政府采购服务支出0万元。</w:t>
      </w:r>
    </w:p>
    <w:p>
      <w:pPr>
        <w:pStyle w:val="6"/>
        <w:numPr>
          <w:ilvl w:val="0"/>
          <w:numId w:val="4"/>
        </w:numPr>
        <w:spacing w:line="560" w:lineRule="exact"/>
        <w:ind w:firstLine="643" w:firstLineChars="200"/>
        <w:rPr>
          <w:rFonts w:hint="default" w:ascii="楷体_GB2312" w:eastAsia="楷体_GB2312"/>
          <w:b/>
          <w:sz w:val="32"/>
        </w:rPr>
      </w:pPr>
      <w:r>
        <w:rPr>
          <w:rFonts w:ascii="楷体_GB2312" w:eastAsia="楷体_GB2312"/>
          <w:b/>
          <w:sz w:val="32"/>
        </w:rPr>
        <w:t>国有资产占用情况。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截至2021年12月31日，共有车辆0辆，其中：</w:t>
      </w:r>
      <w:r>
        <w:rPr>
          <w:rFonts w:ascii="仿宋_GB2312" w:hAnsi="宋体" w:eastAsia="仿宋_GB2312" w:cs="宋体"/>
          <w:kern w:val="0"/>
          <w:sz w:val="32"/>
          <w:szCs w:val="32"/>
        </w:rPr>
        <w:t>一般公务用车0辆。</w:t>
      </w:r>
      <w:r>
        <w:rPr>
          <w:rFonts w:ascii="仿宋_GB2312" w:hAnsi="黑体" w:eastAsia="仿宋_GB2312"/>
          <w:sz w:val="32"/>
          <w:szCs w:val="32"/>
        </w:rPr>
        <w:t>单位价值50万元以上通用设备0台（套），单价100万元以上专用设备0台（套）。</w:t>
      </w:r>
    </w:p>
    <w:p>
      <w:pPr>
        <w:widowControl/>
        <w:numPr>
          <w:ilvl w:val="0"/>
          <w:numId w:val="4"/>
        </w:numPr>
        <w:spacing w:line="560" w:lineRule="exact"/>
        <w:ind w:firstLine="643" w:firstLineChars="200"/>
        <w:rPr>
          <w:rFonts w:hint="default" w:ascii="楷体_GB2312" w:eastAsia="楷体_GB2312"/>
          <w:b/>
          <w:sz w:val="32"/>
        </w:rPr>
      </w:pPr>
      <w:r>
        <w:rPr>
          <w:rFonts w:ascii="楷体_GB2312" w:eastAsia="楷体_GB2312"/>
          <w:b/>
          <w:sz w:val="32"/>
        </w:rPr>
        <w:t>预算绩效管理工作开展情况。</w:t>
      </w:r>
    </w:p>
    <w:p>
      <w:pPr>
        <w:pStyle w:val="6"/>
        <w:spacing w:line="560" w:lineRule="exact"/>
        <w:ind w:firstLine="640" w:firstLineChars="200"/>
        <w:rPr>
          <w:rFonts w:hint="default" w:ascii="仿宋_GB2312" w:hAnsi="黑体" w:eastAsia="仿宋_GB2312" w:cs="Times New Roman"/>
          <w:sz w:val="32"/>
          <w:szCs w:val="32"/>
        </w:rPr>
      </w:pPr>
      <w:r>
        <w:rPr>
          <w:rFonts w:ascii="仿宋_GB2312" w:hAnsi="黑体" w:eastAsia="仿宋_GB2312" w:cs="Times New Roman"/>
          <w:sz w:val="32"/>
          <w:szCs w:val="32"/>
        </w:rPr>
        <w:t>2021年不涉及民生项目和重点支出项目。</w:t>
      </w:r>
    </w:p>
    <w:p>
      <w:pPr>
        <w:pStyle w:val="6"/>
        <w:spacing w:line="560" w:lineRule="exact"/>
        <w:rPr>
          <w:rFonts w:hint="default" w:ascii="仿宋_GB2312" w:hAnsi="黑体" w:eastAsia="仿宋_GB2312" w:cs="Times New Roman"/>
          <w:sz w:val="32"/>
          <w:szCs w:val="32"/>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ascii="仿宋_GB2312" w:eastAsia="仿宋_GB2312"/>
          <w:sz w:val="32"/>
        </w:rPr>
        <w:sectPr>
          <w:headerReference r:id="rId3" w:type="default"/>
          <w:pgSz w:w="11906" w:h="16838"/>
          <w:pgMar w:top="1440" w:right="1800" w:bottom="1440" w:left="1800" w:header="851" w:footer="992" w:gutter="0"/>
          <w:cols w:space="425" w:num="1"/>
          <w:docGrid w:type="lines" w:linePitch="312" w:charSpace="0"/>
        </w:sect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b/>
          <w:sz w:val="52"/>
          <w:szCs w:val="52"/>
        </w:rPr>
        <w:t>沈阳市浑南区实验小学</w:t>
      </w: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DA81D"/>
    <w:multiLevelType w:val="singleLevel"/>
    <w:tmpl w:val="9BEDA81D"/>
    <w:lvl w:ilvl="0" w:tentative="0">
      <w:start w:val="1"/>
      <w:numFmt w:val="decimal"/>
      <w:lvlText w:val="%1."/>
      <w:lvlJc w:val="left"/>
      <w:pPr>
        <w:tabs>
          <w:tab w:val="left" w:pos="312"/>
        </w:tabs>
      </w:pPr>
    </w:lvl>
  </w:abstractNum>
  <w:abstractNum w:abstractNumId="1">
    <w:nsid w:val="24105DCD"/>
    <w:multiLevelType w:val="singleLevel"/>
    <w:tmpl w:val="24105DCD"/>
    <w:lvl w:ilvl="0" w:tentative="0">
      <w:start w:val="1"/>
      <w:numFmt w:val="chineseCounting"/>
      <w:suff w:val="nothing"/>
      <w:lvlText w:val="%1、"/>
      <w:lvlJc w:val="left"/>
      <w:rPr>
        <w:rFonts w:hint="eastAsia"/>
      </w:rPr>
    </w:lvl>
  </w:abstractNum>
  <w:abstractNum w:abstractNumId="2">
    <w:nsid w:val="4E8EE337"/>
    <w:multiLevelType w:val="singleLevel"/>
    <w:tmpl w:val="4E8EE337"/>
    <w:lvl w:ilvl="0" w:tentative="0">
      <w:start w:val="2"/>
      <w:numFmt w:val="chineseCounting"/>
      <w:suff w:val="nothing"/>
      <w:lvlText w:val="（%1）"/>
      <w:lvlJc w:val="left"/>
      <w:rPr>
        <w:rFonts w:hint="eastAsia"/>
      </w:rPr>
    </w:lvl>
  </w:abstractNum>
  <w:abstractNum w:abstractNumId="3">
    <w:nsid w:val="6FEF88E7"/>
    <w:multiLevelType w:val="singleLevel"/>
    <w:tmpl w:val="6FEF88E7"/>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3C6618"/>
    <w:rsid w:val="0044142C"/>
    <w:rsid w:val="004414C3"/>
    <w:rsid w:val="00485722"/>
    <w:rsid w:val="004D6A8C"/>
    <w:rsid w:val="00505889"/>
    <w:rsid w:val="0056633C"/>
    <w:rsid w:val="005812D3"/>
    <w:rsid w:val="005814A4"/>
    <w:rsid w:val="00590A8D"/>
    <w:rsid w:val="005C4DCE"/>
    <w:rsid w:val="00753B9D"/>
    <w:rsid w:val="00756329"/>
    <w:rsid w:val="007F77B9"/>
    <w:rsid w:val="008040A1"/>
    <w:rsid w:val="008C3F44"/>
    <w:rsid w:val="00954778"/>
    <w:rsid w:val="00A17144"/>
    <w:rsid w:val="00A5357A"/>
    <w:rsid w:val="00A57A14"/>
    <w:rsid w:val="00B54181"/>
    <w:rsid w:val="00BC09C4"/>
    <w:rsid w:val="00DC3915"/>
    <w:rsid w:val="00E4305D"/>
    <w:rsid w:val="00F16B2B"/>
    <w:rsid w:val="00F67249"/>
    <w:rsid w:val="00F724E9"/>
    <w:rsid w:val="09C4782E"/>
    <w:rsid w:val="0ECB7368"/>
    <w:rsid w:val="10BD479A"/>
    <w:rsid w:val="11612EA5"/>
    <w:rsid w:val="11941769"/>
    <w:rsid w:val="1C635C29"/>
    <w:rsid w:val="1C9B0735"/>
    <w:rsid w:val="277B1CAB"/>
    <w:rsid w:val="2E4F6256"/>
    <w:rsid w:val="36230505"/>
    <w:rsid w:val="3F2A65A0"/>
    <w:rsid w:val="3F4C7741"/>
    <w:rsid w:val="42150221"/>
    <w:rsid w:val="518D2A12"/>
    <w:rsid w:val="524E28A0"/>
    <w:rsid w:val="54F6469B"/>
    <w:rsid w:val="5B697371"/>
    <w:rsid w:val="673C6F2C"/>
    <w:rsid w:val="724179B2"/>
    <w:rsid w:val="75150687"/>
    <w:rsid w:val="75FE310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14</Pages>
  <Words>4439</Words>
  <Characters>4927</Characters>
  <Lines>36</Lines>
  <Paragraphs>10</Paragraphs>
  <TotalTime>2</TotalTime>
  <ScaleCrop>false</ScaleCrop>
  <LinksUpToDate>false</LinksUpToDate>
  <CharactersWithSpaces>4957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2023-05-17T06:04:00Z</cp:lastPrinted>
  <dcterms:modified xsi:type="dcterms:W3CDTF">2023-06-25T01:53:23Z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435D6F957DF9439DA9E54412E9CCBAA5_13</vt:lpwstr>
  </property>
</Properties>
</file>