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b/>
          <w:sz w:val="44"/>
          <w:szCs w:val="44"/>
          <w:u w:val="single"/>
        </w:rPr>
      </w:pPr>
      <w:r>
        <w:rPr>
          <w:rFonts w:ascii="宋体" w:hAnsi="宋体" w:cs="Times New Roman"/>
          <w:b/>
          <w:sz w:val="52"/>
          <w:szCs w:val="52"/>
        </w:rPr>
        <w:t>北京师范大学沈阳附属学校</w:t>
      </w: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ascii="黑体" w:eastAsia="黑体"/>
          <w:sz w:val="32"/>
          <w:szCs w:val="32"/>
        </w:rPr>
        <w:t>北京师范大学沈阳附属学校</w:t>
      </w:r>
      <w:r>
        <w:rPr>
          <w:rFonts w:ascii="黑体" w:hAnsi="黑体" w:eastAsia="黑体"/>
          <w:sz w:val="32"/>
          <w:szCs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spacing w:line="540" w:lineRule="exact"/>
        <w:rPr>
          <w:rFonts w:hint="default" w:ascii="黑体" w:hAnsi="黑体" w:eastAsia="黑体"/>
          <w:sz w:val="32"/>
          <w:szCs w:val="32"/>
        </w:rPr>
      </w:pPr>
      <w:r>
        <w:rPr>
          <w:rFonts w:ascii="黑体" w:eastAsia="黑体"/>
          <w:sz w:val="32"/>
        </w:rPr>
        <w:t xml:space="preserve">第二部分   </w:t>
      </w:r>
      <w:r>
        <w:rPr>
          <w:rFonts w:ascii="黑体" w:eastAsia="黑体"/>
          <w:sz w:val="32"/>
          <w:szCs w:val="32"/>
        </w:rPr>
        <w:t>北京师范大学沈阳附属学校</w:t>
      </w:r>
      <w:r>
        <w:rPr>
          <w:rFonts w:ascii="黑体" w:hAnsi="黑体" w:eastAsia="黑体"/>
          <w:sz w:val="32"/>
          <w:szCs w:val="32"/>
        </w:rPr>
        <w:t>2021年度决算情况说明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spacing w:line="540" w:lineRule="exact"/>
        <w:rPr>
          <w:rFonts w:hint="default" w:ascii="黑体" w:hAnsi="黑体" w:eastAsia="黑体"/>
          <w:sz w:val="32"/>
          <w:szCs w:val="32"/>
        </w:rPr>
      </w:pPr>
      <w:r>
        <w:rPr>
          <w:rFonts w:ascii="黑体" w:eastAsia="黑体"/>
          <w:sz w:val="32"/>
        </w:rPr>
        <w:t xml:space="preserve">第四部分   </w:t>
      </w:r>
      <w:r>
        <w:rPr>
          <w:rFonts w:ascii="黑体" w:eastAsia="黑体"/>
          <w:sz w:val="32"/>
          <w:szCs w:val="32"/>
        </w:rPr>
        <w:t>北京师范大学沈阳附属学校</w:t>
      </w:r>
      <w:r>
        <w:rPr>
          <w:rFonts w:ascii="黑体" w:hAnsi="黑体" w:eastAsia="黑体"/>
          <w:sz w:val="32"/>
          <w:szCs w:val="32"/>
        </w:rPr>
        <w:t>2021年度决算报表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rPr>
          <w:rFonts w:hint="default" w:ascii="仿宋_GB2312" w:eastAsia="仿宋_GB2312"/>
          <w:sz w:val="32"/>
        </w:rPr>
      </w:pPr>
    </w:p>
    <w:p>
      <w:pPr>
        <w:pStyle w:val="6"/>
        <w:numPr>
          <w:ilvl w:val="0"/>
          <w:numId w:val="1"/>
        </w:numPr>
        <w:spacing w:line="560" w:lineRule="exact"/>
        <w:jc w:val="center"/>
        <w:rPr>
          <w:rFonts w:hint="default" w:cs="Times New Roman"/>
          <w:b/>
          <w:sz w:val="36"/>
          <w:szCs w:val="36"/>
        </w:rPr>
      </w:pPr>
      <w:r>
        <w:rPr>
          <w:rFonts w:cs="Times New Roman"/>
          <w:b/>
          <w:sz w:val="36"/>
          <w:szCs w:val="36"/>
        </w:rPr>
        <w:t>北京师范大学沈阳附属学校概况</w:t>
      </w:r>
    </w:p>
    <w:p>
      <w:pPr>
        <w:numPr>
          <w:ilvl w:val="0"/>
          <w:numId w:val="2"/>
        </w:numPr>
        <w:ind w:firstLine="640" w:firstLineChars="200"/>
        <w:rPr>
          <w:rFonts w:hint="default" w:ascii="黑体" w:eastAsia="黑体"/>
          <w:sz w:val="32"/>
          <w:szCs w:val="32"/>
        </w:rPr>
      </w:pPr>
      <w:r>
        <w:rPr>
          <w:rFonts w:ascii="黑体" w:eastAsia="黑体"/>
          <w:sz w:val="32"/>
          <w:szCs w:val="32"/>
        </w:rPr>
        <w:t>主要职责</w:t>
      </w:r>
    </w:p>
    <w:p>
      <w:pPr>
        <w:numPr>
          <w:ilvl w:val="0"/>
          <w:numId w:val="3"/>
        </w:numPr>
        <w:ind w:firstLine="640" w:firstLineChars="200"/>
        <w:rPr>
          <w:rFonts w:hint="default" w:eastAsia="仿宋_GB2312" w:cs="宋体"/>
          <w:kern w:val="0"/>
          <w:sz w:val="32"/>
          <w:szCs w:val="32"/>
        </w:rPr>
      </w:pPr>
      <w:r>
        <w:rPr>
          <w:rFonts w:eastAsia="仿宋_GB2312" w:cs="宋体"/>
          <w:kern w:val="0"/>
          <w:sz w:val="32"/>
          <w:szCs w:val="32"/>
        </w:rPr>
        <w:t>我校是九年一贯制学校，小学部位于沈阳市浑南区全运五路107号，中学部位于沈阳市浑南区桃仙街38号。对学区内适龄儿童进行九年义务教育。</w:t>
      </w:r>
    </w:p>
    <w:p>
      <w:pPr>
        <w:ind w:firstLine="640" w:firstLineChars="200"/>
        <w:rPr>
          <w:rFonts w:hint="default" w:eastAsia="仿宋_GB2312" w:cs="宋体"/>
          <w:kern w:val="0"/>
          <w:sz w:val="32"/>
          <w:szCs w:val="32"/>
        </w:rPr>
      </w:pPr>
      <w:r>
        <w:rPr>
          <w:rFonts w:eastAsia="仿宋_GB2312" w:cs="宋体"/>
          <w:kern w:val="0"/>
          <w:sz w:val="32"/>
          <w:szCs w:val="32"/>
        </w:rPr>
        <w:t>1、全面贯彻国家教育方针，即教育必须为社会主义现代化建设服务、为人民服务，必须与生产劳动和社会实践相结合，培养德、智、体、美等方面全面发展的社会主义建设者和接班人。</w:t>
      </w:r>
    </w:p>
    <w:p>
      <w:pPr>
        <w:ind w:firstLine="640" w:firstLineChars="200"/>
        <w:rPr>
          <w:rFonts w:hint="default" w:ascii="黑体" w:eastAsia="黑体"/>
          <w:sz w:val="32"/>
          <w:szCs w:val="32"/>
        </w:rPr>
      </w:pPr>
      <w:r>
        <w:rPr>
          <w:rFonts w:eastAsia="仿宋_GB2312" w:cs="宋体"/>
          <w:kern w:val="0"/>
          <w:sz w:val="32"/>
          <w:szCs w:val="32"/>
        </w:rPr>
        <w:t>2、组织教育教学、科学研究活动，保证教育教学质量。维护教职工利益，保障教职工合法权益，以教职工和学生的人生幸福和生命质量作为重点。制定学校发展规划，并抓好组织实施和落实情况。科学管理、合理使用学校的设施和经费，并积极筹措办学资金，改善办学条件。</w:t>
      </w:r>
      <w:r>
        <w:rPr>
          <w:rFonts w:eastAsia="仿宋_GB2312"/>
          <w:sz w:val="32"/>
          <w:szCs w:val="32"/>
        </w:rPr>
        <w:t>依法接受各级教育行政部门的检查指导和人民群众的监督。</w:t>
      </w:r>
    </w:p>
    <w:p>
      <w:pPr>
        <w:ind w:left="359" w:leftChars="171" w:firstLine="313" w:firstLineChars="98"/>
        <w:rPr>
          <w:rFonts w:hint="default" w:eastAsia="仿宋_GB2312" w:cs="宋体"/>
          <w:kern w:val="0"/>
          <w:sz w:val="32"/>
          <w:szCs w:val="32"/>
        </w:rPr>
      </w:pPr>
      <w:r>
        <w:rPr>
          <w:rFonts w:eastAsia="仿宋_GB2312" w:cs="宋体"/>
          <w:kern w:val="0"/>
          <w:sz w:val="32"/>
          <w:szCs w:val="32"/>
        </w:rPr>
        <w:t>3、财务管理方面：</w:t>
      </w:r>
    </w:p>
    <w:p>
      <w:pPr>
        <w:widowControl/>
        <w:spacing w:line="400" w:lineRule="atLeast"/>
        <w:ind w:firstLine="640" w:firstLineChars="200"/>
        <w:jc w:val="left"/>
        <w:rPr>
          <w:rFonts w:hint="default" w:eastAsia="仿宋_GB2312" w:cs="宋体"/>
          <w:kern w:val="0"/>
          <w:sz w:val="32"/>
          <w:szCs w:val="32"/>
        </w:rPr>
      </w:pPr>
      <w:r>
        <w:rPr>
          <w:rFonts w:eastAsia="仿宋_GB2312" w:cs="宋体"/>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640" w:firstLineChars="200"/>
        <w:jc w:val="left"/>
        <w:rPr>
          <w:rFonts w:hint="default" w:eastAsia="仿宋_GB2312" w:cs="宋体"/>
          <w:kern w:val="0"/>
          <w:sz w:val="32"/>
          <w:szCs w:val="32"/>
        </w:rPr>
      </w:pPr>
      <w:r>
        <w:rPr>
          <w:rFonts w:eastAsia="仿宋_GB2312" w:cs="宋体"/>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内设机构：我校为公益一类、全额拨款事业单位。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内设机构有：教导处、德育处、总务处、办公室、党总支、团委。</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（三）人员编制：根据沈阳市浑南区机构编制委员会办公室下发的沈浑南编办发文件，我校的编制数为95人。</w:t>
      </w:r>
    </w:p>
    <w:p>
      <w:pPr>
        <w:pStyle w:val="6"/>
        <w:spacing w:line="560" w:lineRule="exact"/>
        <w:ind w:firstLine="640" w:firstLineChars="200"/>
        <w:rPr>
          <w:rFonts w:ascii="黑体" w:eastAsia="黑体"/>
          <w:sz w:val="32"/>
        </w:rPr>
      </w:pPr>
    </w:p>
    <w:p>
      <w:pPr>
        <w:pStyle w:val="6"/>
        <w:spacing w:line="560" w:lineRule="exact"/>
        <w:ind w:firstLine="640" w:firstLineChars="200"/>
        <w:rPr>
          <w:rFonts w:ascii="黑体" w:eastAsia="黑体"/>
          <w:sz w:val="32"/>
        </w:rPr>
      </w:pPr>
    </w:p>
    <w:p>
      <w:pPr>
        <w:pStyle w:val="6"/>
        <w:spacing w:line="560" w:lineRule="exact"/>
        <w:ind w:firstLine="640" w:firstLineChars="200"/>
        <w:rPr>
          <w:rFonts w:ascii="黑体" w:eastAsia="黑体"/>
          <w:sz w:val="32"/>
        </w:rPr>
      </w:pPr>
    </w:p>
    <w:p>
      <w:pPr>
        <w:pStyle w:val="6"/>
        <w:spacing w:line="560" w:lineRule="exact"/>
        <w:ind w:firstLine="640" w:firstLineChars="200"/>
        <w:rPr>
          <w:rFonts w:hint="default" w:ascii="黑体" w:eastAsia="黑体"/>
          <w:sz w:val="32"/>
        </w:rPr>
      </w:pPr>
      <w:r>
        <w:rPr>
          <w:rFonts w:ascii="黑体" w:eastAsia="黑体"/>
          <w:sz w:val="32"/>
        </w:rPr>
        <w:t>二、决算单位构成</w:t>
      </w:r>
    </w:p>
    <w:p>
      <w:pPr>
        <w:widowControl/>
        <w:ind w:firstLine="640" w:firstLineChars="200"/>
        <w:jc w:val="left"/>
        <w:rPr>
          <w:rFonts w:hint="default" w:eastAsia="仿宋_GB2312" w:cs="宋体"/>
          <w:kern w:val="0"/>
          <w:sz w:val="32"/>
          <w:szCs w:val="32"/>
        </w:rPr>
      </w:pPr>
      <w:r>
        <w:rPr>
          <w:rFonts w:eastAsia="仿宋_GB2312" w:cs="宋体"/>
          <w:kern w:val="0"/>
          <w:sz w:val="32"/>
          <w:szCs w:val="32"/>
        </w:rPr>
        <w:t>北京师范大学沈阳附属学校是纳入浑南区教育局2021年决算编制范围的二级预算单位，本单位无下设机构。</w:t>
      </w:r>
    </w:p>
    <w:p>
      <w:pPr>
        <w:pStyle w:val="6"/>
        <w:spacing w:line="560" w:lineRule="exact"/>
        <w:ind w:left="420" w:leftChars="200"/>
        <w:rPr>
          <w:rFonts w:hint="default" w:ascii="黑体" w:eastAsia="黑体"/>
          <w:color w:val="000000" w:themeColor="text1"/>
          <w:sz w:val="32"/>
          <w14:textFill>
            <w14:solidFill>
              <w14:schemeClr w14:val="tx1"/>
            </w14:solidFill>
          </w14:textFill>
        </w:rPr>
      </w:pPr>
      <w:bookmarkStart w:id="0" w:name="_GoBack"/>
      <w:bookmarkEnd w:id="0"/>
    </w:p>
    <w:p>
      <w:pPr>
        <w:pStyle w:val="6"/>
        <w:spacing w:line="560" w:lineRule="exact"/>
        <w:jc w:val="center"/>
        <w:rPr>
          <w:rFonts w:hint="default"/>
          <w:b/>
          <w:sz w:val="36"/>
        </w:rPr>
      </w:pPr>
      <w:r>
        <w:rPr>
          <w:b/>
          <w:sz w:val="36"/>
        </w:rPr>
        <w:t>第二部分 北京师范大学沈阳附属学校2021年决算情况说明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（一）收入总计1761.26万元，包括：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1.财政拨款收入1402.37万元，占收入总计的79.62%。其中：一般公共预算财政拨款收入1402.37万元，政府性基金预算财政拨款收入0万元，国有资本经营预算财政拨款收入0万元。</w:t>
      </w:r>
    </w:p>
    <w:p>
      <w:pPr>
        <w:spacing w:line="540" w:lineRule="exact"/>
        <w:ind w:firstLine="660"/>
        <w:rPr>
          <w:rFonts w:hint="default" w:ascii="仿宋_GB2312" w:hAnsi="宋体" w:eastAsia="仿宋_GB2312"/>
          <w:sz w:val="32"/>
          <w:szCs w:val="32"/>
        </w:rPr>
      </w:pPr>
      <w:r>
        <w:rPr>
          <w:rFonts w:hint="eastAsia" w:ascii="仿宋_GB2312" w:eastAsia="仿宋_GB2312"/>
          <w:sz w:val="32"/>
          <w:lang w:val="en-US" w:eastAsia="zh-CN"/>
        </w:rPr>
        <w:t>2</w:t>
      </w:r>
      <w:r>
        <w:rPr>
          <w:rFonts w:ascii="仿宋_GB2312" w:eastAsia="仿宋_GB2312"/>
          <w:sz w:val="32"/>
        </w:rPr>
        <w:t>.其他收入93.19万元，占收入总计的5.30%。主要是教育局拨入的2020年绩效工资等</w:t>
      </w:r>
      <w:r>
        <w:rPr>
          <w:rFonts w:ascii="仿宋_GB2312" w:hAnsi="宋体" w:eastAsia="仿宋_GB2312"/>
          <w:sz w:val="32"/>
          <w:szCs w:val="32"/>
        </w:rPr>
        <w:t>。</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.上年结转和结余265.69万元，占收入总计的15.06%。主要是理化实验室专项改造资金88.83万元，随班就读资源教室建设资金20.25万元，2021年冬季取暖电费108.95万元等等。</w:t>
      </w:r>
    </w:p>
    <w:p>
      <w:pPr>
        <w:spacing w:line="540" w:lineRule="exact"/>
        <w:ind w:firstLine="660"/>
        <w:rPr>
          <w:rFonts w:hint="default" w:ascii="仿宋_GB2312" w:hAnsi="宋体" w:eastAsia="仿宋_GB2312"/>
          <w:sz w:val="32"/>
          <w:szCs w:val="32"/>
        </w:rPr>
      </w:pPr>
      <w:r>
        <w:rPr>
          <w:rFonts w:ascii="仿宋_GB2312" w:eastAsia="仿宋_GB2312"/>
          <w:sz w:val="32"/>
        </w:rPr>
        <w:t>与上年收入总计1633.65万元相比，今年收入增加127.61万元，增长7.81%，主要原因：</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学生人数增加，公用经费增加；</w:t>
      </w:r>
      <w:r>
        <w:rPr>
          <w:rFonts w:ascii="黑体" w:hAnsi="黑体" w:eastAsia="黑体"/>
          <w:sz w:val="32"/>
          <w:szCs w:val="32"/>
        </w:rPr>
        <w:t>二是</w:t>
      </w:r>
      <w:r>
        <w:rPr>
          <w:rFonts w:ascii="仿宋_GB2312" w:hAnsi="宋体" w:eastAsia="仿宋_GB2312"/>
          <w:sz w:val="32"/>
          <w:szCs w:val="32"/>
        </w:rPr>
        <w:t>教师人数增加，人员经费增加。</w:t>
      </w:r>
    </w:p>
    <w:p>
      <w:pPr>
        <w:pStyle w:val="6"/>
        <w:spacing w:line="560" w:lineRule="exact"/>
        <w:ind w:firstLine="660"/>
        <w:rPr>
          <w:rFonts w:ascii="楷体_GB2312" w:eastAsia="楷体_GB2312"/>
          <w:b/>
          <w:sz w:val="32"/>
        </w:rPr>
      </w:pPr>
    </w:p>
    <w:p>
      <w:pPr>
        <w:pStyle w:val="6"/>
        <w:spacing w:line="560" w:lineRule="exact"/>
        <w:ind w:firstLine="660"/>
        <w:rPr>
          <w:rFonts w:hint="default" w:ascii="楷体_GB2312" w:eastAsia="楷体_GB2312"/>
          <w:b/>
          <w:sz w:val="32"/>
        </w:rPr>
      </w:pPr>
      <w:r>
        <w:rPr>
          <w:rFonts w:ascii="楷体_GB2312" w:eastAsia="楷体_GB2312"/>
          <w:b/>
          <w:sz w:val="32"/>
        </w:rPr>
        <w:t>（二）支出总计1761.26万元，包括：</w:t>
      </w:r>
    </w:p>
    <w:p>
      <w:pPr>
        <w:pStyle w:val="6"/>
        <w:spacing w:line="560" w:lineRule="exact"/>
        <w:ind w:firstLine="660"/>
        <w:rPr>
          <w:rFonts w:hint="default" w:ascii="仿宋_GB2312" w:eastAsia="仿宋_GB2312"/>
          <w:sz w:val="32"/>
          <w:szCs w:val="32"/>
        </w:rPr>
      </w:pPr>
      <w:r>
        <w:rPr>
          <w:rFonts w:ascii="仿宋_GB2312" w:eastAsia="仿宋_GB2312"/>
          <w:sz w:val="32"/>
        </w:rPr>
        <w:t>1.基本支出1193.72万元，占支出总计的67.78%。主要是为保障机构正常运转、完成日常工作任务而发生的各项支出，其中：工资福利支出734.06万元，对个人和家庭的补助支出0.006万元，商品和服务支出399.60万元，</w:t>
      </w:r>
      <w:r>
        <w:rPr>
          <w:rFonts w:ascii="仿宋_GB2312" w:eastAsia="仿宋_GB2312"/>
          <w:sz w:val="32"/>
          <w:szCs w:val="32"/>
        </w:rPr>
        <w:t>资本性支出60.06万元。</w:t>
      </w:r>
    </w:p>
    <w:p>
      <w:pPr>
        <w:pStyle w:val="6"/>
        <w:spacing w:line="560" w:lineRule="exact"/>
        <w:ind w:firstLine="660"/>
        <w:rPr>
          <w:rFonts w:hint="default" w:ascii="仿宋_GB2312" w:eastAsia="仿宋_GB2312"/>
          <w:sz w:val="32"/>
        </w:rPr>
      </w:pPr>
      <w:r>
        <w:rPr>
          <w:rFonts w:ascii="仿宋_GB2312" w:eastAsia="仿宋_GB2312"/>
          <w:sz w:val="32"/>
        </w:rPr>
        <w:t>2.项目支出567.54万元，占支出总计的32.22%。主要包括普通教育支出410.00万元。教育费附加安排的支出157.54万元。</w:t>
      </w:r>
    </w:p>
    <w:p>
      <w:pPr>
        <w:spacing w:line="540" w:lineRule="exact"/>
        <w:ind w:firstLine="660"/>
        <w:rPr>
          <w:rFonts w:hint="default" w:ascii="仿宋_GB2312" w:hAnsi="宋体" w:eastAsia="仿宋_GB2312"/>
          <w:sz w:val="32"/>
          <w:szCs w:val="32"/>
        </w:rPr>
      </w:pPr>
      <w:r>
        <w:rPr>
          <w:rFonts w:ascii="仿宋_GB2312" w:eastAsia="仿宋_GB2312"/>
          <w:sz w:val="32"/>
        </w:rPr>
        <w:t>与上年支出总计1628.88万元相比，今年支出增加132.38万元，增长8.13%，主要原因：</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公用经费增加，支出就增加；</w:t>
      </w:r>
      <w:r>
        <w:rPr>
          <w:rFonts w:ascii="黑体" w:hAnsi="黑体" w:eastAsia="黑体"/>
          <w:sz w:val="32"/>
          <w:szCs w:val="32"/>
        </w:rPr>
        <w:t>二是教师人数增加，</w:t>
      </w:r>
      <w:r>
        <w:rPr>
          <w:rFonts w:ascii="仿宋_GB2312" w:hAnsi="宋体" w:eastAsia="仿宋_GB2312"/>
          <w:sz w:val="32"/>
          <w:szCs w:val="32"/>
        </w:rPr>
        <w:t>人员经费支出也增加。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黑体" w:eastAsia="黑体"/>
          <w:sz w:val="32"/>
        </w:rPr>
      </w:pPr>
      <w:r>
        <w:rPr>
          <w:rFonts w:ascii="仿宋_GB2312" w:eastAsia="仿宋_GB2312"/>
          <w:sz w:val="32"/>
        </w:rPr>
        <w:t>2021年收支一致没有结余。与上年相比，今年结转结余减少256.69万元，降低100%，主要原因：</w:t>
      </w:r>
      <w:r>
        <w:rPr>
          <w:rFonts w:ascii="黑体" w:eastAsia="黑体"/>
          <w:sz w:val="32"/>
        </w:rPr>
        <w:t>今年没有结余。</w:t>
      </w:r>
    </w:p>
    <w:p>
      <w:pPr>
        <w:pStyle w:val="6"/>
        <w:numPr>
          <w:ilvl w:val="0"/>
          <w:numId w:val="2"/>
        </w:numPr>
        <w:spacing w:line="560" w:lineRule="exact"/>
        <w:ind w:firstLine="640" w:firstLineChars="200"/>
        <w:rPr>
          <w:rFonts w:hint="default" w:ascii="黑体" w:eastAsia="黑体"/>
          <w:sz w:val="32"/>
        </w:rPr>
      </w:pPr>
      <w:r>
        <w:rPr>
          <w:rFonts w:ascii="黑体" w:eastAsia="黑体"/>
          <w:sz w:val="32"/>
        </w:rPr>
        <w:t>财政拨款收入支出决算情况说明</w:t>
      </w:r>
    </w:p>
    <w:p>
      <w:pPr>
        <w:pStyle w:val="6"/>
        <w:spacing w:line="560" w:lineRule="exact"/>
        <w:ind w:left="420" w:leftChars="20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宋体" w:eastAsia="仿宋_GB2312"/>
          <w:sz w:val="32"/>
          <w:szCs w:val="32"/>
        </w:rPr>
      </w:pPr>
      <w:r>
        <w:rPr>
          <w:rFonts w:ascii="仿宋_GB2312" w:eastAsia="仿宋_GB2312"/>
          <w:sz w:val="32"/>
        </w:rPr>
        <w:t>2021年度财政拨款支出</w:t>
      </w:r>
      <w:r>
        <w:rPr>
          <w:rFonts w:ascii="楷体_GB2312" w:eastAsia="楷体_GB2312"/>
          <w:b/>
          <w:sz w:val="32"/>
        </w:rPr>
        <w:t>1761.26</w:t>
      </w:r>
      <w:r>
        <w:rPr>
          <w:rFonts w:ascii="仿宋_GB2312" w:eastAsia="仿宋_GB2312"/>
          <w:sz w:val="32"/>
        </w:rPr>
        <w:t>万元，其中：基本支出1193.72万元，项目支出567.54万元。与上年相比，财政拨款支出增加132.38万元，增长8.13%，</w:t>
      </w:r>
      <w:r>
        <w:rPr>
          <w:rFonts w:ascii="仿宋_GB2312" w:hAnsi="宋体" w:eastAsia="仿宋_GB2312"/>
          <w:sz w:val="32"/>
          <w:szCs w:val="32"/>
        </w:rPr>
        <w:t>主要原因：</w:t>
      </w:r>
      <w:r>
        <w:rPr>
          <w:rFonts w:ascii="仿宋_GB2312" w:hAnsi="宋体" w:eastAsia="仿宋_GB2312" w:cs="Times New Roman"/>
          <w:sz w:val="32"/>
          <w:szCs w:val="32"/>
        </w:rPr>
        <w:t>人员经费和公用经费费增加，支出增加。与年初预算848.93万元相比，2021年度财</w:t>
      </w:r>
      <w:r>
        <w:rPr>
          <w:rFonts w:ascii="仿宋_GB2312" w:hAnsi="宋体" w:eastAsia="仿宋_GB2312"/>
          <w:sz w:val="32"/>
          <w:szCs w:val="32"/>
        </w:rPr>
        <w:t>政拨款支出完成年初预算的165.19%，其中：基本支出完成年初预算的140.61%，学校没有单独安排项目支出年初预算，由教育局统一安排。</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2021年度一般公共预算财政拨款支出1402.37万元，按支出功能分类科目分，包括：包括教育支出1212.58万元，社会保障与就业支出60.94万元，卫生健康支出37.88万元。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1.教育支出1402.37万元，包括：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（1）小学教育支出282.66万元，主要用于办公费、维修费、水电费等商品服务支出支出132.49万元，资本性支出81.17万元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（2）初中教育支出883.48万元，主要用于是工资福利支出1993.61万元、商品服务支出649.24万元、对个人和家庭补助支出27.67等支出,办公设备购置等资本性支出75.93万元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（3）其他普通教育支出8.88万元，主要包括工资福利支出0.34万元，商品服务支出25.12万元，资本性支出46.12万元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（4）其他教育费附加安排的支出37.56万元，主要是商品服务支出155.03万元，对个人和家庭补助支出0.46支出,资本性支367.08万元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2.社会保障与就业支出60.94万元，包括：工资福利支出222.71万元，对个人和家庭补助支出7.95万元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3、卫生健康支出37.88万元，包括：工资福利支出128.46万元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default" w:ascii="仿宋_GB2312" w:hAnsi="宋体" w:eastAsia="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pStyle w:val="6"/>
        <w:spacing w:line="560" w:lineRule="exact"/>
        <w:ind w:firstLine="640" w:firstLineChars="20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1193.72万元，其中：人员经费734.06万元，主要包括基本工资、津贴补贴、奖金、其他社会保障缴费、机关事业单位基本养老保险缴费、其他工资福利支出、离休费、退休费、抚恤金、生活补助、奖励金、住房公积金、采暖补贴、其他对个人和家庭补助的支出；日常公用经费459.66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numPr>
          <w:ilvl w:val="0"/>
          <w:numId w:val="3"/>
        </w:numPr>
        <w:spacing w:line="560" w:lineRule="exact"/>
        <w:ind w:firstLine="643" w:firstLineChars="200"/>
        <w:rPr>
          <w:rFonts w:hint="default" w:ascii="楷体_GB2312" w:eastAsia="楷体_GB2312"/>
          <w:b/>
          <w:color w:val="000000" w:themeColor="text1"/>
          <w:sz w:val="32"/>
          <w14:textFill>
            <w14:solidFill>
              <w14:schemeClr w14:val="tx1"/>
            </w14:solidFill>
          </w14:textFill>
        </w:rPr>
      </w:pPr>
      <w:r>
        <w:rPr>
          <w:rFonts w:ascii="楷体_GB2312" w:eastAsia="楷体_GB2312"/>
          <w:b/>
          <w:color w:val="000000" w:themeColor="text1"/>
          <w:sz w:val="32"/>
          <w14:textFill>
            <w14:solidFill>
              <w14:schemeClr w14:val="tx1"/>
            </w14:solidFill>
          </w14:textFill>
        </w:rPr>
        <w:t>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numPr>
          <w:ilvl w:val="0"/>
          <w:numId w:val="3"/>
        </w:numPr>
        <w:spacing w:line="560" w:lineRule="exact"/>
        <w:ind w:firstLine="643" w:firstLineChars="200"/>
        <w:rPr>
          <w:rFonts w:hint="default" w:ascii="楷体_GB2312" w:eastAsia="楷体_GB2312"/>
          <w:b/>
          <w:sz w:val="32"/>
        </w:rPr>
      </w:pPr>
      <w:r>
        <w:rPr>
          <w:rFonts w:ascii="楷体_GB2312" w:eastAsia="楷体_GB2312"/>
          <w:b/>
          <w:sz w:val="32"/>
        </w:rPr>
        <w:t>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截至2021年12月31日，共有车辆1辆，其中：</w:t>
      </w:r>
      <w:r>
        <w:rPr>
          <w:rFonts w:ascii="仿宋_GB2312" w:hAnsi="宋体" w:eastAsia="仿宋_GB2312" w:cs="宋体"/>
          <w:kern w:val="0"/>
          <w:sz w:val="32"/>
          <w:szCs w:val="32"/>
        </w:rPr>
        <w:t>一般公务用车0辆。</w:t>
      </w:r>
      <w:r>
        <w:rPr>
          <w:rFonts w:ascii="仿宋_GB2312" w:hAnsi="黑体" w:eastAsia="仿宋_GB2312"/>
          <w:sz w:val="32"/>
          <w:szCs w:val="32"/>
        </w:rPr>
        <w:t>单位价值50万元以上通用设备0台（套），单价100万元以上专用设备0台（套）。</w:t>
      </w:r>
    </w:p>
    <w:p>
      <w:pPr>
        <w:widowControl/>
        <w:numPr>
          <w:ilvl w:val="0"/>
          <w:numId w:val="3"/>
        </w:numPr>
        <w:spacing w:line="560" w:lineRule="exact"/>
        <w:ind w:firstLine="643" w:firstLineChars="200"/>
        <w:rPr>
          <w:rFonts w:hint="default" w:ascii="楷体_GB2312" w:eastAsia="楷体_GB2312"/>
          <w:b/>
          <w:sz w:val="32"/>
        </w:rPr>
      </w:pPr>
      <w:r>
        <w:rPr>
          <w:rFonts w:ascii="楷体_GB2312" w:eastAsia="楷体_GB2312"/>
          <w:b/>
          <w:sz w:val="32"/>
        </w:rPr>
        <w:t>预算绩效管理工作开展情况。</w:t>
      </w:r>
    </w:p>
    <w:p>
      <w:pPr>
        <w:widowControl/>
        <w:spacing w:line="560" w:lineRule="exact"/>
        <w:ind w:left="420" w:leftChars="200" w:firstLine="320" w:firstLineChars="100"/>
        <w:rPr>
          <w:rFonts w:ascii="仿宋_GB2312" w:hAnsi="黑体" w:eastAsia="仿宋_GB2312" w:cs="Times New Roman"/>
          <w:sz w:val="32"/>
          <w:szCs w:val="32"/>
        </w:rPr>
      </w:pPr>
      <w:r>
        <w:rPr>
          <w:rFonts w:ascii="仿宋_GB2312" w:hAnsi="黑体" w:eastAsia="仿宋_GB2312" w:cs="Times New Roman"/>
          <w:sz w:val="32"/>
          <w:szCs w:val="32"/>
        </w:rPr>
        <w:t>2021年我单位不涉及民生项目和重点支出项目。</w:t>
      </w:r>
    </w:p>
    <w:p>
      <w:pPr>
        <w:widowControl/>
        <w:spacing w:line="560" w:lineRule="exact"/>
        <w:ind w:left="420" w:leftChars="200" w:firstLine="320" w:firstLineChars="100"/>
        <w:rPr>
          <w:rFonts w:hint="default" w:ascii="仿宋_GB2312" w:hAnsi="黑体" w:eastAsia="仿宋_GB2312" w:cs="Times New Roman"/>
          <w:sz w:val="32"/>
          <w:szCs w:val="32"/>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北京师范大学沈阳附属学校2021年度决算表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686990"/>
    <w:multiLevelType w:val="singleLevel"/>
    <w:tmpl w:val="95686990"/>
    <w:lvl w:ilvl="0" w:tentative="0">
      <w:start w:val="1"/>
      <w:numFmt w:val="chineseCounting"/>
      <w:suff w:val="space"/>
      <w:lvlText w:val="第%1部分"/>
      <w:lvlJc w:val="left"/>
      <w:rPr>
        <w:rFonts w:hint="eastAsia"/>
      </w:rPr>
    </w:lvl>
  </w:abstractNum>
  <w:abstractNum w:abstractNumId="1">
    <w:nsid w:val="B630AFED"/>
    <w:multiLevelType w:val="singleLevel"/>
    <w:tmpl w:val="B630AFED"/>
    <w:lvl w:ilvl="0" w:tentative="0">
      <w:start w:val="1"/>
      <w:numFmt w:val="chineseCounting"/>
      <w:suff w:val="nothing"/>
      <w:lvlText w:val="%1、"/>
      <w:lvlJc w:val="left"/>
      <w:rPr>
        <w:rFonts w:hint="eastAsia"/>
      </w:rPr>
    </w:lvl>
  </w:abstractNum>
  <w:abstractNum w:abstractNumId="2">
    <w:nsid w:val="6FEF88E7"/>
    <w:multiLevelType w:val="singleLevel"/>
    <w:tmpl w:val="6FEF88E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436AF"/>
    <w:rsid w:val="001D0B4A"/>
    <w:rsid w:val="00320394"/>
    <w:rsid w:val="00342E31"/>
    <w:rsid w:val="00375497"/>
    <w:rsid w:val="0038444A"/>
    <w:rsid w:val="00387684"/>
    <w:rsid w:val="00391368"/>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E6174F"/>
    <w:rsid w:val="00EA253C"/>
    <w:rsid w:val="00F16B2B"/>
    <w:rsid w:val="00F67249"/>
    <w:rsid w:val="00F724E9"/>
    <w:rsid w:val="099F5C8C"/>
    <w:rsid w:val="09C4782E"/>
    <w:rsid w:val="0D883FB7"/>
    <w:rsid w:val="0ECB7368"/>
    <w:rsid w:val="0F5C3E92"/>
    <w:rsid w:val="111222EB"/>
    <w:rsid w:val="11612EA5"/>
    <w:rsid w:val="1C635C29"/>
    <w:rsid w:val="22877591"/>
    <w:rsid w:val="23503E27"/>
    <w:rsid w:val="259D531E"/>
    <w:rsid w:val="26284BE7"/>
    <w:rsid w:val="283C37B7"/>
    <w:rsid w:val="2E4F6256"/>
    <w:rsid w:val="36230505"/>
    <w:rsid w:val="390726C0"/>
    <w:rsid w:val="39CD72E3"/>
    <w:rsid w:val="3A830B2E"/>
    <w:rsid w:val="3E1026D9"/>
    <w:rsid w:val="3F1D4728"/>
    <w:rsid w:val="43DF5027"/>
    <w:rsid w:val="47EF3F27"/>
    <w:rsid w:val="4DF90002"/>
    <w:rsid w:val="4EE551E8"/>
    <w:rsid w:val="4FDA1A08"/>
    <w:rsid w:val="50541B71"/>
    <w:rsid w:val="51C712C4"/>
    <w:rsid w:val="52F448FA"/>
    <w:rsid w:val="54F6469B"/>
    <w:rsid w:val="59A33FA9"/>
    <w:rsid w:val="5B697371"/>
    <w:rsid w:val="62FB092D"/>
    <w:rsid w:val="636B0E18"/>
    <w:rsid w:val="660F20DE"/>
    <w:rsid w:val="673C6F2C"/>
    <w:rsid w:val="69F04FE9"/>
    <w:rsid w:val="6A661AE5"/>
    <w:rsid w:val="722E3D08"/>
    <w:rsid w:val="724179B2"/>
    <w:rsid w:val="72671527"/>
    <w:rsid w:val="7C6A6C95"/>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13</Pages>
  <Words>4718</Words>
  <Characters>5217</Characters>
  <Lines>37</Lines>
  <Paragraphs>10</Paragraphs>
  <TotalTime>1</TotalTime>
  <ScaleCrop>false</ScaleCrop>
  <LinksUpToDate>false</LinksUpToDate>
  <CharactersWithSpaces>5242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2023-05-15T08:57:00Z</cp:lastPrinted>
  <dcterms:modified xsi:type="dcterms:W3CDTF">2023-09-01T09:05:28Z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CC69AD5989544CED93036D786AEE481F_13</vt:lpwstr>
  </property>
</Properties>
</file>