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沈阳市浑南区花语幼儿园</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沈阳市浑南区花语幼儿园</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沈阳市浑南区花语幼儿园</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沈阳市浑南区花语幼儿园</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沈阳市浑南区花语幼儿园</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eastAsia" w:ascii="仿宋_GB2312" w:eastAsia="仿宋_GB2312"/>
          <w:sz w:val="32"/>
        </w:rPr>
      </w:pPr>
      <w:r>
        <w:rPr>
          <w:rFonts w:hint="eastAsia" w:ascii="仿宋_GB2312" w:eastAsia="仿宋_GB2312"/>
          <w:sz w:val="32"/>
        </w:rPr>
        <w:t>依法治教，依法办园。为社会提供高水平、高质量、高效率的学前教育服务，兴办一所高品质、现代化、创新型的幼儿园。为0—6岁学龄前儿童提供高质量的保育和教育服务。</w:t>
      </w: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ascii="仿宋_GB2312" w:eastAsia="仿宋_GB2312"/>
          <w:b w:val="0"/>
          <w:bCs w:val="0"/>
          <w:color w:val="auto"/>
          <w:sz w:val="32"/>
          <w:szCs w:val="32"/>
        </w:rPr>
      </w:pP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21</w:t>
      </w:r>
      <w:r>
        <w:rPr>
          <w:rFonts w:ascii="仿宋_GB2312" w:eastAsia="仿宋_GB2312"/>
          <w:b w:val="0"/>
          <w:bCs w:val="0"/>
          <w:color w:val="auto"/>
          <w:sz w:val="32"/>
          <w:szCs w:val="32"/>
        </w:rPr>
        <w:t>年</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hint="eastAsia" w:ascii="仿宋_GB2312" w:eastAsia="仿宋_GB2312"/>
          <w:b w:val="0"/>
          <w:bCs w:val="0"/>
          <w:color w:val="auto"/>
          <w:sz w:val="32"/>
          <w:szCs w:val="32"/>
          <w:lang w:eastAsia="zh-CN"/>
        </w:rPr>
        <w:t>沈阳市浑南区花语幼儿园</w:t>
      </w:r>
      <w:r>
        <w:rPr>
          <w:rFonts w:ascii="仿宋_GB2312" w:eastAsia="仿宋_GB2312"/>
          <w:b w:val="0"/>
          <w:bCs w:val="0"/>
          <w:color w:val="auto"/>
          <w:sz w:val="32"/>
          <w:szCs w:val="32"/>
        </w:rPr>
        <w:t>，本单位无下设机构。</w:t>
      </w:r>
    </w:p>
    <w:p>
      <w:pPr>
        <w:pStyle w:val="6"/>
        <w:spacing w:line="560" w:lineRule="exact"/>
        <w:ind w:firstLine="640"/>
        <w:rPr>
          <w:rFonts w:hint="default" w:ascii="仿宋_GB2312" w:eastAsia="仿宋_GB2312"/>
          <w:b w:val="0"/>
          <w:bCs w:val="0"/>
          <w:color w:val="auto"/>
          <w:sz w:val="32"/>
          <w:szCs w:val="32"/>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沈阳市浑南区花语幼儿园</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1194.6</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rPr>
        <w:t>959.37</w:t>
      </w:r>
      <w:r>
        <w:rPr>
          <w:rFonts w:ascii="仿宋_GB2312" w:eastAsia="仿宋_GB2312"/>
          <w:sz w:val="32"/>
        </w:rPr>
        <w:t>万元，占收入总计的</w:t>
      </w:r>
      <w:r>
        <w:rPr>
          <w:rFonts w:hint="eastAsia" w:ascii="仿宋_GB2312" w:eastAsia="仿宋_GB2312"/>
          <w:sz w:val="32"/>
          <w:lang w:val="en-US" w:eastAsia="zh-CN"/>
        </w:rPr>
        <w:t>80.31</w:t>
      </w:r>
      <w:r>
        <w:rPr>
          <w:rFonts w:ascii="仿宋_GB2312" w:eastAsia="仿宋_GB2312"/>
          <w:sz w:val="32"/>
        </w:rPr>
        <w:t>%。其中：一般公共预算财政拨款收入</w:t>
      </w:r>
      <w:r>
        <w:rPr>
          <w:rFonts w:hint="eastAsia" w:ascii="仿宋_GB2312" w:eastAsia="仿宋_GB2312"/>
          <w:sz w:val="32"/>
        </w:rPr>
        <w:t>959.37</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eastAsia" w:ascii="仿宋_GB2312" w:eastAsia="仿宋_GB2312"/>
          <w:sz w:val="32"/>
        </w:rPr>
        <w:t>234.19</w:t>
      </w:r>
      <w:r>
        <w:rPr>
          <w:rFonts w:ascii="仿宋_GB2312" w:eastAsia="仿宋_GB2312"/>
          <w:sz w:val="32"/>
        </w:rPr>
        <w:t>万元，占收入总计的</w:t>
      </w:r>
      <w:r>
        <w:rPr>
          <w:rFonts w:hint="eastAsia" w:ascii="仿宋_GB2312" w:eastAsia="仿宋_GB2312"/>
          <w:sz w:val="32"/>
          <w:lang w:val="en-US" w:eastAsia="zh-CN"/>
        </w:rPr>
        <w:t>19.6</w:t>
      </w:r>
      <w:r>
        <w:rPr>
          <w:rFonts w:ascii="仿宋_GB2312" w:eastAsia="仿宋_GB2312"/>
          <w:sz w:val="32"/>
        </w:rPr>
        <w:t>%。主要</w:t>
      </w:r>
      <w:r>
        <w:rPr>
          <w:rFonts w:hint="eastAsia" w:ascii="仿宋_GB2312" w:eastAsia="仿宋_GB2312"/>
          <w:sz w:val="32"/>
        </w:rPr>
        <w:t>幼儿园保育教育费</w:t>
      </w:r>
      <w:r>
        <w:rPr>
          <w:rFonts w:ascii="仿宋_GB2312" w:eastAsia="仿宋_GB2312"/>
          <w:sz w:val="32"/>
        </w:rPr>
        <w:t>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w:t>
      </w:r>
      <w:r>
        <w:rPr>
          <w:rFonts w:hint="eastAsia" w:ascii="仿宋_GB2312" w:eastAsia="仿宋_GB2312"/>
          <w:sz w:val="32"/>
        </w:rPr>
        <w:t>1.04</w:t>
      </w:r>
      <w:r>
        <w:rPr>
          <w:rFonts w:ascii="仿宋_GB2312" w:eastAsia="仿宋_GB2312"/>
          <w:sz w:val="32"/>
        </w:rPr>
        <w:t>万元，占收入总计的</w:t>
      </w:r>
      <w:r>
        <w:rPr>
          <w:rFonts w:hint="eastAsia" w:ascii="仿宋_GB2312" w:eastAsia="仿宋_GB2312"/>
          <w:sz w:val="32"/>
          <w:lang w:val="en-US" w:eastAsia="zh-CN"/>
        </w:rPr>
        <w:t>0.09</w:t>
      </w:r>
      <w:r>
        <w:rPr>
          <w:rFonts w:ascii="仿宋_GB2312" w:eastAsia="仿宋_GB2312"/>
          <w:sz w:val="32"/>
        </w:rPr>
        <w:t>%。主要是</w:t>
      </w:r>
      <w:r>
        <w:rPr>
          <w:rFonts w:hint="eastAsia" w:ascii="仿宋_GB2312" w:eastAsia="仿宋_GB2312"/>
          <w:sz w:val="32"/>
        </w:rPr>
        <w:t>绩效工资</w:t>
      </w:r>
      <w:r>
        <w:rPr>
          <w:rFonts w:ascii="仿宋_GB2312" w:eastAsia="仿宋_GB2312"/>
          <w:sz w:val="32"/>
        </w:rPr>
        <w:t>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424.63</w:t>
      </w:r>
      <w:r>
        <w:rPr>
          <w:rFonts w:ascii="仿宋_GB2312" w:eastAsia="仿宋_GB2312"/>
          <w:sz w:val="32"/>
        </w:rPr>
        <w:t>万元，增长</w:t>
      </w:r>
      <w:r>
        <w:rPr>
          <w:rFonts w:hint="eastAsia" w:ascii="仿宋_GB2312" w:eastAsia="仿宋_GB2312"/>
          <w:sz w:val="32"/>
          <w:lang w:val="en-US" w:eastAsia="zh-CN"/>
        </w:rPr>
        <w:t>55.15</w:t>
      </w:r>
      <w:r>
        <w:rPr>
          <w:rFonts w:ascii="仿宋_GB2312" w:eastAsia="仿宋_GB2312"/>
          <w:sz w:val="32"/>
        </w:rPr>
        <w:t>%，主要原因：</w:t>
      </w:r>
      <w:r>
        <w:rPr>
          <w:rFonts w:ascii="黑体" w:eastAsia="黑体"/>
          <w:sz w:val="32"/>
        </w:rPr>
        <w:t>一是</w:t>
      </w:r>
      <w:r>
        <w:rPr>
          <w:rFonts w:hint="eastAsia" w:ascii="仿宋_GB2312" w:eastAsia="仿宋_GB2312"/>
          <w:sz w:val="32"/>
          <w:lang w:val="en-US" w:eastAsia="zh-CN"/>
        </w:rPr>
        <w:t>班级</w:t>
      </w:r>
      <w:r>
        <w:rPr>
          <w:rFonts w:hint="eastAsia" w:ascii="仿宋_GB2312" w:eastAsia="仿宋_GB2312"/>
          <w:sz w:val="32"/>
        </w:rPr>
        <w:t>增加</w:t>
      </w:r>
      <w:r>
        <w:rPr>
          <w:rFonts w:hint="eastAsia" w:ascii="仿宋_GB2312" w:eastAsia="仿宋_GB2312"/>
          <w:sz w:val="32"/>
          <w:lang w:eastAsia="zh-CN"/>
        </w:rPr>
        <w:t>；</w:t>
      </w:r>
      <w:r>
        <w:rPr>
          <w:rFonts w:hint="eastAsia" w:ascii="黑体" w:eastAsia="黑体"/>
          <w:sz w:val="32"/>
          <w:lang w:val="en-US" w:eastAsia="zh-CN"/>
        </w:rPr>
        <w:t>二</w:t>
      </w:r>
      <w:r>
        <w:rPr>
          <w:rFonts w:ascii="黑体" w:eastAsia="黑体"/>
          <w:sz w:val="32"/>
        </w:rPr>
        <w:t>是</w:t>
      </w:r>
      <w:r>
        <w:rPr>
          <w:rFonts w:hint="eastAsia" w:ascii="仿宋_GB2312" w:eastAsia="仿宋_GB2312"/>
          <w:sz w:val="32"/>
        </w:rPr>
        <w:t>幼儿人数增加</w:t>
      </w:r>
      <w:r>
        <w:rPr>
          <w:rFonts w:hint="eastAsia" w:ascii="仿宋_GB2312" w:eastAsia="仿宋_GB2312"/>
          <w:sz w:val="32"/>
          <w:lang w:eastAsia="zh-CN"/>
        </w:rPr>
        <w:t>。</w:t>
      </w:r>
    </w:p>
    <w:p>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1194.6</w:t>
      </w:r>
      <w:r>
        <w:rPr>
          <w:rFonts w:ascii="楷体_GB2312" w:eastAsia="楷体_GB2312"/>
          <w:b/>
          <w:sz w:val="32"/>
        </w:rPr>
        <w:t>万元，包括：</w:t>
      </w:r>
    </w:p>
    <w:p>
      <w:pPr>
        <w:pStyle w:val="6"/>
        <w:numPr>
          <w:ilvl w:val="0"/>
          <w:numId w:val="0"/>
        </w:numPr>
        <w:spacing w:line="560" w:lineRule="exact"/>
        <w:ind w:firstLine="640" w:firstLineChars="200"/>
        <w:rPr>
          <w:rFonts w:ascii="仿宋_GB2312" w:eastAsia="仿宋_GB2312"/>
          <w:sz w:val="32"/>
        </w:rPr>
      </w:pPr>
      <w:r>
        <w:rPr>
          <w:rFonts w:ascii="仿宋_GB2312" w:eastAsia="仿宋_GB2312"/>
          <w:sz w:val="32"/>
        </w:rPr>
        <w:t>1.基本支出</w:t>
      </w:r>
      <w:r>
        <w:rPr>
          <w:rFonts w:hint="eastAsia" w:ascii="仿宋_GB2312" w:eastAsia="仿宋_GB2312"/>
          <w:sz w:val="32"/>
        </w:rPr>
        <w:t>908.99</w:t>
      </w:r>
      <w:r>
        <w:rPr>
          <w:rFonts w:ascii="仿宋_GB2312" w:eastAsia="仿宋_GB2312"/>
          <w:sz w:val="32"/>
        </w:rPr>
        <w:t>万元，占支出总计的</w:t>
      </w:r>
      <w:r>
        <w:rPr>
          <w:rFonts w:hint="eastAsia" w:ascii="仿宋_GB2312" w:eastAsia="仿宋_GB2312"/>
          <w:sz w:val="32"/>
          <w:lang w:val="en-US" w:eastAsia="zh-CN"/>
        </w:rPr>
        <w:t>76.09</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65.60</w:t>
      </w:r>
      <w:r>
        <w:rPr>
          <w:rFonts w:ascii="仿宋_GB2312" w:eastAsia="仿宋_GB2312"/>
          <w:sz w:val="32"/>
        </w:rPr>
        <w:t>万元，对个人和家庭的补助支出</w:t>
      </w:r>
      <w:r>
        <w:rPr>
          <w:rFonts w:hint="eastAsia" w:ascii="仿宋_GB2312" w:eastAsia="仿宋_GB2312"/>
          <w:sz w:val="32"/>
          <w:lang w:val="en-US" w:eastAsia="zh-CN"/>
        </w:rPr>
        <w:t>0</w:t>
      </w:r>
      <w:r>
        <w:rPr>
          <w:rFonts w:ascii="仿宋_GB2312" w:eastAsia="仿宋_GB2312"/>
          <w:sz w:val="32"/>
        </w:rPr>
        <w:t>万元，商品和服务支出</w:t>
      </w:r>
      <w:r>
        <w:rPr>
          <w:rFonts w:hint="eastAsia" w:ascii="仿宋_GB2312" w:eastAsia="仿宋_GB2312"/>
          <w:sz w:val="32"/>
          <w:lang w:val="en-US" w:eastAsia="zh-CN"/>
        </w:rPr>
        <w:t>799.46</w:t>
      </w:r>
      <w:r>
        <w:rPr>
          <w:rFonts w:ascii="仿宋_GB2312" w:eastAsia="仿宋_GB2312"/>
          <w:sz w:val="32"/>
        </w:rPr>
        <w:t>万元，</w:t>
      </w:r>
      <w:r>
        <w:rPr>
          <w:rFonts w:hint="eastAsia" w:ascii="仿宋_GB2312" w:eastAsia="仿宋_GB2312"/>
          <w:sz w:val="32"/>
          <w:lang w:val="en-US" w:eastAsia="zh-CN"/>
        </w:rPr>
        <w:t>资本性支出43.93</w:t>
      </w:r>
      <w:r>
        <w:rPr>
          <w:rFonts w:ascii="仿宋_GB2312" w:eastAsia="仿宋_GB2312"/>
          <w:sz w:val="32"/>
        </w:rPr>
        <w:t>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285.61</w:t>
      </w:r>
      <w:r>
        <w:rPr>
          <w:rFonts w:ascii="仿宋_GB2312" w:eastAsia="仿宋_GB2312"/>
          <w:sz w:val="32"/>
        </w:rPr>
        <w:t>万元，占支出总计的</w:t>
      </w:r>
      <w:r>
        <w:rPr>
          <w:rFonts w:hint="eastAsia" w:ascii="仿宋_GB2312" w:eastAsia="仿宋_GB2312"/>
          <w:sz w:val="32"/>
          <w:lang w:val="en-US" w:eastAsia="zh-CN"/>
        </w:rPr>
        <w:t>23.91</w:t>
      </w:r>
      <w:r>
        <w:rPr>
          <w:rFonts w:ascii="仿宋_GB2312" w:eastAsia="仿宋_GB2312"/>
          <w:sz w:val="32"/>
        </w:rPr>
        <w:t>%。主要</w:t>
      </w:r>
      <w:r>
        <w:rPr>
          <w:rFonts w:hint="eastAsia" w:ascii="仿宋_GB2312" w:eastAsia="仿宋_GB2312"/>
          <w:sz w:val="32"/>
          <w:lang w:val="en-US" w:eastAsia="zh-CN"/>
        </w:rPr>
        <w:t>水、电费</w:t>
      </w:r>
      <w:r>
        <w:rPr>
          <w:rFonts w:ascii="仿宋_GB2312" w:eastAsia="仿宋_GB2312"/>
          <w:sz w:val="32"/>
        </w:rPr>
        <w:t>等业务支出。</w:t>
      </w:r>
    </w:p>
    <w:p>
      <w:pPr>
        <w:pStyle w:val="6"/>
        <w:spacing w:line="560" w:lineRule="exact"/>
        <w:ind w:firstLine="660"/>
        <w:rPr>
          <w:rFonts w:hint="eastAsia" w:ascii="仿宋_GB2312" w:eastAsia="仿宋_GB2312"/>
          <w:sz w:val="32"/>
          <w:lang w:eastAsia="zh-CN"/>
        </w:rPr>
      </w:pPr>
      <w:r>
        <w:rPr>
          <w:rFonts w:ascii="仿宋_GB2312" w:eastAsia="仿宋_GB2312"/>
          <w:sz w:val="32"/>
        </w:rPr>
        <w:t>与上年相比，今年支出</w:t>
      </w:r>
      <w:r>
        <w:rPr>
          <w:rFonts w:hint="eastAsia" w:ascii="仿宋_GB2312" w:eastAsia="仿宋_GB2312"/>
          <w:sz w:val="32"/>
        </w:rPr>
        <w:t>增加424.63万元，增长55.15%</w:t>
      </w:r>
      <w:r>
        <w:rPr>
          <w:rFonts w:ascii="仿宋_GB2312" w:eastAsia="仿宋_GB2312"/>
          <w:sz w:val="32"/>
        </w:rPr>
        <w:t>，主要原因：</w:t>
      </w:r>
      <w:r>
        <w:rPr>
          <w:rFonts w:ascii="黑体" w:eastAsia="黑体"/>
          <w:sz w:val="32"/>
        </w:rPr>
        <w:t>一是</w:t>
      </w:r>
      <w:r>
        <w:rPr>
          <w:rFonts w:hint="eastAsia" w:ascii="仿宋_GB2312" w:eastAsia="仿宋_GB2312"/>
          <w:sz w:val="32"/>
          <w:lang w:val="en-US" w:eastAsia="zh-CN"/>
        </w:rPr>
        <w:t>班级</w:t>
      </w:r>
      <w:r>
        <w:rPr>
          <w:rFonts w:hint="eastAsia" w:ascii="仿宋_GB2312" w:eastAsia="仿宋_GB2312"/>
          <w:sz w:val="32"/>
        </w:rPr>
        <w:t>增加</w:t>
      </w:r>
      <w:r>
        <w:rPr>
          <w:rFonts w:hint="eastAsia" w:ascii="仿宋_GB2312" w:eastAsia="仿宋_GB2312"/>
          <w:sz w:val="32"/>
          <w:lang w:eastAsia="zh-CN"/>
        </w:rPr>
        <w:t>；</w:t>
      </w:r>
      <w:r>
        <w:rPr>
          <w:rFonts w:hint="eastAsia" w:ascii="黑体" w:eastAsia="黑体"/>
          <w:sz w:val="32"/>
          <w:lang w:val="en-US" w:eastAsia="zh-CN"/>
        </w:rPr>
        <w:t>二</w:t>
      </w:r>
      <w:r>
        <w:rPr>
          <w:rFonts w:ascii="黑体" w:eastAsia="黑体"/>
          <w:sz w:val="32"/>
        </w:rPr>
        <w:t>是</w:t>
      </w:r>
      <w:r>
        <w:rPr>
          <w:rFonts w:hint="eastAsia" w:ascii="仿宋_GB2312" w:eastAsia="仿宋_GB2312"/>
          <w:sz w:val="32"/>
        </w:rPr>
        <w:t>教师、幼儿人数增加</w:t>
      </w:r>
      <w:r>
        <w:rPr>
          <w:rFonts w:hint="eastAsia" w:ascii="仿宋_GB2312" w:eastAsia="仿宋_GB2312"/>
          <w:sz w:val="32"/>
          <w:lang w:eastAsia="zh-CN"/>
        </w:rPr>
        <w:t>。</w:t>
      </w:r>
    </w:p>
    <w:p>
      <w:pPr>
        <w:pStyle w:val="6"/>
        <w:numPr>
          <w:ilvl w:val="0"/>
          <w:numId w:val="2"/>
        </w:numPr>
        <w:spacing w:line="560" w:lineRule="exact"/>
        <w:ind w:firstLine="660"/>
        <w:rPr>
          <w:rFonts w:ascii="楷体_GB2312" w:eastAsia="楷体_GB2312"/>
          <w:b/>
          <w:sz w:val="32"/>
        </w:rPr>
      </w:pPr>
      <w:r>
        <w:rPr>
          <w:rFonts w:ascii="楷体_GB2312" w:eastAsia="楷体_GB2312"/>
          <w:b/>
          <w:sz w:val="32"/>
        </w:rPr>
        <w:t>年末结转和结余</w:t>
      </w:r>
      <w:r>
        <w:rPr>
          <w:rFonts w:hint="eastAsia" w:ascii="楷体_GB2312" w:eastAsia="楷体_GB2312"/>
          <w:b/>
          <w:sz w:val="32"/>
          <w:lang w:val="en-US" w:eastAsia="zh-CN"/>
        </w:rPr>
        <w:t>0</w:t>
      </w:r>
      <w:r>
        <w:rPr>
          <w:rFonts w:ascii="楷体_GB2312" w:eastAsia="楷体_GB2312"/>
          <w:b/>
          <w:sz w:val="32"/>
        </w:rPr>
        <w:t>万元</w:t>
      </w:r>
    </w:p>
    <w:p>
      <w:pPr>
        <w:pStyle w:val="6"/>
        <w:numPr>
          <w:ilvl w:val="0"/>
          <w:numId w:val="0"/>
        </w:numPr>
        <w:spacing w:line="560" w:lineRule="exact"/>
        <w:ind w:firstLine="640" w:firstLineChars="200"/>
        <w:rPr>
          <w:rFonts w:hint="eastAsia" w:ascii="仿宋_GB2312" w:hAnsi="仿宋_GB2312" w:eastAsia="仿宋_GB2312" w:cs="仿宋_GB2312"/>
          <w:b/>
          <w:sz w:val="32"/>
          <w:lang w:eastAsia="zh-CN"/>
        </w:rPr>
      </w:pPr>
      <w:r>
        <w:rPr>
          <w:rFonts w:hint="eastAsia" w:ascii="仿宋_GB2312" w:hAnsi="仿宋_GB2312" w:eastAsia="仿宋_GB2312" w:cs="仿宋_GB2312"/>
          <w:b w:val="0"/>
          <w:bCs/>
          <w:sz w:val="32"/>
        </w:rPr>
        <w:t>2021年收支一致没有结余</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rPr>
        <w:t>与上年持平</w:t>
      </w:r>
      <w:r>
        <w:rPr>
          <w:rFonts w:hint="eastAsia" w:ascii="仿宋_GB2312" w:hAnsi="仿宋_GB2312" w:eastAsia="仿宋_GB2312" w:cs="仿宋_GB2312"/>
          <w:b w:val="0"/>
          <w:bCs/>
          <w:sz w:val="32"/>
          <w:lang w:eastAsia="zh-CN"/>
        </w:rPr>
        <w:t>。</w:t>
      </w:r>
    </w:p>
    <w:p>
      <w:pPr>
        <w:pStyle w:val="6"/>
        <w:numPr>
          <w:ilvl w:val="0"/>
          <w:numId w:val="3"/>
        </w:numPr>
        <w:spacing w:line="560" w:lineRule="exact"/>
        <w:ind w:firstLine="660"/>
        <w:rPr>
          <w:rFonts w:ascii="黑体" w:eastAsia="黑体"/>
          <w:sz w:val="32"/>
        </w:rPr>
      </w:pPr>
      <w:r>
        <w:rPr>
          <w:rFonts w:ascii="黑体" w:eastAsia="黑体"/>
          <w:sz w:val="32"/>
        </w:rPr>
        <w:t>财政拨款收入支出决算情况说明</w:t>
      </w:r>
    </w:p>
    <w:p>
      <w:pPr>
        <w:pStyle w:val="6"/>
        <w:numPr>
          <w:numId w:val="0"/>
        </w:numPr>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rPr>
        <w:t>959.37</w:t>
      </w:r>
      <w:r>
        <w:rPr>
          <w:rFonts w:ascii="仿宋_GB2312" w:eastAsia="仿宋_GB2312"/>
          <w:sz w:val="32"/>
        </w:rPr>
        <w:t>万元，其中：基本支出</w:t>
      </w:r>
      <w:r>
        <w:rPr>
          <w:rFonts w:hint="eastAsia" w:ascii="仿宋_GB2312" w:eastAsia="仿宋_GB2312"/>
          <w:sz w:val="32"/>
        </w:rPr>
        <w:t>674.81</w:t>
      </w:r>
      <w:r>
        <w:rPr>
          <w:rFonts w:ascii="仿宋_GB2312" w:eastAsia="仿宋_GB2312"/>
          <w:sz w:val="32"/>
        </w:rPr>
        <w:t>万元，项目支出</w:t>
      </w:r>
      <w:r>
        <w:rPr>
          <w:rFonts w:hint="eastAsia" w:ascii="仿宋_GB2312" w:eastAsia="仿宋_GB2312"/>
          <w:sz w:val="32"/>
        </w:rPr>
        <w:t>284.5</w:t>
      </w:r>
      <w:r>
        <w:rPr>
          <w:rFonts w:hint="eastAsia" w:ascii="仿宋_GB2312" w:eastAsia="仿宋_GB2312"/>
          <w:sz w:val="32"/>
          <w:lang w:val="en-US" w:eastAsia="zh-CN"/>
        </w:rPr>
        <w:t>6</w:t>
      </w:r>
      <w:r>
        <w:rPr>
          <w:rFonts w:ascii="仿宋_GB2312" w:eastAsia="仿宋_GB2312"/>
          <w:sz w:val="32"/>
        </w:rPr>
        <w:t>万元。与上年相比，财政拨款支出增加</w:t>
      </w:r>
      <w:r>
        <w:rPr>
          <w:rFonts w:hint="eastAsia" w:ascii="仿宋_GB2312" w:eastAsia="仿宋_GB2312"/>
          <w:sz w:val="32"/>
          <w:lang w:val="en-US" w:eastAsia="zh-CN"/>
        </w:rPr>
        <w:t>759.32</w:t>
      </w:r>
      <w:r>
        <w:rPr>
          <w:rFonts w:ascii="仿宋_GB2312" w:eastAsia="仿宋_GB2312"/>
          <w:sz w:val="32"/>
        </w:rPr>
        <w:t>万元，增长</w:t>
      </w:r>
      <w:r>
        <w:rPr>
          <w:rFonts w:hint="eastAsia" w:ascii="仿宋_GB2312" w:eastAsia="仿宋_GB2312"/>
          <w:sz w:val="32"/>
          <w:lang w:val="en-US" w:eastAsia="zh-CN"/>
        </w:rPr>
        <w:t>379.56</w:t>
      </w:r>
      <w:r>
        <w:rPr>
          <w:rFonts w:ascii="仿宋_GB2312" w:eastAsia="仿宋_GB2312"/>
          <w:sz w:val="32"/>
        </w:rPr>
        <w:t>%，主要原因：</w:t>
      </w:r>
      <w:r>
        <w:rPr>
          <w:rFonts w:hint="eastAsia" w:ascii="黑体" w:eastAsia="黑体"/>
          <w:sz w:val="32"/>
        </w:rPr>
        <w:t>一是班级增加；二是教师、幼儿人数增加。</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numPr>
          <w:ilvl w:val="0"/>
          <w:numId w:val="1"/>
        </w:numPr>
        <w:spacing w:line="560" w:lineRule="exact"/>
        <w:ind w:left="0" w:leftChars="0" w:firstLine="660" w:firstLineChars="0"/>
        <w:rPr>
          <w:rFonts w:ascii="楷体_GB2312" w:hAnsi="宋体" w:eastAsia="楷体_GB2312"/>
          <w:b/>
          <w:sz w:val="32"/>
          <w:szCs w:val="32"/>
        </w:rPr>
      </w:pPr>
      <w:r>
        <w:rPr>
          <w:rFonts w:ascii="楷体_GB2312" w:hAnsi="宋体" w:eastAsia="楷体_GB2312"/>
          <w:b/>
          <w:sz w:val="32"/>
          <w:szCs w:val="32"/>
        </w:rPr>
        <w:t>一般公共预算财政拨款支出情况。</w:t>
      </w:r>
    </w:p>
    <w:p>
      <w:pPr>
        <w:numPr>
          <w:ilvl w:val="0"/>
          <w:numId w:val="0"/>
        </w:num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rPr>
        <w:t>959.37</w:t>
      </w:r>
      <w:r>
        <w:rPr>
          <w:rFonts w:ascii="仿宋_GB2312" w:hAnsi="宋体" w:eastAsia="仿宋_GB2312"/>
          <w:sz w:val="32"/>
          <w:szCs w:val="32"/>
        </w:rPr>
        <w:t>万元，按支出功能分类科目分，包括：</w:t>
      </w:r>
      <w:r>
        <w:rPr>
          <w:rFonts w:hint="eastAsia" w:ascii="仿宋_GB2312" w:hAnsi="宋体" w:eastAsia="仿宋_GB2312"/>
          <w:sz w:val="32"/>
          <w:szCs w:val="32"/>
        </w:rPr>
        <w:t>教育支出959.37</w:t>
      </w:r>
      <w:r>
        <w:rPr>
          <w:rFonts w:ascii="仿宋_GB2312" w:hAnsi="宋体" w:eastAsia="仿宋_GB2312"/>
          <w:sz w:val="32"/>
          <w:szCs w:val="32"/>
        </w:rPr>
        <w:t>万元，占</w:t>
      </w:r>
      <w:r>
        <w:rPr>
          <w:rFonts w:hint="eastAsia" w:ascii="仿宋_GB2312" w:hAnsi="宋体" w:eastAsia="仿宋_GB2312"/>
          <w:sz w:val="32"/>
          <w:szCs w:val="32"/>
          <w:lang w:val="en-US" w:eastAsia="zh-CN"/>
        </w:rPr>
        <w:t>100</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教育支出959.37</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学前教育834.6</w:t>
      </w:r>
      <w:r>
        <w:rPr>
          <w:rFonts w:ascii="仿宋_GB2312" w:hAnsi="宋体" w:eastAsia="仿宋_GB2312"/>
          <w:sz w:val="32"/>
          <w:szCs w:val="32"/>
        </w:rPr>
        <w:t>万元，主要是</w:t>
      </w:r>
      <w:r>
        <w:rPr>
          <w:rFonts w:hint="eastAsia" w:ascii="仿宋_GB2312" w:hAnsi="宋体" w:eastAsia="仿宋_GB2312"/>
          <w:sz w:val="32"/>
          <w:szCs w:val="32"/>
        </w:rPr>
        <w:t>工资</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劳务费</w:t>
      </w:r>
      <w:r>
        <w:rPr>
          <w:rFonts w:ascii="仿宋_GB2312" w:hAnsi="宋体" w:eastAsia="仿宋_GB2312"/>
          <w:sz w:val="32"/>
          <w:szCs w:val="32"/>
        </w:rPr>
        <w:t>等支出，完成年初预算的</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其他教育费附加安排的支出124.77</w:t>
      </w:r>
      <w:r>
        <w:rPr>
          <w:rFonts w:ascii="仿宋_GB2312" w:hAnsi="宋体" w:eastAsia="仿宋_GB2312"/>
          <w:sz w:val="32"/>
          <w:szCs w:val="32"/>
        </w:rPr>
        <w:t>万元</w:t>
      </w:r>
      <w:r>
        <w:rPr>
          <w:rFonts w:hint="eastAsia" w:ascii="仿宋_GB2312" w:hAnsi="宋体" w:eastAsia="仿宋_GB2312"/>
          <w:sz w:val="32"/>
          <w:szCs w:val="32"/>
        </w:rPr>
        <w:t>，主要是劳务费等支出，完成年初预算的100%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sz w:val="32"/>
          <w:szCs w:val="32"/>
        </w:rPr>
        <w:t>。</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60"/>
        <w:rPr>
          <w:rFonts w:hint="eastAsia" w:ascii="仿宋" w:hAnsi="仿宋" w:eastAsia="仿宋" w:cs="仿宋"/>
          <w:b/>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本年未发生此项资金</w:t>
      </w:r>
    </w:p>
    <w:p>
      <w:pPr>
        <w:numPr>
          <w:ilvl w:val="0"/>
          <w:numId w:val="2"/>
        </w:numPr>
        <w:spacing w:line="560" w:lineRule="exact"/>
        <w:ind w:left="0" w:leftChars="0" w:firstLine="660" w:firstLineChars="0"/>
        <w:rPr>
          <w:rFonts w:ascii="楷体_GB2312" w:hAnsi="宋体" w:eastAsia="楷体_GB2312"/>
          <w:b/>
          <w:sz w:val="32"/>
          <w:szCs w:val="32"/>
        </w:rPr>
      </w:pPr>
      <w:r>
        <w:rPr>
          <w:rFonts w:ascii="楷体_GB2312" w:hAnsi="宋体" w:eastAsia="楷体_GB2312"/>
          <w:b/>
          <w:sz w:val="32"/>
          <w:szCs w:val="32"/>
        </w:rPr>
        <w:t>国有资本经营预算财政拨款支出情况。</w:t>
      </w:r>
    </w:p>
    <w:p>
      <w:pPr>
        <w:numPr>
          <w:ilvl w:val="0"/>
          <w:numId w:val="0"/>
        </w:numPr>
        <w:spacing w:line="560" w:lineRule="exact"/>
        <w:ind w:left="660" w:leftChars="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rPr>
        <w:t>674.81</w:t>
      </w:r>
      <w:r>
        <w:rPr>
          <w:rFonts w:ascii="仿宋_GB2312" w:eastAsia="仿宋_GB2312"/>
          <w:sz w:val="32"/>
        </w:rPr>
        <w:t>万元，其中：人员经费</w:t>
      </w:r>
      <w:r>
        <w:rPr>
          <w:rFonts w:hint="eastAsia" w:ascii="仿宋_GB2312" w:eastAsia="仿宋_GB2312"/>
          <w:sz w:val="32"/>
        </w:rPr>
        <w:t>8.51</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rPr>
        <w:t>666.3</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lang w:eastAsia="zh-CN"/>
        </w:rPr>
        <w:t>202</w:t>
      </w: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eastAsia="zh-CN"/>
        </w:rPr>
        <w:t>年机关运行经费支出0万元，与上年持平，主要原因是</w:t>
      </w:r>
      <w:r>
        <w:rPr>
          <w:rFonts w:hint="eastAsia" w:ascii="仿宋_GB2312" w:hAnsi="仿宋_GB2312" w:eastAsia="仿宋_GB2312" w:cs="仿宋_GB2312"/>
          <w:b w:val="0"/>
          <w:bCs/>
          <w:color w:val="auto"/>
          <w:sz w:val="32"/>
          <w:szCs w:val="32"/>
          <w:lang w:val="en-US" w:eastAsia="zh-CN"/>
        </w:rPr>
        <w:t>我单位</w:t>
      </w:r>
      <w:r>
        <w:rPr>
          <w:rFonts w:hint="eastAsia" w:ascii="仿宋_GB2312" w:hAnsi="仿宋_GB2312" w:eastAsia="仿宋_GB2312" w:cs="仿宋_GB2312"/>
          <w:b w:val="0"/>
          <w:bCs/>
          <w:color w:val="auto"/>
          <w:sz w:val="32"/>
          <w:szCs w:val="32"/>
          <w:lang w:eastAsia="zh-CN"/>
        </w:rPr>
        <w:t>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szCs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w:t>
      </w:r>
      <w:r>
        <w:rPr>
          <w:rFonts w:ascii="仿宋_GB2312" w:eastAsia="仿宋_GB2312"/>
          <w:sz w:val="32"/>
          <w:szCs w:val="32"/>
        </w:rPr>
        <w:t>授予中小企业合同金额</w:t>
      </w:r>
      <w:r>
        <w:rPr>
          <w:rFonts w:hint="eastAsia" w:ascii="仿宋_GB2312" w:eastAsia="仿宋_GB2312"/>
          <w:sz w:val="32"/>
          <w:szCs w:val="32"/>
          <w:lang w:val="en-US" w:eastAsia="zh-CN"/>
        </w:rPr>
        <w:t>0</w:t>
      </w:r>
      <w:r>
        <w:rPr>
          <w:rFonts w:ascii="仿宋_GB2312" w:eastAsia="仿宋_GB2312"/>
          <w:sz w:val="32"/>
          <w:szCs w:val="32"/>
        </w:rPr>
        <w:t>万元，占政府采购支出总额的</w:t>
      </w:r>
      <w:r>
        <w:rPr>
          <w:rFonts w:hint="eastAsia" w:ascii="仿宋_GB2312" w:eastAsia="仿宋_GB2312"/>
          <w:sz w:val="32"/>
          <w:szCs w:val="32"/>
          <w:lang w:val="en-US" w:eastAsia="zh-CN"/>
        </w:rPr>
        <w:t>0</w:t>
      </w:r>
      <w:r>
        <w:rPr>
          <w:rFonts w:ascii="仿宋_GB2312" w:eastAsia="仿宋_GB2312"/>
          <w:sz w:val="32"/>
          <w:szCs w:val="32"/>
        </w:rPr>
        <w:t>%，其中：授予小微企业合同金额</w:t>
      </w:r>
      <w:r>
        <w:rPr>
          <w:rFonts w:hint="eastAsia" w:ascii="仿宋_GB2312" w:eastAsia="仿宋_GB2312"/>
          <w:sz w:val="32"/>
          <w:szCs w:val="32"/>
          <w:lang w:val="en-US" w:eastAsia="zh-CN"/>
        </w:rPr>
        <w:t>0</w:t>
      </w:r>
      <w:r>
        <w:rPr>
          <w:rFonts w:ascii="仿宋_GB2312" w:eastAsia="仿宋_GB2312"/>
          <w:sz w:val="32"/>
          <w:szCs w:val="32"/>
        </w:rPr>
        <w:t>万元，占政府采购支出总额的</w:t>
      </w:r>
      <w:r>
        <w:rPr>
          <w:rFonts w:hint="eastAsia" w:ascii="仿宋_GB2312" w:eastAsia="仿宋_GB2312"/>
          <w:sz w:val="32"/>
          <w:szCs w:val="32"/>
          <w:lang w:val="en-US" w:eastAsia="zh-CN"/>
        </w:rPr>
        <w:t>0</w:t>
      </w:r>
      <w:r>
        <w:rPr>
          <w:rFonts w:ascii="仿宋_GB2312" w:eastAsia="仿宋_GB2312"/>
          <w:sz w:val="32"/>
          <w:szCs w:val="32"/>
        </w:rPr>
        <w:t>%；货物采购授予中小企业合同金额占货物支出金额的</w:t>
      </w:r>
      <w:r>
        <w:rPr>
          <w:rFonts w:hint="eastAsia" w:ascii="仿宋_GB2312" w:eastAsia="仿宋_GB2312"/>
          <w:sz w:val="32"/>
          <w:szCs w:val="32"/>
          <w:lang w:val="en-US" w:eastAsia="zh-CN"/>
        </w:rPr>
        <w:t>0</w:t>
      </w:r>
      <w:r>
        <w:rPr>
          <w:rFonts w:ascii="仿宋_GB2312" w:eastAsia="仿宋_GB2312"/>
          <w:sz w:val="32"/>
          <w:szCs w:val="32"/>
        </w:rPr>
        <w:t>%；工程采购授予中小企业合同金额占工程支出金额的</w:t>
      </w:r>
      <w:r>
        <w:rPr>
          <w:rFonts w:hint="eastAsia" w:ascii="仿宋_GB2312" w:eastAsia="仿宋_GB2312"/>
          <w:sz w:val="32"/>
          <w:szCs w:val="32"/>
          <w:lang w:val="en-US" w:eastAsia="zh-CN"/>
        </w:rPr>
        <w:t>0</w:t>
      </w:r>
      <w:r>
        <w:rPr>
          <w:rFonts w:ascii="仿宋_GB2312" w:eastAsia="仿宋_GB2312"/>
          <w:sz w:val="32"/>
          <w:szCs w:val="32"/>
        </w:rPr>
        <w:t>%；服务采购授予中小企业合同金额占服务支出金额的</w:t>
      </w:r>
      <w:r>
        <w:rPr>
          <w:rFonts w:hint="eastAsia" w:ascii="仿宋_GB2312" w:eastAsia="仿宋_GB2312"/>
          <w:sz w:val="32"/>
          <w:szCs w:val="32"/>
          <w:lang w:val="en-US" w:eastAsia="zh-CN"/>
        </w:rPr>
        <w:t>0</w:t>
      </w:r>
      <w:r>
        <w:rPr>
          <w:rFonts w:ascii="仿宋_GB2312" w:eastAsia="仿宋_GB2312"/>
          <w:sz w:val="32"/>
          <w:szCs w:val="32"/>
        </w:rPr>
        <w:t>%。</w:t>
      </w:r>
    </w:p>
    <w:p>
      <w:pPr>
        <w:pStyle w:val="6"/>
        <w:numPr>
          <w:numId w:val="0"/>
        </w:numPr>
        <w:spacing w:line="560" w:lineRule="exact"/>
        <w:ind w:left="660" w:leftChars="0"/>
        <w:rPr>
          <w:rFonts w:ascii="楷体_GB2312" w:eastAsia="楷体_GB2312"/>
          <w:b/>
          <w:sz w:val="32"/>
        </w:rPr>
      </w:pPr>
      <w:r>
        <w:rPr>
          <w:rFonts w:hint="eastAsia" w:ascii="楷体_GB2312" w:eastAsia="楷体_GB2312"/>
          <w:b/>
          <w:sz w:val="32"/>
          <w:lang w:eastAsia="zh-CN"/>
        </w:rPr>
        <w:t>（三）</w:t>
      </w:r>
      <w:r>
        <w:rPr>
          <w:rFonts w:ascii="楷体_GB2312" w:eastAsia="楷体_GB2312"/>
          <w:b/>
          <w:sz w:val="32"/>
        </w:rPr>
        <w:t>国有资产占用情况。</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numPr>
          <w:ilvl w:val="0"/>
          <w:numId w:val="1"/>
        </w:numPr>
        <w:suppressLineNumbers w:val="0"/>
        <w:spacing w:before="0" w:beforeAutospacing="0" w:after="0" w:afterAutospacing="0" w:line="540" w:lineRule="exact"/>
        <w:ind w:left="0" w:leftChars="0" w:right="0" w:firstLine="660" w:firstLineChars="0"/>
        <w:jc w:val="left"/>
        <w:rPr>
          <w:rFonts w:ascii="楷体_GB2312" w:eastAsia="楷体_GB2312"/>
          <w:b/>
          <w:sz w:val="32"/>
        </w:rPr>
      </w:pPr>
      <w:r>
        <w:rPr>
          <w:rFonts w:ascii="楷体_GB2312" w:eastAsia="楷体_GB2312"/>
          <w:b/>
          <w:sz w:val="32"/>
        </w:rPr>
        <w:t>预算绩效管理工作开展情况。</w:t>
      </w:r>
    </w:p>
    <w:p>
      <w:pPr>
        <w:keepNext w:val="0"/>
        <w:keepLines w:val="0"/>
        <w:widowControl/>
        <w:numPr>
          <w:ilvl w:val="0"/>
          <w:numId w:val="0"/>
        </w:numPr>
        <w:suppressLineNumbers w:val="0"/>
        <w:spacing w:before="0" w:beforeAutospacing="0" w:after="0" w:afterAutospacing="0" w:line="540" w:lineRule="exact"/>
        <w:ind w:right="0" w:rightChars="0" w:firstLine="640" w:firstLineChars="200"/>
        <w:jc w:val="left"/>
        <w:rPr>
          <w:rFonts w:hint="eastAsia" w:ascii="仿宋_GB2312" w:hAnsi="仿宋_GB2312" w:eastAsia="仿宋_GB2312" w:cs="仿宋_GB2312"/>
          <w:b/>
          <w:sz w:val="32"/>
        </w:rPr>
      </w:pP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年不涉及民生项目和重点支出项目，因此本单位无绩效自评及部门评价。</w:t>
      </w:r>
    </w:p>
    <w:p>
      <w:pPr>
        <w:pStyle w:val="9"/>
        <w:numPr>
          <w:ilvl w:val="0"/>
          <w:numId w:val="4"/>
        </w:numPr>
        <w:autoSpaceDN w:val="0"/>
        <w:spacing w:line="560" w:lineRule="exact"/>
        <w:ind w:firstLine="2168" w:firstLineChars="600"/>
        <w:rPr>
          <w:rFonts w:hint="eastAsia"/>
          <w:b/>
          <w:bCs/>
          <w:sz w:val="36"/>
          <w:szCs w:val="36"/>
        </w:rPr>
      </w:pPr>
      <w:r>
        <w:rPr>
          <w:rFonts w:hint="eastAsia"/>
          <w:b/>
          <w:bCs/>
          <w:sz w:val="36"/>
          <w:szCs w:val="36"/>
        </w:rPr>
        <w:t>名词解释</w:t>
      </w:r>
    </w:p>
    <w:p>
      <w:pPr>
        <w:pStyle w:val="9"/>
        <w:numPr>
          <w:numId w:val="0"/>
        </w:numPr>
        <w:autoSpaceDN w:val="0"/>
        <w:spacing w:line="560" w:lineRule="exact"/>
        <w:rPr>
          <w:rFonts w:hint="eastAsia"/>
          <w:b/>
          <w:bCs/>
          <w:sz w:val="36"/>
          <w:szCs w:val="36"/>
        </w:rPr>
      </w:pP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沈阳市浑南区花语幼儿园</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4B4897"/>
    <w:multiLevelType w:val="singleLevel"/>
    <w:tmpl w:val="AB4B4897"/>
    <w:lvl w:ilvl="0" w:tentative="0">
      <w:start w:val="2"/>
      <w:numFmt w:val="chineseCounting"/>
      <w:suff w:val="nothing"/>
      <w:lvlText w:val="%1、"/>
      <w:lvlJc w:val="left"/>
      <w:rPr>
        <w:rFonts w:hint="eastAsia"/>
      </w:rPr>
    </w:lvl>
  </w:abstractNum>
  <w:abstractNum w:abstractNumId="1">
    <w:nsid w:val="FD35EA56"/>
    <w:multiLevelType w:val="singleLevel"/>
    <w:tmpl w:val="FD35EA56"/>
    <w:lvl w:ilvl="0" w:tentative="0">
      <w:start w:val="3"/>
      <w:numFmt w:val="chineseCounting"/>
      <w:suff w:val="nothing"/>
      <w:lvlText w:val="（%1）"/>
      <w:lvlJc w:val="left"/>
      <w:rPr>
        <w:rFonts w:hint="eastAsia"/>
      </w:rPr>
    </w:lvl>
  </w:abstractNum>
  <w:abstractNum w:abstractNumId="2">
    <w:nsid w:val="1F1485AD"/>
    <w:multiLevelType w:val="singleLevel"/>
    <w:tmpl w:val="1F1485AD"/>
    <w:lvl w:ilvl="0" w:tentative="0">
      <w:start w:val="2"/>
      <w:numFmt w:val="chineseCounting"/>
      <w:suff w:val="nothing"/>
      <w:lvlText w:val="（%1）"/>
      <w:lvlJc w:val="left"/>
      <w:rPr>
        <w:rFonts w:hint="eastAsia"/>
      </w:rPr>
    </w:lvl>
  </w:abstractNum>
  <w:abstractNum w:abstractNumId="3">
    <w:nsid w:val="7779A92B"/>
    <w:multiLevelType w:val="singleLevel"/>
    <w:tmpl w:val="7779A92B"/>
    <w:lvl w:ilvl="0" w:tentative="0">
      <w:start w:val="3"/>
      <w:numFmt w:val="chineseCounting"/>
      <w:suff w:val="space"/>
      <w:lvlText w:val="第%1部分"/>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51F457C"/>
    <w:rsid w:val="05922FA0"/>
    <w:rsid w:val="08B76243"/>
    <w:rsid w:val="09C4782E"/>
    <w:rsid w:val="0CB734F0"/>
    <w:rsid w:val="0ECB7368"/>
    <w:rsid w:val="11612EA5"/>
    <w:rsid w:val="158954DD"/>
    <w:rsid w:val="1C635C29"/>
    <w:rsid w:val="22CC5A6E"/>
    <w:rsid w:val="2C9C00DD"/>
    <w:rsid w:val="2E4F6256"/>
    <w:rsid w:val="2E6C44AA"/>
    <w:rsid w:val="36230505"/>
    <w:rsid w:val="378A7886"/>
    <w:rsid w:val="434075BC"/>
    <w:rsid w:val="48D34355"/>
    <w:rsid w:val="54F6469B"/>
    <w:rsid w:val="57AF2B0B"/>
    <w:rsid w:val="5A0F163F"/>
    <w:rsid w:val="5B697371"/>
    <w:rsid w:val="63FF1EE2"/>
    <w:rsid w:val="673C6F2C"/>
    <w:rsid w:val="686D1655"/>
    <w:rsid w:val="6B68554D"/>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3528</Words>
  <Characters>3866</Characters>
  <Lines>37</Lines>
  <Paragraphs>10</Paragraphs>
  <TotalTime>1</TotalTime>
  <ScaleCrop>false</ScaleCrop>
  <LinksUpToDate>false</LinksUpToDate>
  <CharactersWithSpaces>3896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2023-06-26T02:58:14Z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