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沈阳市第一二六中学浑南分校</w:t>
      </w:r>
    </w:p>
    <w:p>
      <w:pPr>
        <w:spacing w:line="540" w:lineRule="exact"/>
        <w:jc w:val="center"/>
        <w:rPr>
          <w:rFonts w:hint="default" w:ascii="宋体" w:hAnsi="宋体"/>
          <w:b/>
          <w:color w:val="FF0000"/>
          <w:sz w:val="52"/>
          <w:szCs w:val="52"/>
        </w:rPr>
      </w:pPr>
      <w:r>
        <w:rPr>
          <w:rFonts w:ascii="宋体" w:hAnsi="宋体"/>
          <w:b/>
          <w:sz w:val="52"/>
          <w:szCs w:val="52"/>
        </w:rPr>
        <w:t>2021年度决算说明</w:t>
      </w:r>
      <w:r>
        <w:rPr>
          <w:rFonts w:ascii="宋体" w:hAnsi="宋体"/>
          <w:b/>
          <w:color w:val="FF0000"/>
          <w:sz w:val="52"/>
          <w:szCs w:val="52"/>
        </w:rPr>
        <w:t xml:space="preserve"> </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沈阳市第一二六中学浑南分校概况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沈阳市第一二六中学浑南分校2021年决算情况说明</w:t>
      </w:r>
      <w:r>
        <w:rPr>
          <w:rFonts w:ascii="黑体" w:hAnsi="黑体" w:eastAsia="黑体"/>
          <w:b/>
          <w:bCs/>
          <w:color w:val="FF0000"/>
          <w:sz w:val="32"/>
          <w:szCs w:val="32"/>
        </w:rPr>
        <w:t xml:space="preserve"> </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hAnsi="黑体" w:eastAsia="黑体"/>
          <w:b/>
          <w:bCs/>
          <w:color w:val="FF0000"/>
          <w:sz w:val="32"/>
          <w:szCs w:val="32"/>
        </w:rPr>
      </w:pPr>
      <w:r>
        <w:rPr>
          <w:rFonts w:ascii="黑体" w:eastAsia="黑体"/>
          <w:sz w:val="32"/>
        </w:rPr>
        <w:t>第四部分    沈阳市第一二六中学浑南分校2021年决算报表</w:t>
      </w:r>
      <w:r>
        <w:rPr>
          <w:rFonts w:ascii="黑体" w:hAnsi="黑体" w:eastAsia="黑体"/>
          <w:b/>
          <w:bCs/>
          <w:color w:val="FF0000"/>
          <w:sz w:val="32"/>
          <w:szCs w:val="32"/>
        </w:rPr>
        <w:t xml:space="preserve"> </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cs="宋体"/>
          <w:b/>
          <w:bCs/>
          <w:sz w:val="36"/>
          <w:szCs w:val="36"/>
        </w:rPr>
        <w:t>沈阳市第一二六中学浑南分校</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r>
        <w:rPr>
          <w:rFonts w:ascii="黑体" w:hAnsi="黑体" w:eastAsia="黑体" w:cs="黑体"/>
          <w:b/>
          <w:bCs/>
          <w:color w:val="FF0000"/>
          <w:sz w:val="32"/>
          <w:szCs w:val="32"/>
        </w:rPr>
        <w:t xml:space="preserve"> </w:t>
      </w:r>
    </w:p>
    <w:p>
      <w:pPr>
        <w:pStyle w:val="6"/>
        <w:spacing w:line="560" w:lineRule="exact"/>
        <w:ind w:firstLine="640" w:firstLineChars="200"/>
        <w:rPr>
          <w:rFonts w:hint="default" w:ascii="仿宋_GB2312" w:eastAsia="仿宋_GB2312"/>
          <w:sz w:val="32"/>
        </w:rPr>
      </w:pPr>
      <w:r>
        <w:rPr>
          <w:rFonts w:ascii="仿宋_GB2312" w:eastAsia="仿宋_GB2312"/>
          <w:sz w:val="32"/>
          <w:szCs w:val="32"/>
        </w:rPr>
        <w:t>我校隶属于沈阳市浑南区教育局，为全额拨款的事业单位公办初级中学。我单位贯彻执行国家和省市区教育方针、政策，完成初中义务教育教学任务，为上级学校及社会培养德智体美等方面合格的毕业生。</w:t>
      </w:r>
    </w:p>
    <w:p>
      <w:pPr>
        <w:pStyle w:val="6"/>
        <w:numPr>
          <w:ilvl w:val="0"/>
          <w:numId w:val="1"/>
        </w:numPr>
        <w:spacing w:line="560" w:lineRule="exact"/>
        <w:ind w:firstLine="640"/>
        <w:rPr>
          <w:rFonts w:hint="default" w:ascii="黑体" w:eastAsia="黑体"/>
          <w:sz w:val="32"/>
        </w:rPr>
      </w:pPr>
      <w:r>
        <w:rPr>
          <w:rFonts w:ascii="黑体" w:eastAsia="黑体"/>
          <w:sz w:val="32"/>
        </w:rPr>
        <w:t>决算单位构成</w:t>
      </w:r>
    </w:p>
    <w:p>
      <w:pPr>
        <w:pStyle w:val="6"/>
        <w:spacing w:line="560" w:lineRule="exact"/>
        <w:ind w:firstLine="640" w:firstLineChars="200"/>
        <w:rPr>
          <w:rFonts w:hint="default" w:ascii="仿宋_GB2312" w:eastAsia="仿宋_GB2312"/>
          <w:sz w:val="32"/>
          <w:szCs w:val="32"/>
        </w:rPr>
      </w:pPr>
      <w:r>
        <w:rPr>
          <w:rFonts w:ascii="仿宋_GB2312" w:eastAsia="仿宋_GB2312"/>
          <w:sz w:val="32"/>
          <w:szCs w:val="32"/>
        </w:rPr>
        <w:t>沈阳市第一二六中学浑南分校是纳入浑南区</w:t>
      </w:r>
      <w:r>
        <w:rPr>
          <w:rFonts w:hint="eastAsia" w:ascii="仿宋_GB2312" w:eastAsia="仿宋_GB2312"/>
          <w:sz w:val="32"/>
          <w:szCs w:val="32"/>
          <w:lang w:eastAsia="zh-CN"/>
        </w:rPr>
        <w:t>教育局</w:t>
      </w:r>
      <w:bookmarkStart w:id="0" w:name="_GoBack"/>
      <w:bookmarkEnd w:id="0"/>
      <w:r>
        <w:rPr>
          <w:rFonts w:ascii="仿宋_GB2312" w:eastAsia="仿宋_GB2312"/>
          <w:sz w:val="32"/>
          <w:szCs w:val="32"/>
        </w:rPr>
        <w:t>2021年决算编制范围的二级预算单位,本单位无下设机构。</w:t>
      </w:r>
    </w:p>
    <w:p>
      <w:pPr>
        <w:pStyle w:val="6"/>
        <w:spacing w:line="560" w:lineRule="exact"/>
        <w:rPr>
          <w:rFonts w:hint="default"/>
          <w:b/>
          <w:sz w:val="36"/>
        </w:rPr>
      </w:pP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   第二部分 沈阳市第一二六中学浑南分校2021年决算情况说明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（一）收入总计182.62万元，包括：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1.财政拨款收入182.62万元，占收入总计的100%。其中：一般公共预算财政拨款收入182.62万元，政府性基金收入0万元，国有资本经营预算财政拨款收入0万元。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.上年结转和结余0万元。</w:t>
      </w:r>
    </w:p>
    <w:p>
      <w:pPr>
        <w:pStyle w:val="6"/>
        <w:spacing w:line="560" w:lineRule="exact"/>
        <w:ind w:firstLine="640" w:firstLineChars="200"/>
        <w:rPr>
          <w:rFonts w:hint="default" w:ascii="仿宋_GB2312" w:eastAsia="仿宋_GB2312"/>
          <w:sz w:val="32"/>
        </w:rPr>
      </w:pPr>
      <w:r>
        <w:rPr>
          <w:rFonts w:ascii="仿宋_GB2312" w:eastAsia="仿宋_GB2312"/>
          <w:sz w:val="32"/>
        </w:rPr>
        <w:t>与上年收入相比，今年收入增加182.62万元，增长100%，主要原因：我校为2021年新建校，无上年数据。</w:t>
      </w:r>
    </w:p>
    <w:p>
      <w:pPr>
        <w:pStyle w:val="6"/>
        <w:numPr>
          <w:ilvl w:val="0"/>
          <w:numId w:val="2"/>
        </w:numPr>
        <w:spacing w:line="560" w:lineRule="exact"/>
        <w:ind w:firstLine="660"/>
        <w:rPr>
          <w:rFonts w:hint="default" w:ascii="楷体_GB2312" w:eastAsia="楷体_GB2312"/>
          <w:b/>
          <w:sz w:val="32"/>
        </w:rPr>
      </w:pPr>
      <w:r>
        <w:rPr>
          <w:rFonts w:ascii="楷体_GB2312" w:eastAsia="楷体_GB2312"/>
          <w:b/>
          <w:sz w:val="32"/>
        </w:rPr>
        <w:t>支出总计182.62万元，包括：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90.18万元，占支出总计的49.38%。主要是为保障机构正常运转、完成日常工作任务而发生的各项支出，其中：工资福利支出88.45万元，对个人和家庭的补助支出0万元，资本性支出0万元，商品和服务支出1.73万元。</w:t>
      </w:r>
    </w:p>
    <w:p>
      <w:pPr>
        <w:pStyle w:val="6"/>
        <w:spacing w:line="560" w:lineRule="exact"/>
        <w:ind w:firstLine="660"/>
        <w:rPr>
          <w:rFonts w:hint="default" w:ascii="仿宋_GB2312" w:eastAsia="仿宋_GB2312"/>
          <w:sz w:val="32"/>
        </w:rPr>
      </w:pPr>
      <w:r>
        <w:rPr>
          <w:rFonts w:ascii="仿宋_GB2312" w:eastAsia="仿宋_GB2312"/>
          <w:sz w:val="32"/>
        </w:rPr>
        <w:t>2.项目支出92.44万元，占支出总计的50.62%。主要包括基本建设类项目支出。</w:t>
      </w:r>
    </w:p>
    <w:p>
      <w:pPr>
        <w:pStyle w:val="6"/>
        <w:spacing w:line="560" w:lineRule="exact"/>
        <w:ind w:firstLine="640" w:firstLineChars="200"/>
        <w:rPr>
          <w:rFonts w:hint="default" w:ascii="仿宋_GB2312" w:eastAsia="仿宋_GB2312"/>
          <w:sz w:val="32"/>
        </w:rPr>
      </w:pPr>
      <w:r>
        <w:rPr>
          <w:rFonts w:ascii="仿宋_GB2312" w:eastAsia="仿宋_GB2312"/>
          <w:sz w:val="32"/>
        </w:rPr>
        <w:t>与上年支出相比，今年支出增加182.62万元，增长100%，主要原因：我校为2021年新建校，无上年数据。</w:t>
      </w:r>
    </w:p>
    <w:p>
      <w:pPr>
        <w:pStyle w:val="6"/>
        <w:spacing w:line="560" w:lineRule="exact"/>
        <w:ind w:firstLine="640" w:firstLineChars="200"/>
        <w:rPr>
          <w:rFonts w:hint="default" w:ascii="仿宋_GB2312" w:eastAsia="仿宋_GB2312"/>
          <w:sz w:val="32"/>
        </w:rPr>
      </w:pP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40" w:firstLineChars="200"/>
        <w:rPr>
          <w:rFonts w:hint="default" w:ascii="仿宋_GB2312" w:eastAsia="仿宋_GB2312"/>
          <w:sz w:val="32"/>
        </w:rPr>
      </w:pPr>
      <w:r>
        <w:rPr>
          <w:rFonts w:ascii="仿宋_GB2312" w:eastAsia="仿宋_GB2312"/>
          <w:sz w:val="32"/>
        </w:rPr>
        <w:t>2021年收支一致无结余。我校为2021年新建校，无上年数据。</w:t>
      </w:r>
    </w:p>
    <w:p>
      <w:pPr>
        <w:pStyle w:val="6"/>
        <w:spacing w:line="560" w:lineRule="exact"/>
        <w:ind w:firstLine="660"/>
        <w:rPr>
          <w:rFonts w:hint="default" w:ascii="黑体" w:eastAsia="黑体"/>
          <w:sz w:val="32"/>
        </w:rPr>
      </w:pPr>
    </w:p>
    <w:p>
      <w:pPr>
        <w:pStyle w:val="6"/>
        <w:spacing w:line="560" w:lineRule="exact"/>
        <w:ind w:left="640"/>
        <w:rPr>
          <w:rFonts w:hint="default" w:ascii="黑体" w:eastAsia="黑体"/>
          <w:sz w:val="32"/>
        </w:rPr>
      </w:pPr>
      <w:r>
        <w:rPr>
          <w:rFonts w:ascii="黑体" w:eastAsia="黑体"/>
          <w:sz w:val="32"/>
        </w:rPr>
        <w:t>二、财政拨款收入支出决算情况说明</w:t>
      </w:r>
    </w:p>
    <w:p>
      <w:pPr>
        <w:pStyle w:val="6"/>
        <w:spacing w:line="560" w:lineRule="exact"/>
        <w:ind w:left="640"/>
        <w:rPr>
          <w:rFonts w:hint="default" w:ascii="楷体_GB2312" w:eastAsia="楷体_GB2312"/>
          <w:b/>
          <w:sz w:val="32"/>
        </w:rPr>
      </w:pPr>
      <w:r>
        <w:rPr>
          <w:rFonts w:ascii="楷体_GB2312" w:eastAsia="楷体_GB2312"/>
          <w:b/>
          <w:sz w:val="32"/>
        </w:rPr>
        <w:t>（一）总体情况</w:t>
      </w:r>
    </w:p>
    <w:p>
      <w:pPr>
        <w:pStyle w:val="6"/>
        <w:spacing w:line="560" w:lineRule="exact"/>
        <w:ind w:firstLine="640" w:firstLineChars="200"/>
        <w:rPr>
          <w:rFonts w:hint="default" w:ascii="楷体_GB2312" w:eastAsia="楷体_GB2312"/>
          <w:b/>
          <w:sz w:val="32"/>
          <w:szCs w:val="32"/>
        </w:rPr>
      </w:pPr>
      <w:r>
        <w:rPr>
          <w:rFonts w:ascii="仿宋_GB2312" w:eastAsia="仿宋_GB2312"/>
          <w:sz w:val="32"/>
        </w:rPr>
        <w:t>2021年度财政拨款支出182.62万元，其中：基本支出90.18万元，项目支出92.44万元。与上年相比，财政拨款支出增加182.62万元，增长100%，主要原因：我校为2021年新建校，无上年支出数据，无上年预算数据。</w:t>
      </w:r>
    </w:p>
    <w:p>
      <w:pPr>
        <w:spacing w:line="560" w:lineRule="exact"/>
        <w:ind w:left="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2021年度一般公共预算财政拨款支出182.62万元，按支出功能分类科目分，包括：教育支出167.14万元，社会保障和就业支出7.86万元，卫生健康支出7.62万元。</w:t>
      </w:r>
    </w:p>
    <w:p>
      <w:pPr>
        <w:numPr>
          <w:ilvl w:val="0"/>
          <w:numId w:val="3"/>
        </w:num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教育支出167.14万元，包括：</w:t>
      </w:r>
    </w:p>
    <w:p>
      <w:pPr>
        <w:numPr>
          <w:ilvl w:val="0"/>
          <w:numId w:val="4"/>
        </w:num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初中教育</w:t>
      </w:r>
      <w:r>
        <w:rPr>
          <w:rFonts w:hint="default" w:ascii="仿宋_GB2312" w:hAnsi="宋体" w:eastAsia="仿宋_GB2312"/>
          <w:sz w:val="32"/>
          <w:szCs w:val="32"/>
        </w:rPr>
        <w:t>支出</w:t>
      </w:r>
      <w:r>
        <w:rPr>
          <w:rFonts w:ascii="仿宋_GB2312" w:hAnsi="宋体" w:eastAsia="仿宋_GB2312"/>
          <w:sz w:val="32"/>
          <w:szCs w:val="32"/>
        </w:rPr>
        <w:t>129.37万元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numPr>
          <w:ilvl w:val="0"/>
          <w:numId w:val="4"/>
        </w:numPr>
        <w:spacing w:line="560" w:lineRule="exact"/>
        <w:ind w:firstLine="640" w:firstLineChars="200"/>
        <w:rPr>
          <w:rFonts w:hint="default" w:ascii="仿宋_GB2312" w:hAnsi="宋体" w:eastAsia="仿宋_GB2312"/>
          <w:sz w:val="32"/>
          <w:szCs w:val="32"/>
        </w:rPr>
      </w:pPr>
      <w:r>
        <w:rPr>
          <w:rFonts w:hint="default" w:ascii="仿宋_GB2312" w:hAnsi="宋体" w:eastAsia="仿宋_GB2312"/>
          <w:sz w:val="32"/>
          <w:szCs w:val="32"/>
        </w:rPr>
        <w:t>其他普通教育支出</w:t>
      </w:r>
      <w:r>
        <w:rPr>
          <w:rFonts w:ascii="仿宋_GB2312" w:hAnsi="宋体" w:eastAsia="仿宋_GB2312"/>
          <w:sz w:val="32"/>
          <w:szCs w:val="32"/>
        </w:rPr>
        <w:t>36.98万元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numPr>
          <w:ilvl w:val="0"/>
          <w:numId w:val="4"/>
        </w:numPr>
        <w:spacing w:line="560" w:lineRule="exact"/>
        <w:ind w:firstLine="640" w:firstLineChars="200"/>
        <w:rPr>
          <w:rFonts w:hint="default" w:ascii="仿宋_GB2312" w:hAnsi="宋体" w:eastAsia="仿宋_GB2312"/>
          <w:sz w:val="32"/>
          <w:szCs w:val="32"/>
        </w:rPr>
      </w:pPr>
      <w:r>
        <w:rPr>
          <w:rFonts w:hint="default" w:ascii="仿宋_GB2312" w:hAnsi="宋体" w:eastAsia="仿宋_GB2312"/>
          <w:sz w:val="32"/>
          <w:szCs w:val="32"/>
        </w:rPr>
        <w:t>其他教育费附加安排的支出</w:t>
      </w:r>
      <w:r>
        <w:rPr>
          <w:rFonts w:ascii="仿宋_GB2312" w:hAnsi="宋体" w:eastAsia="仿宋_GB2312"/>
          <w:sz w:val="32"/>
          <w:szCs w:val="32"/>
        </w:rPr>
        <w:t>0.79万元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numPr>
          <w:ilvl w:val="0"/>
          <w:numId w:val="3"/>
        </w:num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社会保障和就业支出7.86万元，包括：机关事业单位基本养老保险缴费支出7.86万元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numPr>
          <w:ilvl w:val="0"/>
          <w:numId w:val="3"/>
        </w:num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卫生健康支出7.62万元，包括：</w:t>
      </w:r>
    </w:p>
    <w:p>
      <w:pPr>
        <w:numPr>
          <w:ilvl w:val="0"/>
          <w:numId w:val="5"/>
        </w:numPr>
        <w:spacing w:line="560" w:lineRule="exact"/>
        <w:ind w:left="420" w:leftChars="200" w:firstLine="320" w:firstLineChars="100"/>
        <w:rPr>
          <w:rFonts w:hint="default" w:ascii="仿宋_GB2312" w:hAnsi="宋体" w:eastAsia="仿宋_GB2312"/>
          <w:sz w:val="32"/>
          <w:szCs w:val="32"/>
        </w:rPr>
      </w:pPr>
      <w:r>
        <w:rPr>
          <w:rFonts w:ascii="仿宋_GB2312" w:hAnsi="宋体" w:eastAsia="仿宋_GB2312"/>
          <w:sz w:val="32"/>
          <w:szCs w:val="32"/>
        </w:rPr>
        <w:t>事业单位医疗支出6.63万元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numPr>
          <w:ilvl w:val="0"/>
          <w:numId w:val="5"/>
        </w:numPr>
        <w:spacing w:line="560" w:lineRule="exact"/>
        <w:ind w:left="420" w:leftChars="200" w:firstLine="320" w:firstLineChars="100"/>
        <w:rPr>
          <w:rFonts w:hint="default" w:ascii="仿宋_GB2312" w:hAnsi="宋体" w:eastAsia="仿宋_GB2312"/>
          <w:sz w:val="32"/>
          <w:szCs w:val="32"/>
        </w:rPr>
      </w:pPr>
      <w:r>
        <w:rPr>
          <w:rFonts w:hint="default" w:ascii="仿宋_GB2312" w:hAnsi="宋体" w:eastAsia="仿宋_GB2312"/>
          <w:sz w:val="32"/>
          <w:szCs w:val="32"/>
        </w:rPr>
        <w:t>其他行政事业单位医疗支出</w:t>
      </w:r>
      <w:r>
        <w:rPr>
          <w:rFonts w:ascii="仿宋_GB2312" w:hAnsi="宋体" w:eastAsia="仿宋_GB2312"/>
          <w:sz w:val="32"/>
          <w:szCs w:val="32"/>
        </w:rPr>
        <w:t>0.99万元</w:t>
      </w:r>
      <w:r>
        <w:rPr>
          <w:rFonts w:hint="eastAsia" w:ascii="仿宋_GB2312" w:hAnsi="宋体" w:eastAsia="仿宋_GB2312"/>
          <w:sz w:val="32"/>
          <w:szCs w:val="32"/>
          <w:lang w:eastAsia="zh-CN"/>
        </w:rPr>
        <w:t>。年初未安排预算，主要因为我单位为</w:t>
      </w:r>
      <w:r>
        <w:rPr>
          <w:rFonts w:hint="eastAsia" w:ascii="仿宋_GB2312" w:hAnsi="宋体" w:eastAsia="仿宋_GB2312"/>
          <w:sz w:val="32"/>
          <w:szCs w:val="32"/>
          <w:lang w:val="en-US" w:eastAsia="zh-CN"/>
        </w:rPr>
        <w:t>21年新成立单位，决算数大于年初预算数的原因是按照实际情况执行。</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40" w:lineRule="exact"/>
        <w:ind w:firstLine="640" w:firstLineChars="200"/>
        <w:outlineLvl w:val="2"/>
        <w:rPr>
          <w:rFonts w:hint="default" w:ascii="楷体_GB2312" w:hAnsi="宋体" w:eastAsia="楷体_GB2312"/>
          <w:b/>
          <w:sz w:val="32"/>
          <w:szCs w:val="32"/>
        </w:rPr>
      </w:pPr>
      <w:r>
        <w:rPr>
          <w:rFonts w:ascii="仿宋_GB2312" w:hAnsi="黑体" w:eastAsia="仿宋_GB2312" w:cs="黑体"/>
          <w:sz w:val="32"/>
          <w:szCs w:val="32"/>
        </w:rPr>
        <w:t>我单位本年未发生此项资金</w:t>
      </w:r>
    </w:p>
    <w:p>
      <w:pPr>
        <w:numPr>
          <w:ilvl w:val="0"/>
          <w:numId w:val="2"/>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40" w:lineRule="exact"/>
        <w:ind w:firstLine="640" w:firstLineChars="200"/>
        <w:outlineLvl w:val="2"/>
        <w:rPr>
          <w:rFonts w:hint="default" w:ascii="楷体_GB2312" w:hAnsi="宋体" w:eastAsia="楷体_GB2312"/>
          <w:b/>
          <w:sz w:val="32"/>
          <w:szCs w:val="32"/>
        </w:rPr>
      </w:pPr>
      <w:r>
        <w:rPr>
          <w:rFonts w:ascii="仿宋_GB2312" w:hAnsi="黑体" w:eastAsia="仿宋_GB2312" w:cs="黑体"/>
          <w:sz w:val="32"/>
          <w:szCs w:val="32"/>
        </w:rPr>
        <w:t>我单位本年未发生此项资金</w:t>
      </w:r>
    </w:p>
    <w:p>
      <w:pPr>
        <w:pStyle w:val="6"/>
        <w:numPr>
          <w:ilvl w:val="0"/>
          <w:numId w:val="1"/>
        </w:numPr>
        <w:autoSpaceDN w:val="0"/>
        <w:spacing w:line="560" w:lineRule="exact"/>
        <w:ind w:firstLine="640"/>
        <w:rPr>
          <w:rFonts w:hint="default" w:ascii="黑体" w:eastAsia="黑体"/>
          <w:sz w:val="32"/>
        </w:rPr>
      </w:pPr>
      <w:r>
        <w:rPr>
          <w:rFonts w:ascii="黑体" w:eastAsia="黑体"/>
          <w:sz w:val="32"/>
        </w:rPr>
        <w:t>一般公共预算财政拨款“三公”经费支出决算情况说明</w:t>
      </w:r>
    </w:p>
    <w:p>
      <w:pPr>
        <w:pStyle w:val="6"/>
        <w:autoSpaceDN w:val="0"/>
        <w:spacing w:line="560" w:lineRule="exact"/>
        <w:ind w:firstLine="640" w:firstLineChars="200"/>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0" w:firstLineChars="200"/>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0" w:firstLineChars="200"/>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spacing w:line="540" w:lineRule="exact"/>
        <w:ind w:firstLine="640" w:firstLineChars="200"/>
        <w:rPr>
          <w:rFonts w:hint="default" w:ascii="仿宋_GB2312" w:eastAsia="仿宋_GB2312"/>
          <w:sz w:val="32"/>
        </w:rPr>
      </w:pPr>
      <w:r>
        <w:rPr>
          <w:rFonts w:ascii="仿宋_GB2312" w:hAnsi="宋体"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90.18万元，其中：人员经费88.45万元，主要包括基本工资、津贴补贴、奖金、其他社会保障缴费、机关事业单位基本养老保险缴费、其他工资福利支出、离休费、退休费、抚恤金、生活补助、奖励金、住房公积金、采暖补贴、其他对个人和家庭补助的支出；日常公用经费1.73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2021年机关运行经费支出0万元，与上年持平，主要原因是我单位属于事业单位，无机关运行经费。</w:t>
      </w:r>
    </w:p>
    <w:p>
      <w:pPr>
        <w:pStyle w:val="6"/>
        <w:numPr>
          <w:ilvl w:val="0"/>
          <w:numId w:val="6"/>
        </w:numPr>
        <w:spacing w:line="560" w:lineRule="exact"/>
        <w:ind w:firstLine="640"/>
        <w:rPr>
          <w:rFonts w:hint="default" w:ascii="仿宋_GB2312" w:eastAsia="仿宋_GB2312"/>
          <w:sz w:val="32"/>
        </w:rPr>
      </w:pPr>
      <w:r>
        <w:rPr>
          <w:rFonts w:ascii="楷体_GB2312" w:eastAsia="楷体_GB2312"/>
          <w:b/>
          <w:sz w:val="32"/>
        </w:rPr>
        <w:t>政府采购支出情况。</w:t>
      </w:r>
    </w:p>
    <w:p>
      <w:pPr>
        <w:spacing w:line="540" w:lineRule="exact"/>
        <w:ind w:firstLine="640" w:firstLineChars="200"/>
        <w:rPr>
          <w:rFonts w:hint="default" w:ascii="仿宋_GB2312" w:hAnsi="黑体" w:eastAsia="仿宋_GB2312"/>
          <w:sz w:val="32"/>
          <w:szCs w:val="32"/>
        </w:rPr>
      </w:pPr>
      <w:r>
        <w:rPr>
          <w:rFonts w:ascii="仿宋_GB2312" w:hAnsi="黑体" w:eastAsia="仿宋_GB2312"/>
          <w:sz w:val="32"/>
          <w:szCs w:val="32"/>
        </w:rPr>
        <w:t>2021年政府采购支出总额0万元，其中：政府采购货物支出0万元，政府采购工程支出0万元，政府采购服务支出0万元。</w:t>
      </w:r>
    </w:p>
    <w:p>
      <w:pPr>
        <w:pStyle w:val="6"/>
        <w:spacing w:line="560" w:lineRule="exact"/>
        <w:ind w:firstLine="640"/>
        <w:rPr>
          <w:rFonts w:hint="default" w:ascii="仿宋_GB2312" w:eastAsia="仿宋_GB2312"/>
          <w:sz w:val="32"/>
        </w:rPr>
      </w:pPr>
      <w:r>
        <w:rPr>
          <w:rFonts w:ascii="楷体_GB2312" w:eastAsia="楷体_GB2312"/>
          <w:b/>
          <w:sz w:val="32"/>
        </w:rPr>
        <w:t>（三）国有资产占用情况。</w:t>
      </w:r>
      <w:r>
        <w:rPr>
          <w:rFonts w:ascii="仿宋_GB2312" w:hAnsi="黑体" w:eastAsia="仿宋_GB2312"/>
          <w:bCs/>
          <w:sz w:val="32"/>
        </w:rPr>
        <w:t>截至2021年12月31日，共有车辆0辆</w:t>
      </w:r>
      <w:r>
        <w:rPr>
          <w:rFonts w:ascii="仿宋_GB2312" w:hAnsi="仿宋_GB2312" w:eastAsia="仿宋_GB2312" w:cs="仿宋_GB2312"/>
          <w:bCs/>
          <w:sz w:val="32"/>
          <w:szCs w:val="32"/>
        </w:rPr>
        <w:t>；单位价值50万元以上通用设备0台（套），单价100万元以上专用设备0台（套）。</w:t>
      </w:r>
    </w:p>
    <w:p>
      <w:pPr>
        <w:widowControl/>
        <w:numPr>
          <w:ilvl w:val="0"/>
          <w:numId w:val="6"/>
        </w:numPr>
        <w:spacing w:line="540" w:lineRule="exact"/>
        <w:ind w:firstLine="640"/>
        <w:jc w:val="left"/>
        <w:rPr>
          <w:rFonts w:hint="default" w:ascii="楷体_GB2312" w:eastAsia="楷体_GB2312"/>
          <w:b/>
          <w:sz w:val="32"/>
        </w:rPr>
      </w:pPr>
      <w:r>
        <w:rPr>
          <w:rFonts w:ascii="楷体_GB2312" w:eastAsia="楷体_GB2312"/>
          <w:b/>
          <w:sz w:val="32"/>
        </w:rPr>
        <w:t>预算绩效管理工作开展情况。</w:t>
      </w:r>
    </w:p>
    <w:p>
      <w:pPr>
        <w:widowControl/>
        <w:spacing w:line="540" w:lineRule="exact"/>
        <w:jc w:val="left"/>
        <w:rPr>
          <w:rFonts w:hint="default"/>
        </w:rPr>
      </w:pPr>
      <w:r>
        <w:rPr>
          <w:rFonts w:ascii="楷体_GB2312" w:hAnsi="宋体" w:eastAsia="楷体_GB2312" w:cs="楷体_GB2312"/>
          <w:sz w:val="32"/>
          <w:szCs w:val="32"/>
          <w:lang w:bidi="ar"/>
        </w:rPr>
        <w:t>我单位无该业务发生。</w:t>
      </w:r>
    </w:p>
    <w:p>
      <w:pPr>
        <w:pStyle w:val="6"/>
        <w:spacing w:line="560" w:lineRule="exact"/>
        <w:rPr>
          <w:rFonts w:hint="default"/>
          <w:b/>
          <w:sz w:val="36"/>
        </w:rPr>
      </w:pP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沈阳市第一二六中学浑南分校2021年度决算表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151693"/>
    <w:multiLevelType w:val="singleLevel"/>
    <w:tmpl w:val="A7151693"/>
    <w:lvl w:ilvl="0" w:tentative="0">
      <w:start w:val="2"/>
      <w:numFmt w:val="chineseCounting"/>
      <w:suff w:val="nothing"/>
      <w:lvlText w:val="（%1）"/>
      <w:lvlJc w:val="left"/>
      <w:rPr>
        <w:rFonts w:hint="eastAsia"/>
      </w:rPr>
    </w:lvl>
  </w:abstractNum>
  <w:abstractNum w:abstractNumId="1">
    <w:nsid w:val="11B987C9"/>
    <w:multiLevelType w:val="singleLevel"/>
    <w:tmpl w:val="11B987C9"/>
    <w:lvl w:ilvl="0" w:tentative="0">
      <w:start w:val="1"/>
      <w:numFmt w:val="decimal"/>
      <w:suff w:val="nothing"/>
      <w:lvlText w:val="（%1）"/>
      <w:lvlJc w:val="left"/>
    </w:lvl>
  </w:abstractNum>
  <w:abstractNum w:abstractNumId="2">
    <w:nsid w:val="14A1422E"/>
    <w:multiLevelType w:val="singleLevel"/>
    <w:tmpl w:val="14A1422E"/>
    <w:lvl w:ilvl="0" w:tentative="0">
      <w:start w:val="1"/>
      <w:numFmt w:val="decimal"/>
      <w:suff w:val="nothing"/>
      <w:lvlText w:val="%1、"/>
      <w:lvlJc w:val="left"/>
    </w:lvl>
  </w:abstractNum>
  <w:abstractNum w:abstractNumId="3">
    <w:nsid w:val="18DBE998"/>
    <w:multiLevelType w:val="singleLevel"/>
    <w:tmpl w:val="18DBE998"/>
    <w:lvl w:ilvl="0" w:tentative="0">
      <w:start w:val="1"/>
      <w:numFmt w:val="decimal"/>
      <w:suff w:val="nothing"/>
      <w:lvlText w:val="（%1）"/>
      <w:lvlJc w:val="left"/>
    </w:lvl>
  </w:abstractNum>
  <w:abstractNum w:abstractNumId="4">
    <w:nsid w:val="633A8D2F"/>
    <w:multiLevelType w:val="singleLevel"/>
    <w:tmpl w:val="633A8D2F"/>
    <w:lvl w:ilvl="0" w:tentative="0">
      <w:start w:val="2"/>
      <w:numFmt w:val="chineseCounting"/>
      <w:suff w:val="nothing"/>
      <w:lvlText w:val="（%1）"/>
      <w:lvlJc w:val="left"/>
      <w:rPr>
        <w:rFonts w:hint="eastAsia"/>
      </w:rPr>
    </w:lvl>
  </w:abstractNum>
  <w:abstractNum w:abstractNumId="5">
    <w:nsid w:val="7BDD61FA"/>
    <w:multiLevelType w:val="singleLevel"/>
    <w:tmpl w:val="7BDD61FA"/>
    <w:lvl w:ilvl="0" w:tentative="0">
      <w:start w:val="2"/>
      <w:numFmt w:val="chineseCounting"/>
      <w:suff w:val="nothing"/>
      <w:lvlText w:val="%1、"/>
      <w:lvlJc w:val="left"/>
      <w:rPr>
        <w:rFonts w:hint="eastAsia"/>
      </w:rPr>
    </w:lvl>
  </w:abstractNum>
  <w:num w:numId="1">
    <w:abstractNumId w:val="5"/>
  </w:num>
  <w:num w:numId="2">
    <w:abstractNumId w:val="0"/>
  </w:num>
  <w:num w:numId="3">
    <w:abstractNumId w:val="2"/>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17511"/>
    <w:rsid w:val="00060165"/>
    <w:rsid w:val="000B596F"/>
    <w:rsid w:val="00100607"/>
    <w:rsid w:val="001D0B4A"/>
    <w:rsid w:val="002A11C1"/>
    <w:rsid w:val="00320394"/>
    <w:rsid w:val="00342E31"/>
    <w:rsid w:val="0038444A"/>
    <w:rsid w:val="00387684"/>
    <w:rsid w:val="0044142C"/>
    <w:rsid w:val="00485722"/>
    <w:rsid w:val="00505889"/>
    <w:rsid w:val="005812D3"/>
    <w:rsid w:val="005814A4"/>
    <w:rsid w:val="00590A8D"/>
    <w:rsid w:val="005C4DCE"/>
    <w:rsid w:val="006C6239"/>
    <w:rsid w:val="00753B9D"/>
    <w:rsid w:val="00756329"/>
    <w:rsid w:val="007F77B9"/>
    <w:rsid w:val="008040A1"/>
    <w:rsid w:val="00954778"/>
    <w:rsid w:val="00A17144"/>
    <w:rsid w:val="00A36D45"/>
    <w:rsid w:val="00A5357A"/>
    <w:rsid w:val="00A57A14"/>
    <w:rsid w:val="00B54181"/>
    <w:rsid w:val="00BC09C4"/>
    <w:rsid w:val="00CD2369"/>
    <w:rsid w:val="00DC3915"/>
    <w:rsid w:val="00E4305D"/>
    <w:rsid w:val="00F16B2B"/>
    <w:rsid w:val="00F67249"/>
    <w:rsid w:val="00F724E9"/>
    <w:rsid w:val="09C4782E"/>
    <w:rsid w:val="0C346B5F"/>
    <w:rsid w:val="0ECB7368"/>
    <w:rsid w:val="11612EA5"/>
    <w:rsid w:val="13E0137B"/>
    <w:rsid w:val="182C1032"/>
    <w:rsid w:val="1B3C0C73"/>
    <w:rsid w:val="1C635C29"/>
    <w:rsid w:val="1F220A99"/>
    <w:rsid w:val="24105B75"/>
    <w:rsid w:val="2944096C"/>
    <w:rsid w:val="2DE0490B"/>
    <w:rsid w:val="2E4F6256"/>
    <w:rsid w:val="36230505"/>
    <w:rsid w:val="40523B34"/>
    <w:rsid w:val="41563090"/>
    <w:rsid w:val="435F3167"/>
    <w:rsid w:val="4B997C7D"/>
    <w:rsid w:val="505711C1"/>
    <w:rsid w:val="51452564"/>
    <w:rsid w:val="54F6469B"/>
    <w:rsid w:val="5AE0764A"/>
    <w:rsid w:val="5B697371"/>
    <w:rsid w:val="5E6E243B"/>
    <w:rsid w:val="646233B1"/>
    <w:rsid w:val="673C6F2C"/>
    <w:rsid w:val="6F973F7E"/>
    <w:rsid w:val="724179B2"/>
    <w:rsid w:val="751842FA"/>
    <w:rsid w:val="7A715CD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11</Pages>
  <Words>3555</Words>
  <Characters>3857</Characters>
  <Lines>27</Lines>
  <Paragraphs>7</Paragraphs>
  <TotalTime>0</TotalTime>
  <ScaleCrop>false</ScaleCrop>
  <LinksUpToDate>false</LinksUpToDate>
  <CharactersWithSpaces>3894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2023-09-01T09:12:37Z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