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color w:val="FF0000"/>
          <w:sz w:val="52"/>
          <w:szCs w:val="52"/>
        </w:rPr>
      </w:pPr>
      <w:r>
        <w:rPr>
          <w:rFonts w:ascii="宋体" w:hAnsi="宋体"/>
          <w:b/>
          <w:sz w:val="52"/>
          <w:szCs w:val="52"/>
        </w:rPr>
        <w:t>沈阳市浑南区创新第一小学2021年度决算说明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第一部分    沈阳市浑南区创新第一小学概况</w:t>
      </w:r>
    </w:p>
    <w:p>
      <w:pPr>
        <w:pStyle w:val="6"/>
        <w:spacing w:line="560" w:lineRule="exact"/>
        <w:rPr>
          <w:rFonts w:hint="default" w:ascii="仿宋_GB2312" w:eastAsia="仿宋_GB2312"/>
          <w:sz w:val="32"/>
        </w:rPr>
      </w:pPr>
      <w:r>
        <w:rPr>
          <w:rFonts w:ascii="仿宋_GB2312" w:eastAsia="仿宋_GB2312"/>
          <w:sz w:val="32"/>
        </w:rPr>
        <w:t>一、主要职责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沈阳市浑南区创新第一小学2021年决算情况说明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仿宋_GB2312" w:eastAsia="仿宋_GB2312"/>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沈阳市浑南区创新第一小学2021年决算报表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r>
        <w:rPr>
          <w:b/>
          <w:sz w:val="36"/>
        </w:rPr>
        <w:t>第一部分 沈阳市浑南区创新第一小学概况</w:t>
      </w:r>
    </w:p>
    <w:p>
      <w:pPr>
        <w:pStyle w:val="6"/>
        <w:spacing w:line="560" w:lineRule="exact"/>
        <w:ind w:firstLine="640"/>
        <w:rPr>
          <w:rFonts w:hint="default" w:ascii="黑体" w:eastAsia="黑体"/>
          <w:sz w:val="32"/>
        </w:rPr>
      </w:pPr>
    </w:p>
    <w:p>
      <w:pPr>
        <w:pStyle w:val="6"/>
        <w:numPr>
          <w:ilvl w:val="0"/>
          <w:numId w:val="1"/>
        </w:numPr>
        <w:spacing w:line="560" w:lineRule="exact"/>
        <w:ind w:firstLine="640"/>
        <w:rPr>
          <w:rFonts w:hint="default" w:ascii="黑体" w:hAnsi="黑体" w:eastAsia="黑体" w:cs="黑体"/>
          <w:b/>
          <w:bCs/>
          <w:color w:val="FF0000"/>
          <w:sz w:val="32"/>
          <w:szCs w:val="32"/>
        </w:rPr>
      </w:pPr>
      <w:r>
        <w:rPr>
          <w:rFonts w:ascii="黑体" w:eastAsia="黑体"/>
          <w:sz w:val="32"/>
        </w:rPr>
        <w:t>主要职责</w:t>
      </w:r>
    </w:p>
    <w:p>
      <w:pPr>
        <w:widowControl/>
        <w:ind w:firstLine="640" w:firstLineChars="200"/>
        <w:jc w:val="left"/>
        <w:rPr>
          <w:rFonts w:hint="default" w:eastAsia="仿宋_GB2312" w:cs="宋体"/>
          <w:bCs/>
          <w:kern w:val="0"/>
          <w:sz w:val="32"/>
          <w:szCs w:val="32"/>
        </w:rPr>
      </w:pPr>
      <w:r>
        <w:rPr>
          <w:rFonts w:eastAsia="仿宋_GB2312" w:cs="宋体"/>
          <w:bCs/>
          <w:kern w:val="0"/>
          <w:sz w:val="32"/>
          <w:szCs w:val="32"/>
        </w:rPr>
        <w:t>（一）组织教育教学、科学研究活动，保证教育教学质量。维护教职工利益，保障教职工合法权益，以教职工和学生的人生幸福和生命质量作为重点。</w:t>
      </w:r>
    </w:p>
    <w:p>
      <w:pPr>
        <w:widowControl/>
        <w:ind w:firstLine="640" w:firstLineChars="200"/>
        <w:jc w:val="left"/>
        <w:rPr>
          <w:rFonts w:hint="default" w:eastAsia="仿宋_GB2312" w:cs="宋体"/>
          <w:bCs/>
          <w:kern w:val="0"/>
          <w:sz w:val="32"/>
          <w:szCs w:val="32"/>
        </w:rPr>
      </w:pPr>
      <w:r>
        <w:rPr>
          <w:rFonts w:eastAsia="仿宋_GB2312" w:cs="宋体"/>
          <w:bCs/>
          <w:kern w:val="0"/>
          <w:sz w:val="32"/>
          <w:szCs w:val="32"/>
        </w:rPr>
        <w:t>（二）制定学校发展规划，并抓好组织实施和落实情况。</w:t>
      </w:r>
    </w:p>
    <w:p>
      <w:pPr>
        <w:widowControl/>
        <w:ind w:firstLine="640" w:firstLineChars="200"/>
        <w:jc w:val="left"/>
        <w:rPr>
          <w:rFonts w:hint="default" w:eastAsia="仿宋_GB2312" w:cs="宋体"/>
          <w:bCs/>
          <w:kern w:val="0"/>
          <w:sz w:val="32"/>
          <w:szCs w:val="32"/>
        </w:rPr>
      </w:pPr>
      <w:r>
        <w:rPr>
          <w:rFonts w:eastAsia="仿宋_GB2312" w:cs="宋体"/>
          <w:bCs/>
          <w:kern w:val="0"/>
          <w:sz w:val="32"/>
          <w:szCs w:val="32"/>
        </w:rPr>
        <w:t>（三）科学管理、合理使用学校的设施和经费，并积极筹措办学资金，改善办学条件。</w:t>
      </w:r>
    </w:p>
    <w:p>
      <w:pPr>
        <w:pStyle w:val="6"/>
        <w:ind w:firstLine="640" w:firstLineChars="200"/>
        <w:jc w:val="left"/>
        <w:rPr>
          <w:rFonts w:hint="default" w:ascii="黑体" w:eastAsia="黑体"/>
          <w:sz w:val="32"/>
          <w:szCs w:val="32"/>
        </w:rPr>
      </w:pPr>
      <w:r>
        <w:rPr>
          <w:rFonts w:eastAsia="仿宋_GB2312"/>
          <w:bCs/>
          <w:sz w:val="32"/>
          <w:szCs w:val="32"/>
        </w:rPr>
        <w:t>（四）依法接受各级教育行政部门的检查指导和人民群众的监督。</w:t>
      </w:r>
    </w:p>
    <w:p>
      <w:pPr>
        <w:ind w:firstLine="640" w:firstLineChars="200"/>
        <w:jc w:val="left"/>
        <w:rPr>
          <w:rFonts w:hint="default" w:eastAsia="仿宋_GB2312" w:cs="宋体"/>
          <w:bCs/>
          <w:kern w:val="0"/>
          <w:sz w:val="32"/>
          <w:szCs w:val="32"/>
        </w:rPr>
      </w:pPr>
      <w:r>
        <w:rPr>
          <w:rFonts w:eastAsia="仿宋_GB2312" w:cs="宋体"/>
          <w:bCs/>
          <w:kern w:val="0"/>
          <w:sz w:val="32"/>
          <w:szCs w:val="32"/>
        </w:rPr>
        <w:t>（五）财务管理方面：</w:t>
      </w:r>
    </w:p>
    <w:p>
      <w:pPr>
        <w:widowControl/>
        <w:ind w:firstLine="640" w:firstLineChars="200"/>
        <w:jc w:val="left"/>
        <w:rPr>
          <w:rFonts w:hint="default" w:eastAsia="仿宋_GB2312" w:cs="宋体"/>
          <w:bCs/>
          <w:kern w:val="0"/>
          <w:sz w:val="32"/>
          <w:szCs w:val="32"/>
        </w:rPr>
      </w:pPr>
      <w:r>
        <w:rPr>
          <w:rFonts w:eastAsia="仿宋_GB2312" w:cs="宋体"/>
          <w:bCs/>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widowControl/>
        <w:wordWrap w:val="0"/>
        <w:ind w:firstLine="640" w:firstLineChars="200"/>
        <w:jc w:val="left"/>
        <w:rPr>
          <w:rFonts w:hint="default" w:ascii="黑体" w:eastAsia="黑体"/>
          <w:sz w:val="32"/>
        </w:rPr>
      </w:pPr>
      <w:r>
        <w:rPr>
          <w:rFonts w:eastAsia="仿宋_GB2312" w:cs="宋体"/>
          <w:bCs/>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时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pStyle w:val="6"/>
        <w:spacing w:line="560" w:lineRule="exact"/>
        <w:ind w:firstLine="640" w:firstLineChars="200"/>
        <w:rPr>
          <w:rFonts w:hint="default" w:ascii="黑体" w:eastAsia="黑体"/>
          <w:sz w:val="32"/>
        </w:rPr>
      </w:pPr>
      <w:r>
        <w:rPr>
          <w:rFonts w:ascii="黑体" w:eastAsia="黑体"/>
          <w:sz w:val="32"/>
        </w:rPr>
        <w:t>二、决算单位构成</w:t>
      </w:r>
    </w:p>
    <w:p>
      <w:pPr>
        <w:pStyle w:val="6"/>
        <w:ind w:firstLine="640" w:firstLineChars="200"/>
        <w:jc w:val="left"/>
        <w:rPr>
          <w:rFonts w:hint="default" w:ascii="Times New Roman" w:hAnsi="Times New Roman" w:eastAsia="仿宋_GB2312" w:cs="宋体"/>
          <w:bCs/>
          <w:kern w:val="0"/>
          <w:sz w:val="32"/>
          <w:szCs w:val="32"/>
        </w:rPr>
      </w:pPr>
      <w:r>
        <w:rPr>
          <w:rFonts w:ascii="Times New Roman" w:hAnsi="Times New Roman" w:eastAsia="仿宋_GB2312" w:cs="宋体"/>
          <w:bCs/>
          <w:kern w:val="0"/>
          <w:sz w:val="32"/>
          <w:szCs w:val="32"/>
        </w:rPr>
        <w:t>沈阳市浑南区创新第一小学是纳入浑南区教育局2021年决算编制范围的二级预算单位，本单位无下设机构。</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第二部分 沈阳市浑南区创新第一小学2021年决算情况说明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（一）收入总计131.65万元，包括：</w:t>
      </w:r>
    </w:p>
    <w:p>
      <w:pPr>
        <w:pStyle w:val="6"/>
        <w:ind w:firstLine="640" w:firstLineChars="200"/>
        <w:jc w:val="left"/>
        <w:rPr>
          <w:rFonts w:hint="default" w:ascii="仿宋_GB2312" w:eastAsia="仿宋_GB2312"/>
          <w:sz w:val="32"/>
        </w:rPr>
      </w:pPr>
      <w:r>
        <w:rPr>
          <w:rFonts w:ascii="仿宋_GB2312" w:eastAsia="仿宋_GB2312"/>
          <w:sz w:val="32"/>
        </w:rPr>
        <w:t>1.财政拨款收入131.65万元，占收入总计的100%。其中：一般公共预算财政拨款收入131.65万元，政府性基金收入0万元，国有资本经营预算财政拨款收入0万元。</w:t>
      </w:r>
    </w:p>
    <w:p>
      <w:pPr>
        <w:pStyle w:val="6"/>
        <w:ind w:firstLine="640" w:firstLineChars="200"/>
        <w:jc w:val="left"/>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.上年结转和结余0万元。</w:t>
      </w:r>
    </w:p>
    <w:p>
      <w:pPr>
        <w:pStyle w:val="6"/>
        <w:ind w:firstLine="640" w:firstLineChars="200"/>
        <w:jc w:val="left"/>
        <w:rPr>
          <w:rFonts w:hint="default" w:ascii="仿宋_GB2312" w:eastAsia="仿宋_GB2312"/>
          <w:sz w:val="32"/>
        </w:rPr>
      </w:pPr>
      <w:r>
        <w:rPr>
          <w:rFonts w:ascii="仿宋_GB2312" w:eastAsia="仿宋_GB2312"/>
          <w:sz w:val="32"/>
        </w:rPr>
        <w:t>与上年相比，今年收入增加131.65万元，增长100%，主要原因：我校是2021年新建校。</w:t>
      </w:r>
    </w:p>
    <w:p>
      <w:pPr>
        <w:pStyle w:val="6"/>
        <w:numPr>
          <w:ilvl w:val="0"/>
          <w:numId w:val="2"/>
        </w:numPr>
        <w:spacing w:line="560" w:lineRule="exact"/>
        <w:ind w:firstLine="660"/>
        <w:rPr>
          <w:rFonts w:hint="default" w:ascii="楷体_GB2312" w:eastAsia="楷体_GB2312"/>
          <w:b/>
          <w:sz w:val="32"/>
        </w:rPr>
      </w:pPr>
      <w:r>
        <w:rPr>
          <w:rFonts w:ascii="楷体_GB2312" w:eastAsia="楷体_GB2312"/>
          <w:b/>
          <w:sz w:val="32"/>
        </w:rPr>
        <w:t>支出总计131.65万元，包括：</w:t>
      </w:r>
    </w:p>
    <w:p>
      <w:pPr>
        <w:pStyle w:val="6"/>
        <w:ind w:firstLine="640" w:firstLineChars="200"/>
        <w:jc w:val="left"/>
        <w:rPr>
          <w:rFonts w:hint="default" w:ascii="仿宋_GB2312" w:eastAsia="仿宋_GB2312"/>
          <w:sz w:val="32"/>
          <w:highlight w:val="yellow"/>
        </w:rPr>
      </w:pPr>
      <w:r>
        <w:rPr>
          <w:rFonts w:ascii="仿宋_GB2312" w:eastAsia="仿宋_GB2312"/>
          <w:sz w:val="32"/>
        </w:rPr>
        <w:t>1.基本支出126.51万元，占支出总计的96.1%。主要是为保障机构正常运转、完成日常工作任务而发生的各项支出，其中：工资福利支出75.21万元，对个人和家庭的补助支出0万元，商品和服务支出30.54万元，资本性支出20.76万元。</w:t>
      </w:r>
    </w:p>
    <w:p>
      <w:pPr>
        <w:ind w:firstLine="640" w:firstLineChars="200"/>
        <w:jc w:val="left"/>
        <w:rPr>
          <w:rFonts w:hint="default" w:ascii="宋体" w:hAnsi="宋体" w:cs="Arial"/>
          <w:b/>
          <w:bCs/>
          <w:color w:val="000000"/>
          <w:kern w:val="0"/>
          <w:sz w:val="22"/>
        </w:rPr>
      </w:pPr>
      <w:r>
        <w:rPr>
          <w:rFonts w:ascii="仿宋_GB2312" w:eastAsia="仿宋_GB2312"/>
          <w:sz w:val="32"/>
        </w:rPr>
        <w:t>2.项目支出5.14万元，占支出总计的3.9%。</w:t>
      </w:r>
      <w:r>
        <w:rPr>
          <w:rFonts w:ascii="仿宋_GB2312" w:hAnsi="宋体" w:eastAsia="仿宋_GB2312"/>
          <w:sz w:val="32"/>
          <w:szCs w:val="32"/>
        </w:rPr>
        <w:t>主要包括普通教育和教育费附加安排的支出等业务支出。</w:t>
      </w:r>
    </w:p>
    <w:p>
      <w:pPr>
        <w:pStyle w:val="6"/>
        <w:ind w:firstLine="640" w:firstLineChars="200"/>
        <w:jc w:val="left"/>
        <w:rPr>
          <w:rFonts w:hint="default" w:ascii="仿宋_GB2312" w:eastAsia="仿宋_GB2312"/>
          <w:sz w:val="32"/>
        </w:rPr>
      </w:pPr>
      <w:r>
        <w:rPr>
          <w:rFonts w:ascii="仿宋_GB2312" w:eastAsia="仿宋_GB2312"/>
          <w:sz w:val="32"/>
        </w:rPr>
        <w:t>与上年相比，今年支出增加131.65万元，增长100%，主要原因：我校是2021年新建校。</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（三）年末结转和结余0万元</w:t>
      </w:r>
    </w:p>
    <w:p>
      <w:pPr>
        <w:ind w:firstLine="640" w:firstLineChars="200"/>
        <w:jc w:val="left"/>
        <w:rPr>
          <w:rFonts w:hint="default" w:ascii="仿宋_GB2312" w:eastAsia="仿宋_GB2312"/>
          <w:sz w:val="32"/>
        </w:rPr>
      </w:pPr>
      <w:r>
        <w:rPr>
          <w:rFonts w:ascii="仿宋_GB2312" w:hAnsi="宋体" w:eastAsia="仿宋_GB2312"/>
          <w:sz w:val="32"/>
          <w:szCs w:val="32"/>
        </w:rPr>
        <w:t>没有形成的结余。与上年相比，今年结转结余增加0万元，增长0%，主要原因：</w:t>
      </w:r>
      <w:r>
        <w:rPr>
          <w:rFonts w:hint="eastAsia" w:ascii="仿宋_GB2312" w:hAnsi="宋体" w:eastAsia="仿宋_GB2312"/>
          <w:sz w:val="32"/>
          <w:szCs w:val="32"/>
          <w:lang w:eastAsia="zh-CN"/>
        </w:rPr>
        <w:t>年末均无结转结余资金</w:t>
      </w:r>
      <w:r>
        <w:rPr>
          <w:rFonts w:ascii="仿宋_GB2312" w:hAnsi="宋体" w:eastAsia="仿宋_GB2312"/>
          <w:sz w:val="32"/>
          <w:szCs w:val="32"/>
        </w:rPr>
        <w:t>。</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ind w:firstLine="640" w:firstLineChars="200"/>
        <w:jc w:val="left"/>
        <w:rPr>
          <w:rFonts w:hint="default" w:ascii="仿宋_GB2312" w:eastAsia="仿宋_GB2312"/>
          <w:sz w:val="32"/>
        </w:rPr>
      </w:pPr>
      <w:r>
        <w:rPr>
          <w:rFonts w:ascii="仿宋_GB2312" w:eastAsia="仿宋_GB2312"/>
          <w:sz w:val="32"/>
        </w:rPr>
        <w:t>2021年度财政拨款支出131.65万元，其中：基本支出126.51万元，项目支出5.14万元。与上年相比，财政拨款支出增加131.65万元，增长100%，主要原因：我校是2021年新建校。未安排年初预算。</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ind w:firstLine="640" w:firstLineChars="200"/>
        <w:jc w:val="left"/>
        <w:rPr>
          <w:rFonts w:hint="default" w:ascii="仿宋_GB2312" w:hAnsi="宋体" w:eastAsia="仿宋_GB2312"/>
          <w:sz w:val="32"/>
          <w:szCs w:val="32"/>
        </w:rPr>
      </w:pPr>
      <w:r>
        <w:rPr>
          <w:rFonts w:ascii="仿宋_GB2312" w:hAnsi="宋体" w:eastAsia="仿宋_GB2312"/>
          <w:sz w:val="32"/>
          <w:szCs w:val="32"/>
        </w:rPr>
        <w:t>2021年度一般公共预算财政拨款支出131.65万元，按支出功能分类科目分，包括：教育支出119.17万元，占90.52%；社会保障和就业支出6.37万元,占4.84%；卫生健康支出6.11万元,占4.64%。</w:t>
      </w:r>
    </w:p>
    <w:p>
      <w:pPr>
        <w:ind w:firstLine="640" w:firstLineChars="200"/>
        <w:jc w:val="left"/>
        <w:rPr>
          <w:rFonts w:hint="default" w:ascii="仿宋_GB2312" w:hAnsi="宋体" w:eastAsia="仿宋_GB2312"/>
          <w:sz w:val="32"/>
          <w:szCs w:val="32"/>
        </w:rPr>
      </w:pPr>
      <w:r>
        <w:rPr>
          <w:rFonts w:ascii="仿宋_GB2312" w:hAnsi="宋体" w:eastAsia="仿宋_GB2312"/>
          <w:sz w:val="32"/>
          <w:szCs w:val="32"/>
        </w:rPr>
        <w:t>1.教育支出119.17万元，具体包括：小学教育117.73万元，其他教育费附加安排1.44万元</w:t>
      </w:r>
      <w:r>
        <w:rPr>
          <w:rFonts w:hint="eastAsia" w:ascii="仿宋_GB2312" w:hAnsi="宋体" w:eastAsia="仿宋_GB2312"/>
          <w:sz w:val="32"/>
          <w:szCs w:val="32"/>
          <w:lang w:eastAsia="zh-CN"/>
        </w:rPr>
        <w:t>，年初未安排预算，主要因为我单位为</w:t>
      </w:r>
      <w:r>
        <w:rPr>
          <w:rFonts w:hint="eastAsia" w:ascii="仿宋_GB2312" w:hAnsi="宋体" w:eastAsia="仿宋_GB2312"/>
          <w:sz w:val="32"/>
          <w:szCs w:val="32"/>
          <w:lang w:val="en-US" w:eastAsia="zh-CN"/>
        </w:rPr>
        <w:t>21年新成立单位，决算数大于年初预算数的原因是按照实际情况执行。</w:t>
      </w:r>
    </w:p>
    <w:p>
      <w:pPr>
        <w:ind w:firstLine="640" w:firstLineChars="200"/>
        <w:jc w:val="left"/>
        <w:rPr>
          <w:rFonts w:hint="default" w:ascii="仿宋_GB2312" w:hAnsi="宋体" w:eastAsia="仿宋_GB2312"/>
          <w:sz w:val="32"/>
          <w:szCs w:val="32"/>
        </w:rPr>
      </w:pPr>
      <w:r>
        <w:rPr>
          <w:rFonts w:ascii="仿宋_GB2312" w:hAnsi="宋体" w:eastAsia="仿宋_GB2312"/>
          <w:sz w:val="32"/>
          <w:szCs w:val="32"/>
        </w:rPr>
        <w:t>2.社会保障和就业支出6.37万元，具体包括：机关事业单位基本养老保险缴费支出6.37万元，</w:t>
      </w:r>
      <w:r>
        <w:rPr>
          <w:rFonts w:hint="eastAsia" w:ascii="仿宋_GB2312" w:hAnsi="宋体" w:eastAsia="仿宋_GB2312"/>
          <w:sz w:val="32"/>
          <w:szCs w:val="32"/>
          <w:lang w:eastAsia="zh-CN"/>
        </w:rPr>
        <w:t>年初未安排预算，主要因为我单位为</w:t>
      </w:r>
      <w:r>
        <w:rPr>
          <w:rFonts w:hint="eastAsia" w:ascii="仿宋_GB2312" w:hAnsi="宋体" w:eastAsia="仿宋_GB2312"/>
          <w:sz w:val="32"/>
          <w:szCs w:val="32"/>
          <w:lang w:val="en-US" w:eastAsia="zh-CN"/>
        </w:rPr>
        <w:t>21年新成立单位，决算数大于年初预算数的原因是按照实际情况执行</w:t>
      </w:r>
      <w:r>
        <w:rPr>
          <w:rFonts w:ascii="仿宋_GB2312" w:hAnsi="宋体" w:eastAsia="仿宋_GB2312"/>
          <w:sz w:val="32"/>
          <w:szCs w:val="32"/>
        </w:rPr>
        <w:t>。</w:t>
      </w:r>
    </w:p>
    <w:p>
      <w:pPr>
        <w:ind w:firstLine="640" w:firstLineChars="200"/>
        <w:jc w:val="left"/>
        <w:rPr>
          <w:rFonts w:hint="default" w:ascii="仿宋_GB2312" w:hAnsi="宋体" w:eastAsia="仿宋_GB2312"/>
          <w:sz w:val="32"/>
          <w:szCs w:val="32"/>
        </w:rPr>
      </w:pPr>
      <w:r>
        <w:rPr>
          <w:rFonts w:ascii="仿宋_GB2312" w:hAnsi="宋体" w:eastAsia="仿宋_GB2312"/>
          <w:sz w:val="32"/>
          <w:szCs w:val="32"/>
        </w:rPr>
        <w:t>3.卫生健康支出6.11万元，具体包括：事业单位医疗5.36万元，其他行政事业单位医疗支出0.75万元。</w:t>
      </w:r>
      <w:r>
        <w:rPr>
          <w:rFonts w:hint="eastAsia" w:ascii="仿宋_GB2312" w:hAnsi="宋体" w:eastAsia="仿宋_GB2312"/>
          <w:sz w:val="32"/>
          <w:szCs w:val="32"/>
          <w:lang w:eastAsia="zh-CN"/>
        </w:rPr>
        <w:t>年初未安排预算，主要因为我单位为</w:t>
      </w:r>
      <w:r>
        <w:rPr>
          <w:rFonts w:hint="eastAsia" w:ascii="仿宋_GB2312" w:hAnsi="宋体" w:eastAsia="仿宋_GB2312"/>
          <w:sz w:val="32"/>
          <w:szCs w:val="32"/>
          <w:lang w:val="en-US" w:eastAsia="zh-CN"/>
        </w:rPr>
        <w:t>21年新成立单位，决算数大于年初预算数的原因是按照实际情况执行</w:t>
      </w:r>
      <w:r>
        <w:rPr>
          <w:rFonts w:ascii="仿宋_GB2312" w:hAnsi="宋体" w:eastAsia="仿宋_GB2312"/>
          <w:sz w:val="32"/>
          <w:szCs w:val="32"/>
        </w:rPr>
        <w:t>。</w:t>
      </w:r>
    </w:p>
    <w:p>
      <w:pPr>
        <w:spacing w:line="540" w:lineRule="exact"/>
        <w:ind w:firstLine="643" w:firstLineChars="200"/>
        <w:outlineLvl w:val="2"/>
        <w:rPr>
          <w:rFonts w:hint="default" w:ascii="黑体" w:hAnsi="黑体" w:eastAsia="黑体" w:cs="黑体"/>
          <w:b/>
          <w:color w:val="FF0000"/>
          <w:sz w:val="32"/>
          <w:szCs w:val="32"/>
        </w:rPr>
      </w:pPr>
      <w:r>
        <w:rPr>
          <w:rFonts w:ascii="楷体_GB2312" w:hAnsi="宋体" w:eastAsia="楷体_GB2312"/>
          <w:b/>
          <w:sz w:val="32"/>
          <w:szCs w:val="32"/>
        </w:rPr>
        <w:t>（三）政府性基金预算财政拨款支出情况。</w:t>
      </w:r>
    </w:p>
    <w:p>
      <w:pPr>
        <w:ind w:firstLine="640" w:firstLineChars="200"/>
        <w:jc w:val="left"/>
        <w:rPr>
          <w:rFonts w:hint="default" w:ascii="仿宋_GB2312" w:hAnsi="宋体" w:eastAsia="仿宋_GB2312"/>
          <w:sz w:val="32"/>
          <w:szCs w:val="32"/>
        </w:rPr>
      </w:pPr>
      <w:r>
        <w:rPr>
          <w:rFonts w:ascii="仿宋_GB2312" w:hAnsi="宋体" w:eastAsia="仿宋_GB2312"/>
          <w:sz w:val="32"/>
          <w:szCs w:val="32"/>
        </w:rPr>
        <w:t>2021年度政府性基金预算财政拨款支出0万元，占0%，主要是本年无此业务发生。</w:t>
      </w:r>
    </w:p>
    <w:p>
      <w:pPr>
        <w:spacing w:line="560" w:lineRule="exact"/>
        <w:ind w:firstLine="660"/>
        <w:rPr>
          <w:rFonts w:hint="default" w:ascii="黑体" w:hAnsi="黑体" w:eastAsia="黑体" w:cs="黑体"/>
          <w:b/>
          <w:color w:val="FF0000"/>
          <w:sz w:val="32"/>
          <w:szCs w:val="32"/>
        </w:rPr>
      </w:pPr>
      <w:r>
        <w:rPr>
          <w:rFonts w:ascii="楷体_GB2312" w:hAnsi="宋体" w:eastAsia="楷体_GB2312"/>
          <w:b/>
          <w:sz w:val="32"/>
          <w:szCs w:val="32"/>
        </w:rPr>
        <w:t>（四）国有资本经营预算财政拨款支出情况。</w:t>
      </w:r>
    </w:p>
    <w:p>
      <w:pPr>
        <w:ind w:firstLine="640" w:firstLineChars="200"/>
        <w:jc w:val="left"/>
        <w:rPr>
          <w:rFonts w:hint="default" w:ascii="仿宋_GB2312" w:hAnsi="宋体" w:eastAsia="仿宋_GB2312"/>
          <w:sz w:val="32"/>
          <w:szCs w:val="32"/>
        </w:rPr>
      </w:pPr>
      <w:r>
        <w:rPr>
          <w:rFonts w:ascii="仿宋_GB2312" w:hAnsi="宋体" w:eastAsia="仿宋_GB2312"/>
          <w:sz w:val="32"/>
          <w:szCs w:val="32"/>
        </w:rPr>
        <w:t>2021年度国有资本经营预算财政拨款支出0万元，占0%，主要是本年无此业务发生。</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仿宋_GB2312" w:eastAsia="仿宋_GB2312"/>
          <w:sz w:val="32"/>
          <w:szCs w:val="32"/>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ind w:firstLine="640" w:firstLineChars="200"/>
        <w:jc w:val="left"/>
        <w:rPr>
          <w:rFonts w:hint="default" w:ascii="仿宋_GB2312" w:eastAsia="仿宋_GB2312"/>
          <w:sz w:val="32"/>
        </w:rPr>
      </w:pPr>
      <w:r>
        <w:rPr>
          <w:rFonts w:ascii="仿宋_GB2312" w:eastAsia="仿宋_GB2312"/>
          <w:sz w:val="32"/>
        </w:rPr>
        <w:t>2021年度一般公共预算财政拨款基本支出126.51万元，其中：人员经费75.21万元，主要包括基本工资、津贴补贴、奖金、其他社会保障缴费、机关事业单位基本养老保险缴费、其他工资福利支出、离休费、退休费、抚恤金、生活补助、奖励金、住房公积金、采暖补贴、其他对个人和家庭补助的支出；日常公用经费51.3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ind w:firstLine="640" w:firstLineChars="200"/>
        <w:jc w:val="left"/>
        <w:rPr>
          <w:rFonts w:hint="default" w:ascii="仿宋_GB2312" w:eastAsia="仿宋_GB2312"/>
          <w:sz w:val="32"/>
        </w:rPr>
      </w:pPr>
      <w:r>
        <w:rPr>
          <w:rFonts w:ascii="仿宋_GB2312" w:eastAsia="仿宋_GB2312"/>
          <w:sz w:val="32"/>
        </w:rPr>
        <w:t>2021年度机关运行经费支出0万元，与上年持平，主要原因是沈阳市浑南区创新第一小学属于事业单位，无机关运行经费。</w:t>
      </w:r>
    </w:p>
    <w:p>
      <w:pPr>
        <w:pStyle w:val="6"/>
        <w:numPr>
          <w:ilvl w:val="0"/>
          <w:numId w:val="2"/>
        </w:numPr>
        <w:spacing w:line="560" w:lineRule="exact"/>
        <w:ind w:firstLine="660"/>
        <w:rPr>
          <w:rFonts w:hint="default" w:ascii="楷体_GB2312" w:eastAsia="楷体_GB2312"/>
          <w:b/>
          <w:sz w:val="32"/>
        </w:rPr>
      </w:pPr>
      <w:r>
        <w:rPr>
          <w:rFonts w:ascii="楷体_GB2312" w:eastAsia="楷体_GB2312"/>
          <w:b/>
          <w:sz w:val="32"/>
        </w:rPr>
        <w:t>政府采购支出情况。</w:t>
      </w:r>
    </w:p>
    <w:p>
      <w:pPr>
        <w:pStyle w:val="6"/>
        <w:ind w:firstLine="640" w:firstLineChars="200"/>
        <w:jc w:val="left"/>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授予中小企业合同金额0万元，占政府采购支出总额的0%，其中：授予小微企业合同金额0万元，占政府采购支出总额的0%；货物采购授予中小企业合同金额占货物支出金额的0%；工程采购授予中小企业合同金额占工程支出金额的0%；服务采购授予中小企业合同金额占服务支出金额的0%。</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ind w:firstLine="640" w:firstLineChars="200"/>
        <w:jc w:val="left"/>
        <w:rPr>
          <w:rFonts w:hint="default" w:ascii="仿宋_GB2312" w:eastAsia="仿宋_GB2312"/>
          <w:sz w:val="32"/>
        </w:rPr>
      </w:pPr>
      <w:r>
        <w:rPr>
          <w:rFonts w:ascii="仿宋_GB2312" w:eastAsia="仿宋_GB2312"/>
          <w:sz w:val="32"/>
        </w:rPr>
        <w:t>截至2021年12月31日，共有车辆0辆，其中：副省级以上领导干部用车0辆，主要领导干部用车0辆，机要通讯用车0辆，应急保障用车0辆，执法执勤用车0辆，特种专业技术用车0辆，离退休干部用车0辆，其他用车0辆；单位价值50万元以上通用设备0台（套），单价100万元以上专用设备0台（套）。</w:t>
      </w:r>
    </w:p>
    <w:p>
      <w:pPr>
        <w:widowControl/>
        <w:numPr>
          <w:ilvl w:val="0"/>
          <w:numId w:val="2"/>
        </w:numPr>
        <w:spacing w:line="560" w:lineRule="exact"/>
        <w:ind w:firstLine="660"/>
        <w:rPr>
          <w:rFonts w:hint="default" w:ascii="楷体_GB2312" w:eastAsia="楷体_GB2312"/>
          <w:b/>
          <w:sz w:val="32"/>
        </w:rPr>
      </w:pPr>
      <w:r>
        <w:rPr>
          <w:rFonts w:ascii="楷体_GB2312" w:eastAsia="楷体_GB2312"/>
          <w:b/>
          <w:sz w:val="32"/>
        </w:rPr>
        <w:t>预算绩效管理工作开展情况。</w:t>
      </w:r>
    </w:p>
    <w:p>
      <w:pPr>
        <w:widowControl/>
        <w:ind w:firstLine="640" w:firstLineChars="200"/>
        <w:jc w:val="left"/>
        <w:rPr>
          <w:rFonts w:hint="default" w:ascii="宋体" w:hAnsi="宋体"/>
          <w:b/>
          <w:sz w:val="36"/>
          <w:szCs w:val="36"/>
        </w:rPr>
      </w:pPr>
      <w:r>
        <w:rPr>
          <w:rFonts w:ascii="仿宋_GB2312" w:hAnsi="黑体" w:eastAsia="仿宋_GB2312"/>
          <w:sz w:val="32"/>
          <w:szCs w:val="32"/>
        </w:rPr>
        <w:t>2021年不涉及民生项目和重点支出项目，因此本单位无绩效自评及部门评价</w:t>
      </w:r>
      <w:r>
        <w:rPr>
          <w:rFonts w:hAnsi="宋体" w:eastAsia="仿宋_GB2312" w:cs="仿宋_GB2312"/>
          <w:b/>
          <w:bCs/>
          <w:sz w:val="32"/>
          <w:szCs w:val="32"/>
          <w:lang w:bidi="ar"/>
        </w:rPr>
        <w:t>。</w:t>
      </w:r>
    </w:p>
    <w:p>
      <w:pPr>
        <w:pStyle w:val="6"/>
        <w:spacing w:line="560" w:lineRule="exact"/>
        <w:rPr>
          <w:rFonts w:hint="default"/>
          <w:b/>
          <w:sz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pPr>
    </w:p>
    <w:p>
      <w:pPr>
        <w:pStyle w:val="6"/>
        <w:spacing w:line="560" w:lineRule="exact"/>
        <w:ind w:firstLine="640"/>
        <w:rPr>
          <w:rFonts w:hint="default" w:ascii="仿宋_GB2312" w:eastAsia="仿宋_GB2312"/>
          <w:i/>
          <w:sz w:val="32"/>
          <w:u w:val="single"/>
        </w:rPr>
      </w:pPr>
    </w:p>
    <w:p>
      <w:pPr>
        <w:pStyle w:val="6"/>
        <w:spacing w:line="560" w:lineRule="exact"/>
        <w:ind w:firstLine="640"/>
        <w:rPr>
          <w:rFonts w:hint="default" w:ascii="仿宋_GB2312" w:eastAsia="仿宋_GB2312"/>
          <w:i/>
          <w:sz w:val="32"/>
          <w:u w:val="single"/>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sectPr>
          <w:headerReference r:id="rId3" w:type="default"/>
          <w:pgSz w:w="11906" w:h="16838"/>
          <w:pgMar w:top="1440" w:right="1800" w:bottom="1440" w:left="1800" w:header="851" w:footer="992" w:gutter="0"/>
          <w:cols w:space="425" w:num="1"/>
          <w:docGrid w:type="lines" w:linePitch="312" w:charSpace="0"/>
        </w:sect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 沈阳市浑南区创新第一小学2021年度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5C808A"/>
    <w:multiLevelType w:val="singleLevel"/>
    <w:tmpl w:val="875C808A"/>
    <w:lvl w:ilvl="0" w:tentative="0">
      <w:start w:val="2"/>
      <w:numFmt w:val="chineseCounting"/>
      <w:suff w:val="nothing"/>
      <w:lvlText w:val="（%1）"/>
      <w:lvlJc w:val="left"/>
      <w:rPr>
        <w:rFonts w:hint="eastAsia"/>
      </w:rPr>
    </w:lvl>
  </w:abstractNum>
  <w:abstractNum w:abstractNumId="1">
    <w:nsid w:val="CF0452CE"/>
    <w:multiLevelType w:val="singleLevel"/>
    <w:tmpl w:val="CF0452CE"/>
    <w:lvl w:ilvl="0" w:tentative="0">
      <w:start w:val="1"/>
      <w:numFmt w:val="chineseCounting"/>
      <w:suff w:val="nothing"/>
      <w:lvlText w:val="%1、"/>
      <w:lvlJc w:val="left"/>
      <w:rPr>
        <w:rFonts w:hint="eastAsia"/>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35D40"/>
    <w:rsid w:val="001D0B4A"/>
    <w:rsid w:val="00257831"/>
    <w:rsid w:val="00320394"/>
    <w:rsid w:val="00342E31"/>
    <w:rsid w:val="0038444A"/>
    <w:rsid w:val="00387684"/>
    <w:rsid w:val="0044142C"/>
    <w:rsid w:val="00485722"/>
    <w:rsid w:val="00505889"/>
    <w:rsid w:val="00521D19"/>
    <w:rsid w:val="005812D3"/>
    <w:rsid w:val="005814A4"/>
    <w:rsid w:val="00590A8D"/>
    <w:rsid w:val="005C4DCE"/>
    <w:rsid w:val="00753B9D"/>
    <w:rsid w:val="00756329"/>
    <w:rsid w:val="007F77B9"/>
    <w:rsid w:val="008040A1"/>
    <w:rsid w:val="009467DA"/>
    <w:rsid w:val="00954778"/>
    <w:rsid w:val="00A17144"/>
    <w:rsid w:val="00A30DA4"/>
    <w:rsid w:val="00A5357A"/>
    <w:rsid w:val="00A57A14"/>
    <w:rsid w:val="00B54181"/>
    <w:rsid w:val="00BC09C4"/>
    <w:rsid w:val="00DC3915"/>
    <w:rsid w:val="00E4305D"/>
    <w:rsid w:val="00F16B2B"/>
    <w:rsid w:val="00F67249"/>
    <w:rsid w:val="00F724E9"/>
    <w:rsid w:val="03800867"/>
    <w:rsid w:val="09C4782E"/>
    <w:rsid w:val="0D132399"/>
    <w:rsid w:val="0ECB7368"/>
    <w:rsid w:val="11612EA5"/>
    <w:rsid w:val="1C635C29"/>
    <w:rsid w:val="2E4F6256"/>
    <w:rsid w:val="31D835C8"/>
    <w:rsid w:val="36230505"/>
    <w:rsid w:val="44091099"/>
    <w:rsid w:val="44D02BC2"/>
    <w:rsid w:val="47442E11"/>
    <w:rsid w:val="54F6469B"/>
    <w:rsid w:val="5B697371"/>
    <w:rsid w:val="673C6F2C"/>
    <w:rsid w:val="724179B2"/>
    <w:rsid w:val="75FB0F9D"/>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14</Pages>
  <Words>4273</Words>
  <Characters>4613</Characters>
  <Lines>34</Lines>
  <Paragraphs>9</Paragraphs>
  <TotalTime>0</TotalTime>
  <ScaleCrop>false</ScaleCrop>
  <LinksUpToDate>false</LinksUpToDate>
  <CharactersWithSpaces>4641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2023-06-25T02:43:54Z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