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沈阳市浑南区教育研究中心2021年度决算说明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u w:val="single"/>
        </w:rPr>
      </w:pPr>
      <w:r>
        <w:rPr>
          <w:b/>
          <w:sz w:val="44"/>
        </w:rPr>
        <w:t>目录</w:t>
      </w:r>
    </w:p>
    <w:p>
      <w:pPr>
        <w:pStyle w:val="6"/>
        <w:spacing w:line="560" w:lineRule="exact"/>
        <w:rPr>
          <w:rFonts w:hint="default" w:ascii="黑体" w:eastAsia="黑体"/>
          <w:sz w:val="32"/>
        </w:rPr>
      </w:pPr>
      <w:r>
        <w:rPr>
          <w:rFonts w:ascii="黑体" w:eastAsia="黑体"/>
          <w:b/>
          <w:bCs/>
          <w:sz w:val="32"/>
        </w:rPr>
        <w:t xml:space="preserve">第一部分  </w:t>
      </w:r>
      <w:r>
        <w:rPr>
          <w:rFonts w:ascii="黑体" w:hAnsi="黑体" w:eastAsia="黑体"/>
          <w:b/>
          <w:bCs/>
          <w:sz w:val="32"/>
          <w:szCs w:val="32"/>
        </w:rPr>
        <w:t>沈阳市浑南区教育研究中心</w:t>
      </w:r>
      <w:r>
        <w:rPr>
          <w:rFonts w:ascii="黑体" w:eastAsia="黑体"/>
          <w:b/>
          <w:bCs/>
          <w:sz w:val="32"/>
        </w:rPr>
        <w:t>概况</w:t>
      </w:r>
    </w:p>
    <w:p>
      <w:pPr>
        <w:pStyle w:val="6"/>
        <w:spacing w:line="560" w:lineRule="exact"/>
        <w:ind w:left="720" w:hanging="720"/>
        <w:rPr>
          <w:rFonts w:hint="default" w:ascii="仿宋_GB2312" w:hAnsi="华文中宋" w:eastAsia="仿宋_GB2312"/>
          <w:sz w:val="32"/>
          <w:szCs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b/>
          <w:bCs/>
          <w:sz w:val="32"/>
        </w:rPr>
      </w:pPr>
      <w:r>
        <w:rPr>
          <w:rFonts w:ascii="黑体" w:eastAsia="黑体"/>
          <w:b/>
          <w:bCs/>
          <w:sz w:val="32"/>
        </w:rPr>
        <w:t>第二部分</w:t>
      </w:r>
      <w:r>
        <w:rPr>
          <w:rFonts w:ascii="黑体" w:hAnsi="黑体" w:eastAsia="黑体"/>
          <w:b/>
          <w:bCs/>
          <w:sz w:val="32"/>
          <w:szCs w:val="32"/>
        </w:rPr>
        <w:t>沈阳市浑南区教育研究中心</w:t>
      </w:r>
      <w:r>
        <w:rPr>
          <w:rFonts w:ascii="黑体" w:eastAsia="黑体"/>
          <w:b/>
          <w:bCs/>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b/>
          <w:bCs/>
          <w:sz w:val="32"/>
        </w:rPr>
      </w:pPr>
      <w:r>
        <w:rPr>
          <w:rFonts w:ascii="黑体" w:eastAsia="黑体"/>
          <w:b/>
          <w:bCs/>
          <w:sz w:val="32"/>
        </w:rPr>
        <w:t>第三部分    名词解释</w:t>
      </w:r>
    </w:p>
    <w:p>
      <w:pPr>
        <w:pStyle w:val="6"/>
        <w:spacing w:line="560" w:lineRule="exact"/>
        <w:rPr>
          <w:rFonts w:hint="default" w:ascii="黑体" w:eastAsia="黑体"/>
          <w:b/>
          <w:bCs/>
          <w:sz w:val="32"/>
        </w:rPr>
      </w:pPr>
      <w:r>
        <w:rPr>
          <w:rFonts w:ascii="黑体" w:eastAsia="黑体"/>
          <w:b/>
          <w:bCs/>
          <w:sz w:val="32"/>
        </w:rPr>
        <w:t xml:space="preserve">第四部分   </w:t>
      </w:r>
      <w:r>
        <w:rPr>
          <w:rFonts w:ascii="黑体" w:hAnsi="黑体" w:eastAsia="黑体"/>
          <w:b/>
          <w:bCs/>
          <w:sz w:val="32"/>
          <w:szCs w:val="32"/>
        </w:rPr>
        <w:t>沈阳市浑南区教育研究中心</w:t>
      </w:r>
      <w:r>
        <w:rPr>
          <w:rFonts w:ascii="黑体" w:eastAsia="黑体"/>
          <w:b/>
          <w:bCs/>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rPr>
          <w:rFonts w:hint="default" w:ascii="仿宋_GB2312" w:eastAsia="仿宋_GB2312"/>
          <w:sz w:val="32"/>
        </w:rPr>
      </w:pPr>
    </w:p>
    <w:p>
      <w:pPr>
        <w:pStyle w:val="6"/>
        <w:spacing w:line="560" w:lineRule="exact"/>
        <w:jc w:val="center"/>
        <w:rPr>
          <w:b/>
          <w:sz w:val="36"/>
        </w:rPr>
      </w:pPr>
    </w:p>
    <w:p>
      <w:pPr>
        <w:pStyle w:val="6"/>
        <w:spacing w:line="560" w:lineRule="exact"/>
        <w:jc w:val="center"/>
        <w:rPr>
          <w:rFonts w:hint="default"/>
          <w:b/>
          <w:sz w:val="36"/>
        </w:rPr>
      </w:pPr>
      <w:r>
        <w:rPr>
          <w:b/>
          <w:sz w:val="36"/>
        </w:rPr>
        <w:t>第一部分</w:t>
      </w:r>
      <w:r>
        <w:rPr>
          <w:rFonts w:cs="宋体"/>
          <w:b/>
          <w:sz w:val="36"/>
          <w:szCs w:val="36"/>
        </w:rPr>
        <w:t>沈阳市浑南区教育研究中心</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（一）负责全区教育理论、教学研究指导工作，负责师资培训工作，负责全区教育质量评价工作，负责全区教育信息化建设工作。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（二）负责浑南区招生考试和社会考试工作，承担浑南区招生考试委员会相关工作。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（三）负责学生健康检查及体质健康监测工作，指导学校卫生保健工作和中小学生常见病的防治工作。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（四）针对未成年人的身心特点和教育需求，开展心理健康咨询工作，开展青少年课外知识与能力拓展培训工作；承担中小学社会实践组织工作。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（五）开展终身教育课程开发、理论研究、职业技能培训等工作。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（六）区内中小学及公办幼儿园校舍改造及维修工作。</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（七）承担区委、区政府交办的其他事项。</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仿宋_GB2312" w:eastAsia="仿宋_GB2312"/>
          <w:sz w:val="32"/>
          <w:szCs w:val="32"/>
        </w:rPr>
      </w:pPr>
      <w:r>
        <w:rPr>
          <w:rFonts w:ascii="仿宋_GB2312" w:eastAsia="仿宋_GB2312"/>
          <w:sz w:val="32"/>
          <w:szCs w:val="32"/>
        </w:rPr>
        <w:t>纳入本单位2021年决算编制范围的是沈阳市浑南区教育研究中心本级，本单位无下设机构。</w:t>
      </w:r>
    </w:p>
    <w:p>
      <w:pPr>
        <w:pStyle w:val="6"/>
        <w:spacing w:line="560" w:lineRule="exact"/>
        <w:ind w:firstLine="640"/>
        <w:rPr>
          <w:rFonts w:hint="default" w:ascii="仿宋_GB2312" w:eastAsia="仿宋_GB2312"/>
          <w:sz w:val="32"/>
          <w:szCs w:val="32"/>
        </w:rPr>
      </w:pPr>
    </w:p>
    <w:p>
      <w:pPr>
        <w:spacing w:line="540" w:lineRule="exact"/>
        <w:ind w:firstLine="708" w:firstLineChars="196"/>
        <w:rPr>
          <w:rFonts w:hint="default"/>
          <w:b/>
          <w:sz w:val="36"/>
        </w:rPr>
      </w:pPr>
    </w:p>
    <w:p>
      <w:pPr>
        <w:spacing w:line="540" w:lineRule="exact"/>
        <w:ind w:firstLine="708" w:firstLineChars="196"/>
        <w:rPr>
          <w:rFonts w:hint="default"/>
          <w:b/>
          <w:sz w:val="36"/>
        </w:rPr>
      </w:pPr>
    </w:p>
    <w:p>
      <w:pPr>
        <w:spacing w:line="540" w:lineRule="exact"/>
        <w:ind w:firstLine="708" w:firstLineChars="196"/>
        <w:rPr>
          <w:rFonts w:hint="default"/>
          <w:b/>
          <w:sz w:val="36"/>
        </w:rPr>
      </w:pPr>
      <w:r>
        <w:rPr>
          <w:b/>
          <w:sz w:val="36"/>
        </w:rPr>
        <w:t>第二部分</w:t>
      </w:r>
      <w:r>
        <w:rPr>
          <w:rFonts w:cs="宋体"/>
          <w:b/>
          <w:bCs/>
          <w:sz w:val="36"/>
          <w:szCs w:val="36"/>
        </w:rPr>
        <w:t>沈阳市浑南区教育研究中心</w:t>
      </w:r>
      <w:r>
        <w:rPr>
          <w:b/>
          <w:sz w:val="36"/>
        </w:rPr>
        <w:t>2021年决算情况说明</w:t>
      </w: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（一）收入总计2537.54万元</w:t>
      </w:r>
      <w:r>
        <w:rPr>
          <w:rFonts w:ascii="黑体" w:hAnsi="黑体" w:eastAsia="黑体" w:cs="黑体"/>
          <w:b/>
          <w:sz w:val="32"/>
          <w:szCs w:val="32"/>
        </w:rPr>
        <w:t>。</w:t>
      </w:r>
      <w:r>
        <w:rPr>
          <w:rFonts w:ascii="楷体_GB2312" w:eastAsia="楷体_GB2312"/>
          <w:b/>
          <w:sz w:val="32"/>
        </w:rPr>
        <w:t>包括：</w:t>
      </w:r>
    </w:p>
    <w:p>
      <w:pPr>
        <w:pStyle w:val="6"/>
        <w:spacing w:line="560" w:lineRule="exact"/>
        <w:ind w:firstLine="660"/>
        <w:rPr>
          <w:rFonts w:hint="default" w:ascii="仿宋_GB2312" w:eastAsia="仿宋_GB2312"/>
          <w:sz w:val="32"/>
        </w:rPr>
      </w:pPr>
      <w:r>
        <w:rPr>
          <w:rFonts w:ascii="仿宋_GB2312" w:eastAsia="仿宋_GB2312"/>
          <w:sz w:val="32"/>
        </w:rPr>
        <w:t>1.财政拨款收入2355.33万元，占收入总计的92.82%。其中：一般公共预算财政拨款收入2355.33万元，政府性基金收入0万元，国有资本经营预算财政拨款收入0万元。</w:t>
      </w:r>
    </w:p>
    <w:p>
      <w:pPr>
        <w:spacing w:line="540" w:lineRule="exact"/>
        <w:ind w:firstLine="660"/>
        <w:rPr>
          <w:rFonts w:hint="default" w:ascii="仿宋_GB2312" w:hAnsi="宋体" w:eastAsia="仿宋_GB2312"/>
          <w:sz w:val="32"/>
          <w:szCs w:val="32"/>
        </w:rPr>
      </w:pPr>
      <w:r>
        <w:rPr>
          <w:rFonts w:ascii="仿宋_GB2312" w:eastAsia="仿宋_GB2312"/>
          <w:sz w:val="32"/>
        </w:rPr>
        <w:t>2.事业收入47.89万元，占收入总计的1.89%。</w:t>
      </w:r>
      <w:r>
        <w:rPr>
          <w:rFonts w:ascii="仿宋_GB2312" w:hAnsi="宋体" w:eastAsia="仿宋_GB2312"/>
          <w:sz w:val="32"/>
          <w:szCs w:val="32"/>
        </w:rPr>
        <w:t>主要是教育收费（考试报名费）收入。</w:t>
      </w:r>
    </w:p>
    <w:p>
      <w:pPr>
        <w:spacing w:line="540" w:lineRule="exact"/>
        <w:ind w:firstLine="660"/>
        <w:rPr>
          <w:rFonts w:hint="default" w:ascii="仿宋_GB2312" w:hAnsi="宋体" w:eastAsia="仿宋_GB2312"/>
          <w:sz w:val="32"/>
          <w:szCs w:val="32"/>
        </w:rPr>
      </w:pPr>
      <w:r>
        <w:rPr>
          <w:rFonts w:ascii="仿宋_GB2312" w:eastAsia="仿宋_GB2312"/>
          <w:sz w:val="32"/>
        </w:rPr>
        <w:t>3.其他收入117.96万元，占收入总计的4.65%。</w:t>
      </w:r>
      <w:r>
        <w:rPr>
          <w:rFonts w:ascii="仿宋_GB2312" w:hAnsi="宋体" w:eastAsia="仿宋_GB2312"/>
          <w:sz w:val="32"/>
          <w:szCs w:val="32"/>
        </w:rPr>
        <w:t>主要是考务费等收入。</w:t>
      </w:r>
    </w:p>
    <w:p>
      <w:pPr>
        <w:pStyle w:val="6"/>
        <w:spacing w:line="560" w:lineRule="exact"/>
        <w:ind w:firstLine="660"/>
        <w:rPr>
          <w:rFonts w:hint="default" w:ascii="仿宋_GB2312" w:eastAsia="仿宋_GB2312"/>
          <w:sz w:val="32"/>
        </w:rPr>
      </w:pPr>
      <w:r>
        <w:rPr>
          <w:rFonts w:ascii="仿宋_GB2312" w:eastAsia="仿宋_GB2312"/>
          <w:sz w:val="32"/>
        </w:rPr>
        <w:t>4.上年结转和结余16.36万元，占收入总计0.64%。</w:t>
      </w:r>
    </w:p>
    <w:p>
      <w:pPr>
        <w:spacing w:line="540" w:lineRule="exact"/>
        <w:ind w:firstLine="660"/>
        <w:rPr>
          <w:rFonts w:hint="default" w:ascii="仿宋_GB2312" w:hAnsi="宋体" w:eastAsia="仿宋_GB2312"/>
          <w:sz w:val="32"/>
          <w:szCs w:val="32"/>
        </w:rPr>
      </w:pPr>
      <w:r>
        <w:rPr>
          <w:rFonts w:ascii="仿宋_GB2312" w:eastAsia="仿宋_GB2312"/>
          <w:sz w:val="32"/>
        </w:rPr>
        <w:t>与上年相比，今年收入减少288.41万元，降低10.21%，主要原因：</w:t>
      </w:r>
      <w:r>
        <w:rPr>
          <w:rFonts w:ascii="黑体" w:hAnsi="黑体" w:eastAsia="黑体" w:cs="黑体"/>
          <w:sz w:val="32"/>
          <w:szCs w:val="32"/>
        </w:rPr>
        <w:t>一是</w:t>
      </w:r>
      <w:r>
        <w:rPr>
          <w:rFonts w:ascii="仿宋_GB2312" w:hAnsi="宋体" w:eastAsia="仿宋_GB2312"/>
          <w:sz w:val="32"/>
          <w:szCs w:val="32"/>
        </w:rPr>
        <w:t>人员减少，财政拨款减少；</w:t>
      </w:r>
      <w:r>
        <w:rPr>
          <w:rFonts w:ascii="黑体" w:hAnsi="黑体" w:eastAsia="黑体" w:cs="黑体"/>
          <w:sz w:val="32"/>
          <w:szCs w:val="32"/>
        </w:rPr>
        <w:t>二是</w:t>
      </w:r>
      <w:r>
        <w:rPr>
          <w:rFonts w:ascii="仿宋_GB2312" w:hAnsi="宋体" w:eastAsia="仿宋_GB2312"/>
          <w:sz w:val="32"/>
          <w:szCs w:val="32"/>
        </w:rPr>
        <w:t>本年结余减少。</w:t>
      </w:r>
    </w:p>
    <w:p>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支出总计2506.73万元，包括：</w:t>
      </w:r>
    </w:p>
    <w:p>
      <w:pPr>
        <w:spacing w:line="540" w:lineRule="exact"/>
        <w:ind w:firstLine="660"/>
        <w:rPr>
          <w:rFonts w:hint="default" w:ascii="仿宋_GB2312" w:hAnsi="宋体" w:eastAsia="仿宋_GB2312"/>
          <w:sz w:val="32"/>
          <w:szCs w:val="32"/>
        </w:rPr>
      </w:pPr>
      <w:r>
        <w:rPr>
          <w:rFonts w:ascii="仿宋_GB2312" w:eastAsia="仿宋_GB2312"/>
          <w:sz w:val="32"/>
        </w:rPr>
        <w:t>1.基本支出1998.60万元，占支出总计的79.73%。主要是为保障机构正常运转、完成日常工作任务而发生的各项支出，其中：工资福利支出1462.66万元，对个人和家庭的补助支出368.98万元，商品和服务支164.79万元，</w:t>
      </w:r>
      <w:r>
        <w:rPr>
          <w:rFonts w:ascii="仿宋_GB2312" w:hAnsi="宋体" w:eastAsia="仿宋_GB2312"/>
          <w:sz w:val="32"/>
          <w:szCs w:val="32"/>
        </w:rPr>
        <w:t>资本性支出2.17万元。</w:t>
      </w:r>
    </w:p>
    <w:p>
      <w:pPr>
        <w:spacing w:line="540" w:lineRule="exact"/>
        <w:ind w:firstLine="660"/>
        <w:rPr>
          <w:rFonts w:hint="default" w:ascii="仿宋_GB2312" w:hAnsi="宋体" w:eastAsia="仿宋_GB2312"/>
          <w:sz w:val="32"/>
          <w:szCs w:val="32"/>
        </w:rPr>
      </w:pPr>
      <w:r>
        <w:rPr>
          <w:rFonts w:ascii="仿宋_GB2312" w:eastAsia="仿宋_GB2312"/>
          <w:sz w:val="32"/>
        </w:rPr>
        <w:t>2.项目支出508.14万元，占支出总计的20.27%。主要包括</w:t>
      </w:r>
      <w:r>
        <w:rPr>
          <w:rFonts w:ascii="仿宋_GB2312" w:hAnsi="宋体" w:eastAsia="仿宋_GB2312"/>
          <w:sz w:val="32"/>
          <w:szCs w:val="32"/>
        </w:rPr>
        <w:t>教师培训经费、各种考试经费、单位绩效工资社团活动和中招体检劳务费等业务支出。</w:t>
      </w:r>
    </w:p>
    <w:p>
      <w:pPr>
        <w:spacing w:line="540" w:lineRule="exact"/>
        <w:ind w:firstLine="660"/>
        <w:rPr>
          <w:rFonts w:hint="default" w:ascii="仿宋_GB2312" w:hAnsi="宋体" w:eastAsia="仿宋_GB2312"/>
          <w:sz w:val="32"/>
          <w:szCs w:val="32"/>
        </w:rPr>
      </w:pPr>
      <w:r>
        <w:rPr>
          <w:rFonts w:ascii="仿宋_GB2312" w:eastAsia="仿宋_GB2312"/>
          <w:sz w:val="32"/>
        </w:rPr>
        <w:t>与上年相比，今年支出减少239.15万元，降低8.71%，主要原因：</w:t>
      </w:r>
      <w:r>
        <w:rPr>
          <w:rFonts w:ascii="仿宋" w:hAnsi="仿宋" w:eastAsia="仿宋" w:cs="仿宋"/>
          <w:sz w:val="32"/>
          <w:szCs w:val="32"/>
        </w:rPr>
        <w:t>一是</w:t>
      </w:r>
      <w:r>
        <w:rPr>
          <w:rFonts w:ascii="仿宋_GB2312" w:hAnsi="宋体" w:eastAsia="仿宋_GB2312"/>
          <w:sz w:val="32"/>
          <w:szCs w:val="32"/>
        </w:rPr>
        <w:t>由于疫情原因，教师培训活动减少，经费支出减少；</w:t>
      </w:r>
      <w:r>
        <w:rPr>
          <w:rFonts w:ascii="仿宋" w:hAnsi="仿宋" w:eastAsia="仿宋" w:cs="仿宋"/>
          <w:sz w:val="32"/>
          <w:szCs w:val="32"/>
        </w:rPr>
        <w:t>二是</w:t>
      </w:r>
      <w:r>
        <w:rPr>
          <w:rFonts w:ascii="仿宋_GB2312" w:hAnsi="宋体" w:eastAsia="仿宋_GB2312"/>
          <w:sz w:val="32"/>
          <w:szCs w:val="32"/>
        </w:rPr>
        <w:t>各种考试规模和次数减少。</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（三）年末结转和结余30.81万元</w:t>
      </w:r>
    </w:p>
    <w:p>
      <w:pPr>
        <w:pStyle w:val="6"/>
        <w:spacing w:line="560" w:lineRule="exact"/>
        <w:ind w:firstLine="660"/>
        <w:rPr>
          <w:rFonts w:hint="default" w:ascii="仿宋_GB2312" w:eastAsia="仿宋_GB2312"/>
          <w:sz w:val="32"/>
        </w:rPr>
      </w:pPr>
      <w:r>
        <w:rPr>
          <w:rFonts w:ascii="仿宋_GB2312" w:eastAsia="仿宋_GB2312"/>
          <w:sz w:val="32"/>
        </w:rPr>
        <w:t>主要是</w:t>
      </w:r>
      <w:r>
        <w:rPr>
          <w:rFonts w:ascii="仿宋_GB2312" w:eastAsia="仿宋_GB2312"/>
          <w:sz w:val="32"/>
          <w:szCs w:val="32"/>
        </w:rPr>
        <w:t>专项资金形成的结余</w:t>
      </w:r>
      <w:r>
        <w:rPr>
          <w:rFonts w:ascii="仿宋_GB2312" w:eastAsia="仿宋_GB2312"/>
          <w:sz w:val="32"/>
        </w:rPr>
        <w:t>。与上年相比，今年结转结余减少49.26万元，降低61.52%，主要原因：项目支出资金减少。</w:t>
      </w:r>
    </w:p>
    <w:p>
      <w:pPr>
        <w:pStyle w:val="6"/>
        <w:numPr>
          <w:ilvl w:val="0"/>
          <w:numId w:val="2"/>
        </w:numPr>
        <w:spacing w:line="560" w:lineRule="exact"/>
        <w:ind w:firstLine="660"/>
        <w:rPr>
          <w:rFonts w:hint="default" w:ascii="黑体" w:eastAsia="黑体"/>
          <w:sz w:val="32"/>
        </w:rPr>
      </w:pPr>
      <w:r>
        <w:rPr>
          <w:rFonts w:ascii="黑体" w:eastAsia="黑体"/>
          <w:sz w:val="32"/>
        </w:rPr>
        <w:t>财政拨款收入支出决算情况说明</w:t>
      </w:r>
    </w:p>
    <w:p>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pPr>
        <w:spacing w:line="540" w:lineRule="exact"/>
        <w:ind w:firstLine="660"/>
        <w:rPr>
          <w:rFonts w:hint="default" w:ascii="仿宋_GB2312" w:hAnsi="宋体" w:eastAsia="仿宋_GB2312"/>
          <w:sz w:val="32"/>
          <w:szCs w:val="32"/>
        </w:rPr>
      </w:pPr>
      <w:r>
        <w:rPr>
          <w:rFonts w:ascii="仿宋_GB2312" w:eastAsia="仿宋_GB2312"/>
          <w:sz w:val="32"/>
        </w:rPr>
        <w:t>2021年度财政拨款支出2506.73万元，其中：基本支出1998.60万元，项目支出508.14万元。与上年相比，今年支出减少239.15万元，降低8.71%，主要原因：</w:t>
      </w:r>
      <w:r>
        <w:rPr>
          <w:rFonts w:ascii="黑体" w:hAnsi="黑体" w:eastAsia="黑体"/>
          <w:sz w:val="32"/>
          <w:szCs w:val="32"/>
        </w:rPr>
        <w:t>一是</w:t>
      </w:r>
      <w:r>
        <w:rPr>
          <w:rFonts w:ascii="仿宋_GB2312" w:hAnsi="宋体" w:eastAsia="仿宋_GB2312"/>
          <w:sz w:val="32"/>
          <w:szCs w:val="32"/>
        </w:rPr>
        <w:t>由于疫情原因，教师培训活动减少，经费支出减少；</w:t>
      </w:r>
      <w:r>
        <w:rPr>
          <w:rFonts w:ascii="黑体" w:hAnsi="黑体" w:eastAsia="黑体" w:cs="黑体"/>
          <w:sz w:val="32"/>
          <w:szCs w:val="32"/>
        </w:rPr>
        <w:t>二是</w:t>
      </w:r>
      <w:r>
        <w:rPr>
          <w:rFonts w:ascii="仿宋_GB2312" w:hAnsi="宋体" w:eastAsia="仿宋_GB2312"/>
          <w:sz w:val="32"/>
          <w:szCs w:val="32"/>
        </w:rPr>
        <w:t>各种考试规模和次数减少。</w:t>
      </w:r>
    </w:p>
    <w:p>
      <w:pPr>
        <w:pStyle w:val="6"/>
        <w:spacing w:line="560" w:lineRule="exact"/>
        <w:ind w:firstLine="660"/>
        <w:rPr>
          <w:rFonts w:hint="default" w:ascii="仿宋_GB2312" w:eastAsia="仿宋_GB2312"/>
          <w:sz w:val="32"/>
        </w:rPr>
      </w:pPr>
      <w:r>
        <w:rPr>
          <w:rFonts w:ascii="仿宋_GB2312" w:eastAsia="仿宋_GB2312"/>
          <w:sz w:val="32"/>
        </w:rPr>
        <w:t>与年初预算相比，2021年度财政拨款支出完成年初预算的86.03%，其中：基本支出完成年初预算的101.17%，项目支出完成年初预算的54.1%。</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40" w:lineRule="exact"/>
        <w:ind w:firstLine="660"/>
        <w:rPr>
          <w:rFonts w:ascii="仿宋_GB2312" w:hAnsi="宋体" w:eastAsia="仿宋_GB2312"/>
          <w:sz w:val="32"/>
          <w:szCs w:val="32"/>
        </w:rPr>
      </w:pPr>
      <w:r>
        <w:rPr>
          <w:rFonts w:ascii="仿宋_GB2312" w:hAnsi="宋体" w:eastAsia="仿宋_GB2312"/>
          <w:sz w:val="32"/>
          <w:szCs w:val="32"/>
        </w:rPr>
        <w:t>2021年度一般公共预算财政拨款支出2355.33万元，按支出功能分类科目分，包括：教育支出1859.60万元，占78.95%；社会保障和就业支出226.17万元，占9.60%；卫生健康支出87.08万元，占3.70%；住房保障支出182.48万元，占7.75%。</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1.教育支出1859.60万元，具体包括：</w:t>
      </w:r>
    </w:p>
    <w:p>
      <w:pPr>
        <w:spacing w:line="540" w:lineRule="exact"/>
        <w:ind w:firstLine="660"/>
        <w:rPr>
          <w:rFonts w:hint="default" w:ascii="仿宋_GB2312" w:hAnsi="宋体" w:eastAsia="仿宋_GB2312"/>
          <w:color w:val="FF0000"/>
          <w:sz w:val="32"/>
          <w:szCs w:val="32"/>
        </w:rPr>
      </w:pPr>
      <w:r>
        <w:rPr>
          <w:rFonts w:ascii="仿宋_GB2312" w:hAnsi="宋体" w:eastAsia="仿宋_GB2312"/>
          <w:color w:val="auto"/>
          <w:sz w:val="32"/>
          <w:szCs w:val="32"/>
        </w:rPr>
        <w:t>（1）教育支出（类）普通教育（款）其他普通教育支出（项）1591.88万元，主要是教师工资福利和教师进修培训等支出，完成年初预算的80.24%，决算数小于年初预算数的原因主要是人员减少和培训支出减少。</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（2）教育支出（类）进修及培训（款）教师进修（项）2.44万元，完成年初预算的</w:t>
      </w:r>
      <w:r>
        <w:rPr>
          <w:rFonts w:hint="eastAsia" w:ascii="仿宋_GB2312" w:hAnsi="宋体" w:eastAsia="仿宋_GB2312"/>
          <w:color w:val="auto"/>
          <w:sz w:val="32"/>
          <w:szCs w:val="32"/>
          <w:lang w:val="en-US" w:eastAsia="zh-CN"/>
        </w:rPr>
        <w:t>0</w:t>
      </w:r>
      <w:r>
        <w:rPr>
          <w:rFonts w:ascii="仿宋_GB2312" w:hAnsi="宋体" w:eastAsia="仿宋_GB2312"/>
          <w:color w:val="auto"/>
          <w:sz w:val="32"/>
          <w:szCs w:val="32"/>
        </w:rPr>
        <w:t>%，决算数小于年初预算数的原因主要是人员减少和培训支出减少。</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（3）教育支出（类）进修及培训（款）其他进修及培训（项）51.85万元，完成年初预算的</w:t>
      </w:r>
      <w:r>
        <w:rPr>
          <w:rFonts w:hint="eastAsia" w:ascii="仿宋_GB2312" w:hAnsi="宋体" w:eastAsia="仿宋_GB2312"/>
          <w:color w:val="auto"/>
          <w:sz w:val="32"/>
          <w:szCs w:val="32"/>
          <w:lang w:val="en-US" w:eastAsia="zh-CN"/>
        </w:rPr>
        <w:t>16.10</w:t>
      </w:r>
      <w:r>
        <w:rPr>
          <w:rFonts w:ascii="仿宋_GB2312" w:hAnsi="宋体" w:eastAsia="仿宋_GB2312"/>
          <w:color w:val="auto"/>
          <w:sz w:val="32"/>
          <w:szCs w:val="32"/>
        </w:rPr>
        <w:t>%，决算数小于年初预算数的原因主要是人员减少和培训支出减少。</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（4）教育支出（类）进修及培训（款）其他教育支出（项）213.42万元，完成年初预算的</w:t>
      </w:r>
      <w:r>
        <w:rPr>
          <w:rFonts w:hint="eastAsia" w:ascii="仿宋_GB2312" w:hAnsi="宋体" w:eastAsia="仿宋_GB2312"/>
          <w:color w:val="auto"/>
          <w:sz w:val="32"/>
          <w:szCs w:val="32"/>
          <w:lang w:val="en-US" w:eastAsia="zh-CN"/>
        </w:rPr>
        <w:t>49.30</w:t>
      </w:r>
      <w:r>
        <w:rPr>
          <w:rFonts w:ascii="仿宋_GB2312" w:hAnsi="宋体" w:eastAsia="仿宋_GB2312"/>
          <w:color w:val="auto"/>
          <w:sz w:val="32"/>
          <w:szCs w:val="32"/>
        </w:rPr>
        <w:t>%，决算数小于年初预算数的原因主要是人员减少和培训支出减少。</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2.社会保障支出226.17万元，主要是退离休福利及离休工资和职工养老保险和职业年金缴费等。</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具体包括：</w:t>
      </w:r>
    </w:p>
    <w:p>
      <w:pPr>
        <w:numPr>
          <w:ilvl w:val="0"/>
          <w:numId w:val="3"/>
        </w:numPr>
        <w:spacing w:line="540" w:lineRule="exact"/>
        <w:ind w:firstLine="660"/>
        <w:rPr>
          <w:rFonts w:hint="eastAsia" w:ascii="仿宋_GB2312" w:hAnsi="宋体" w:eastAsia="仿宋_GB2312"/>
          <w:color w:val="auto"/>
          <w:sz w:val="32"/>
          <w:szCs w:val="32"/>
          <w:lang w:val="en-US" w:eastAsia="zh-CN"/>
        </w:rPr>
      </w:pPr>
      <w:r>
        <w:rPr>
          <w:rFonts w:ascii="仿宋_GB2312" w:hAnsi="宋体" w:eastAsia="仿宋_GB2312"/>
          <w:color w:val="auto"/>
          <w:sz w:val="32"/>
          <w:szCs w:val="32"/>
        </w:rPr>
        <w:t>社会保障和就业支出（类）行政事业单位养老支出（款）事业单位离退休（项）85.82万元，完成年初预算的</w:t>
      </w:r>
      <w:r>
        <w:rPr>
          <w:rFonts w:hint="eastAsia" w:ascii="仿宋_GB2312" w:hAnsi="宋体" w:eastAsia="仿宋_GB2312"/>
          <w:color w:val="auto"/>
          <w:sz w:val="32"/>
          <w:szCs w:val="32"/>
          <w:lang w:val="en-US" w:eastAsia="zh-CN"/>
        </w:rPr>
        <w:t>122.92</w:t>
      </w:r>
      <w:r>
        <w:rPr>
          <w:rFonts w:ascii="仿宋_GB2312" w:hAnsi="宋体" w:eastAsia="仿宋_GB2312"/>
          <w:color w:val="auto"/>
          <w:sz w:val="32"/>
          <w:szCs w:val="32"/>
        </w:rPr>
        <w:t>%，决算数</w:t>
      </w:r>
      <w:r>
        <w:rPr>
          <w:rFonts w:hint="eastAsia" w:ascii="仿宋_GB2312" w:hAnsi="宋体" w:eastAsia="仿宋_GB2312"/>
          <w:color w:val="auto"/>
          <w:sz w:val="32"/>
          <w:szCs w:val="32"/>
          <w:lang w:val="en-US" w:eastAsia="zh-CN"/>
        </w:rPr>
        <w:t>大</w:t>
      </w:r>
      <w:r>
        <w:rPr>
          <w:rFonts w:ascii="仿宋_GB2312" w:hAnsi="宋体" w:eastAsia="仿宋_GB2312"/>
          <w:color w:val="auto"/>
          <w:sz w:val="32"/>
          <w:szCs w:val="32"/>
        </w:rPr>
        <w:t>于年初预算数的原因主要是人员</w:t>
      </w:r>
      <w:r>
        <w:rPr>
          <w:rFonts w:hint="eastAsia" w:ascii="仿宋_GB2312" w:hAnsi="宋体" w:eastAsia="仿宋_GB2312"/>
          <w:color w:val="auto"/>
          <w:sz w:val="32"/>
          <w:szCs w:val="32"/>
          <w:lang w:val="en-US" w:eastAsia="zh-CN"/>
        </w:rPr>
        <w:t>经费增加和其它经费增加。</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（2）社会保障和就业支出（类）行政事业单位养老支出（款）机关事业单位基本养老保险缴费支出（项）140.33万元，完成年初预算的</w:t>
      </w:r>
      <w:r>
        <w:rPr>
          <w:rFonts w:hint="eastAsia" w:ascii="仿宋_GB2312" w:hAnsi="宋体" w:eastAsia="仿宋_GB2312"/>
          <w:color w:val="auto"/>
          <w:sz w:val="32"/>
          <w:szCs w:val="32"/>
          <w:lang w:val="en-US" w:eastAsia="zh-CN"/>
        </w:rPr>
        <w:t>83.92</w:t>
      </w:r>
      <w:r>
        <w:rPr>
          <w:rFonts w:ascii="仿宋_GB2312" w:hAnsi="宋体" w:eastAsia="仿宋_GB2312"/>
          <w:color w:val="auto"/>
          <w:sz w:val="32"/>
          <w:szCs w:val="32"/>
        </w:rPr>
        <w:t>%，决算数小于年初预算数的原因主要是人员减少。</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（3）社会保障和就业支出（类）行政事业单位养老支出（款）机关事业单位职业年金缴费支出（项）0.02万元，完成年初预算的</w:t>
      </w:r>
      <w:r>
        <w:rPr>
          <w:rFonts w:hint="eastAsia" w:ascii="仿宋_GB2312" w:hAnsi="宋体" w:eastAsia="仿宋_GB2312"/>
          <w:color w:val="auto"/>
          <w:sz w:val="32"/>
          <w:szCs w:val="32"/>
          <w:lang w:val="en-US" w:eastAsia="zh-CN"/>
        </w:rPr>
        <w:t>0.2</w:t>
      </w:r>
      <w:r>
        <w:rPr>
          <w:rFonts w:ascii="仿宋_GB2312" w:hAnsi="宋体" w:eastAsia="仿宋_GB2312"/>
          <w:color w:val="auto"/>
          <w:sz w:val="32"/>
          <w:szCs w:val="32"/>
        </w:rPr>
        <w:t>%，决算数小于年初预算数的原因主要是</w:t>
      </w:r>
      <w:r>
        <w:rPr>
          <w:rFonts w:hint="eastAsia" w:ascii="仿宋_GB2312" w:hAnsi="宋体" w:eastAsia="仿宋_GB2312"/>
          <w:color w:val="auto"/>
          <w:sz w:val="32"/>
          <w:szCs w:val="32"/>
          <w:lang w:val="en-US" w:eastAsia="zh-CN"/>
        </w:rPr>
        <w:t>职业年金缴费人数</w:t>
      </w:r>
      <w:r>
        <w:rPr>
          <w:rFonts w:ascii="仿宋_GB2312" w:hAnsi="宋体" w:eastAsia="仿宋_GB2312"/>
          <w:color w:val="auto"/>
          <w:sz w:val="32"/>
          <w:szCs w:val="32"/>
        </w:rPr>
        <w:t>减少。</w:t>
      </w:r>
    </w:p>
    <w:p>
      <w:pPr>
        <w:spacing w:line="540" w:lineRule="exact"/>
        <w:ind w:firstLine="640" w:firstLineChars="200"/>
        <w:rPr>
          <w:rFonts w:hint="default" w:ascii="仿宋_GB2312" w:hAnsi="宋体" w:eastAsia="仿宋_GB2312"/>
          <w:color w:val="auto"/>
          <w:sz w:val="32"/>
          <w:szCs w:val="32"/>
        </w:rPr>
      </w:pPr>
      <w:r>
        <w:rPr>
          <w:rFonts w:ascii="仿宋_GB2312" w:hAnsi="宋体" w:eastAsia="仿宋_GB2312"/>
          <w:color w:val="auto"/>
          <w:sz w:val="32"/>
          <w:szCs w:val="32"/>
        </w:rPr>
        <w:t>3.卫生健康支出87.08万元，主要是职工和退离休职工医疗保险费用的支出。具体包括：</w:t>
      </w:r>
    </w:p>
    <w:p>
      <w:pPr>
        <w:spacing w:line="540" w:lineRule="exact"/>
        <w:ind w:firstLine="660"/>
        <w:rPr>
          <w:rFonts w:hint="default" w:ascii="仿宋_GB2312" w:hAnsi="宋体" w:eastAsia="仿宋_GB2312"/>
          <w:color w:val="auto"/>
          <w:sz w:val="32"/>
          <w:szCs w:val="32"/>
        </w:rPr>
      </w:pPr>
      <w:r>
        <w:rPr>
          <w:rFonts w:ascii="仿宋_GB2312" w:hAnsi="宋体" w:eastAsia="仿宋_GB2312"/>
          <w:color w:val="auto"/>
          <w:sz w:val="32"/>
          <w:szCs w:val="32"/>
        </w:rPr>
        <w:t>（1</w:t>
      </w:r>
      <w:r>
        <w:rPr>
          <w:rFonts w:hint="default" w:ascii="仿宋_GB2312" w:hAnsi="宋体" w:eastAsia="仿宋_GB2312"/>
          <w:color w:val="auto"/>
          <w:sz w:val="32"/>
          <w:szCs w:val="32"/>
        </w:rPr>
        <w:t>）</w:t>
      </w:r>
      <w:r>
        <w:rPr>
          <w:rFonts w:ascii="仿宋_GB2312" w:hAnsi="宋体" w:eastAsia="仿宋_GB2312"/>
          <w:color w:val="auto"/>
          <w:sz w:val="32"/>
          <w:szCs w:val="32"/>
        </w:rPr>
        <w:t>卫生健康支出（类）行政事业单位医疗（款）事业单位医疗（项）</w:t>
      </w:r>
      <w:r>
        <w:rPr>
          <w:rFonts w:hint="default" w:ascii="仿宋_GB2312" w:hAnsi="宋体" w:eastAsia="仿宋_GB2312"/>
          <w:color w:val="auto"/>
          <w:sz w:val="32"/>
          <w:szCs w:val="32"/>
        </w:rPr>
        <w:t>76.15</w:t>
      </w:r>
      <w:r>
        <w:rPr>
          <w:rFonts w:ascii="仿宋_GB2312" w:hAnsi="宋体" w:eastAsia="仿宋_GB2312"/>
          <w:color w:val="auto"/>
          <w:sz w:val="32"/>
          <w:szCs w:val="32"/>
        </w:rPr>
        <w:t>万元，完成年初预算的</w:t>
      </w:r>
      <w:r>
        <w:rPr>
          <w:rFonts w:hint="eastAsia" w:ascii="仿宋_GB2312" w:hAnsi="宋体" w:eastAsia="仿宋_GB2312"/>
          <w:color w:val="auto"/>
          <w:sz w:val="32"/>
          <w:szCs w:val="32"/>
          <w:lang w:val="en-US" w:eastAsia="zh-CN"/>
        </w:rPr>
        <w:t>94.87</w:t>
      </w:r>
      <w:r>
        <w:rPr>
          <w:rFonts w:ascii="仿宋_GB2312" w:hAnsi="宋体" w:eastAsia="仿宋_GB2312"/>
          <w:color w:val="auto"/>
          <w:sz w:val="32"/>
          <w:szCs w:val="32"/>
        </w:rPr>
        <w:t>%，决算数小于年初预算数的原因主要是人员减少。</w:t>
      </w:r>
    </w:p>
    <w:p>
      <w:pPr>
        <w:spacing w:line="540" w:lineRule="exact"/>
        <w:ind w:firstLine="660"/>
        <w:rPr>
          <w:rFonts w:hint="eastAsia" w:ascii="仿宋_GB2312" w:hAnsi="宋体" w:eastAsia="仿宋_GB2312"/>
          <w:color w:val="auto"/>
          <w:sz w:val="32"/>
          <w:szCs w:val="32"/>
          <w:lang w:eastAsia="zh-CN"/>
        </w:rPr>
      </w:pPr>
      <w:r>
        <w:rPr>
          <w:rFonts w:ascii="仿宋_GB2312" w:hAnsi="宋体" w:eastAsia="仿宋_GB2312"/>
          <w:color w:val="auto"/>
          <w:sz w:val="32"/>
          <w:szCs w:val="32"/>
        </w:rPr>
        <w:t>（2</w:t>
      </w:r>
      <w:r>
        <w:rPr>
          <w:rFonts w:hint="default" w:ascii="仿宋_GB2312" w:hAnsi="宋体" w:eastAsia="仿宋_GB2312"/>
          <w:color w:val="auto"/>
          <w:sz w:val="32"/>
          <w:szCs w:val="32"/>
        </w:rPr>
        <w:t>）</w:t>
      </w:r>
      <w:r>
        <w:rPr>
          <w:rFonts w:ascii="仿宋_GB2312" w:hAnsi="宋体" w:eastAsia="仿宋_GB2312"/>
          <w:color w:val="auto"/>
          <w:sz w:val="32"/>
          <w:szCs w:val="32"/>
        </w:rPr>
        <w:t>卫生健康支出（类）行政事业单位医疗（款）其他行政事业单位医疗支出（项）</w:t>
      </w:r>
      <w:r>
        <w:rPr>
          <w:rFonts w:hint="default" w:ascii="仿宋_GB2312" w:hAnsi="宋体" w:eastAsia="仿宋_GB2312"/>
          <w:color w:val="auto"/>
          <w:sz w:val="32"/>
          <w:szCs w:val="32"/>
        </w:rPr>
        <w:t>10.93</w:t>
      </w:r>
      <w:r>
        <w:rPr>
          <w:rFonts w:ascii="仿宋_GB2312" w:hAnsi="宋体" w:eastAsia="仿宋_GB2312"/>
          <w:color w:val="auto"/>
          <w:sz w:val="32"/>
          <w:szCs w:val="32"/>
        </w:rPr>
        <w:t>万元，完成年初预算的</w:t>
      </w:r>
      <w:r>
        <w:rPr>
          <w:rFonts w:hint="eastAsia" w:ascii="仿宋_GB2312" w:hAnsi="宋体" w:eastAsia="仿宋_GB2312"/>
          <w:color w:val="auto"/>
          <w:sz w:val="32"/>
          <w:szCs w:val="32"/>
          <w:lang w:val="en-US" w:eastAsia="zh-CN"/>
        </w:rPr>
        <w:t>98.82</w:t>
      </w:r>
      <w:r>
        <w:rPr>
          <w:rFonts w:ascii="仿宋_GB2312" w:hAnsi="宋体" w:eastAsia="仿宋_GB2312"/>
          <w:color w:val="auto"/>
          <w:sz w:val="32"/>
          <w:szCs w:val="32"/>
        </w:rPr>
        <w:t>%，决算数</w:t>
      </w:r>
      <w:r>
        <w:rPr>
          <w:rFonts w:hint="eastAsia" w:ascii="仿宋_GB2312" w:hAnsi="宋体" w:eastAsia="仿宋_GB2312"/>
          <w:color w:val="auto"/>
          <w:sz w:val="32"/>
          <w:szCs w:val="32"/>
          <w:lang w:val="en-US" w:eastAsia="zh-CN"/>
        </w:rPr>
        <w:t>小于</w:t>
      </w:r>
      <w:r>
        <w:rPr>
          <w:rFonts w:ascii="仿宋_GB2312" w:hAnsi="宋体" w:eastAsia="仿宋_GB2312"/>
          <w:color w:val="auto"/>
          <w:sz w:val="32"/>
          <w:szCs w:val="32"/>
        </w:rPr>
        <w:t>年初预算数的原因主要是人员减少</w:t>
      </w:r>
      <w:r>
        <w:rPr>
          <w:rFonts w:hint="eastAsia" w:ascii="仿宋_GB2312" w:hAnsi="宋体" w:eastAsia="仿宋_GB2312"/>
          <w:color w:val="auto"/>
          <w:sz w:val="32"/>
          <w:szCs w:val="32"/>
          <w:lang w:eastAsia="zh-CN"/>
        </w:rPr>
        <w:t>。</w:t>
      </w:r>
    </w:p>
    <w:p>
      <w:pPr>
        <w:spacing w:line="540" w:lineRule="exact"/>
        <w:ind w:firstLine="640" w:firstLineChars="200"/>
        <w:rPr>
          <w:rFonts w:hint="default" w:ascii="仿宋_GB2312" w:hAnsi="宋体" w:eastAsia="仿宋_GB2312"/>
          <w:sz w:val="32"/>
          <w:szCs w:val="32"/>
        </w:rPr>
      </w:pPr>
      <w:r>
        <w:rPr>
          <w:rFonts w:ascii="仿宋_GB2312" w:hAnsi="宋体" w:eastAsia="仿宋_GB2312"/>
          <w:sz w:val="32"/>
          <w:szCs w:val="32"/>
        </w:rPr>
        <w:t>4.住房保障支出182.48万元,主要用于缴纳职工住房公积金支出。具体包括：</w:t>
      </w:r>
    </w:p>
    <w:p>
      <w:pPr>
        <w:spacing w:line="540" w:lineRule="exact"/>
        <w:ind w:firstLine="660"/>
        <w:rPr>
          <w:rFonts w:hint="eastAsia" w:ascii="仿宋_GB2312" w:hAnsi="宋体" w:eastAsia="仿宋_GB2312"/>
          <w:color w:val="auto"/>
          <w:sz w:val="32"/>
          <w:szCs w:val="32"/>
          <w:lang w:eastAsia="zh-CN"/>
        </w:rPr>
      </w:pPr>
      <w:r>
        <w:rPr>
          <w:rFonts w:ascii="仿宋_GB2312" w:hAnsi="宋体" w:eastAsia="仿宋_GB2312"/>
          <w:color w:val="auto"/>
          <w:sz w:val="32"/>
          <w:szCs w:val="32"/>
        </w:rPr>
        <w:t>住房保障支出（类）住房改革支出（款）住房公积金（项）182.48万元，完成年初预算的</w:t>
      </w:r>
      <w:r>
        <w:rPr>
          <w:rFonts w:hint="eastAsia" w:ascii="仿宋_GB2312" w:hAnsi="宋体" w:eastAsia="仿宋_GB2312"/>
          <w:color w:val="auto"/>
          <w:sz w:val="32"/>
          <w:szCs w:val="32"/>
          <w:lang w:val="en-US" w:eastAsia="zh-CN"/>
        </w:rPr>
        <w:t>99.01</w:t>
      </w:r>
      <w:r>
        <w:rPr>
          <w:rFonts w:ascii="仿宋_GB2312" w:hAnsi="宋体" w:eastAsia="仿宋_GB2312"/>
          <w:color w:val="auto"/>
          <w:sz w:val="32"/>
          <w:szCs w:val="32"/>
        </w:rPr>
        <w:t>%，决算数</w:t>
      </w:r>
      <w:r>
        <w:rPr>
          <w:rFonts w:hint="eastAsia" w:ascii="仿宋_GB2312" w:hAnsi="宋体" w:eastAsia="仿宋_GB2312"/>
          <w:color w:val="auto"/>
          <w:sz w:val="32"/>
          <w:szCs w:val="32"/>
          <w:lang w:val="en-US" w:eastAsia="zh-CN"/>
        </w:rPr>
        <w:t>小于</w:t>
      </w:r>
      <w:r>
        <w:rPr>
          <w:rFonts w:ascii="仿宋_GB2312" w:hAnsi="宋体" w:eastAsia="仿宋_GB2312"/>
          <w:color w:val="auto"/>
          <w:sz w:val="32"/>
          <w:szCs w:val="32"/>
        </w:rPr>
        <w:t>年初预算数的原因主要是人员减少</w:t>
      </w:r>
      <w:r>
        <w:rPr>
          <w:rFonts w:hint="eastAsia" w:ascii="仿宋_GB2312" w:hAnsi="宋体" w:eastAsia="仿宋_GB2312"/>
          <w:color w:val="auto"/>
          <w:sz w:val="32"/>
          <w:szCs w:val="32"/>
          <w:lang w:eastAsia="zh-CN"/>
        </w:rPr>
        <w:t>。</w:t>
      </w:r>
    </w:p>
    <w:p>
      <w:pPr>
        <w:numPr>
          <w:ilvl w:val="0"/>
          <w:numId w:val="1"/>
        </w:numPr>
        <w:spacing w:line="540" w:lineRule="exact"/>
        <w:ind w:firstLine="660"/>
        <w:outlineLvl w:val="2"/>
        <w:rPr>
          <w:rFonts w:hint="default" w:ascii="楷体_GB2312" w:hAnsi="宋体" w:eastAsia="楷体_GB2312"/>
          <w:b/>
          <w:sz w:val="32"/>
          <w:szCs w:val="32"/>
        </w:rPr>
      </w:pPr>
      <w:r>
        <w:rPr>
          <w:rFonts w:ascii="楷体_GB2312" w:hAnsi="宋体" w:eastAsia="楷体_GB2312"/>
          <w:b/>
          <w:sz w:val="32"/>
          <w:szCs w:val="32"/>
        </w:rPr>
        <w:t>政府性基金预算财政拨款支出情况。</w:t>
      </w:r>
    </w:p>
    <w:p>
      <w:pPr>
        <w:spacing w:line="540" w:lineRule="exact"/>
        <w:ind w:firstLine="640" w:firstLineChars="200"/>
        <w:jc w:val="left"/>
        <w:outlineLvl w:val="2"/>
        <w:rPr>
          <w:rFonts w:hint="eastAsia" w:ascii="仿宋_GB2312" w:hAnsi="仿宋_GB2312" w:eastAsia="仿宋_GB2312" w:cs="仿宋_GB2312"/>
          <w:b/>
          <w:color w:val="FF0000"/>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bCs/>
          <w:sz w:val="32"/>
          <w:szCs w:val="32"/>
        </w:rPr>
        <w:t>未发生此项资金。</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40" w:lineRule="exact"/>
        <w:ind w:firstLine="640" w:firstLineChars="200"/>
        <w:jc w:val="left"/>
        <w:outlineLvl w:val="2"/>
        <w:rPr>
          <w:rFonts w:hint="eastAsia" w:ascii="仿宋_GB2312" w:hAnsi="仿宋_GB2312" w:eastAsia="仿宋_GB2312" w:cs="仿宋_GB2312"/>
          <w:b/>
          <w:color w:val="FF0000"/>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bCs/>
          <w:sz w:val="32"/>
          <w:szCs w:val="32"/>
        </w:rPr>
        <w:t>未发生此项资金。</w:t>
      </w:r>
    </w:p>
    <w:p>
      <w:pPr>
        <w:numPr>
          <w:ilvl w:val="0"/>
          <w:numId w:val="2"/>
        </w:numPr>
        <w:spacing w:line="540" w:lineRule="exact"/>
        <w:ind w:firstLine="660"/>
        <w:rPr>
          <w:rFonts w:hint="default" w:ascii="黑体" w:eastAsia="黑体"/>
          <w:sz w:val="32"/>
        </w:rPr>
      </w:pPr>
      <w:r>
        <w:rPr>
          <w:rFonts w:ascii="黑体" w:eastAsia="黑体"/>
          <w:sz w:val="32"/>
        </w:rPr>
        <w:t>一般公共预算财政拨款“三公”经费支出决算情况说明</w:t>
      </w:r>
    </w:p>
    <w:p>
      <w:pPr>
        <w:spacing w:line="54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安排的“三公”经费支出0万元，完成年初预算的0%，决算数小于年初预算数的主要原因是无此业务。其中：因公出国（境）费0万元，公务接待费0万元，公务用车购置及运行维护费0万元。</w:t>
      </w:r>
    </w:p>
    <w:p>
      <w:pPr>
        <w:spacing w:line="540" w:lineRule="exact"/>
        <w:ind w:firstLine="640" w:firstLineChars="200"/>
        <w:rPr>
          <w:rFonts w:hint="default" w:ascii="仿宋_GB2312" w:hAnsi="仿宋_GB2312" w:eastAsia="仿宋_GB2312" w:cs="仿宋_GB2312"/>
          <w:bCs/>
          <w:sz w:val="32"/>
          <w:szCs w:val="32"/>
        </w:rPr>
      </w:pPr>
      <w:r>
        <w:rPr>
          <w:rFonts w:ascii="仿宋_GB2312" w:hAnsi="宋体" w:eastAsia="仿宋_GB2312"/>
          <w:sz w:val="32"/>
          <w:szCs w:val="32"/>
        </w:rPr>
        <w:t>1.因公出国（境）费0万元，占“三公”经费支出的0%。</w:t>
      </w:r>
      <w:r>
        <w:rPr>
          <w:rFonts w:ascii="仿宋_GB2312" w:eastAsia="仿宋_GB2312"/>
          <w:sz w:val="32"/>
        </w:rPr>
        <w:t>完成年初预算的0%。</w:t>
      </w:r>
      <w:r>
        <w:rPr>
          <w:rFonts w:ascii="仿宋_GB2312" w:hAnsi="宋体" w:eastAsia="仿宋_GB2312"/>
          <w:sz w:val="32"/>
          <w:szCs w:val="32"/>
        </w:rPr>
        <w:t>2021年参加出国（境）团组0个，累计0人次,主要为参加0团等。2021年因公出国（境）费比上年减少0万元，增长0%，主要是</w:t>
      </w:r>
      <w:r>
        <w:rPr>
          <w:rFonts w:ascii="仿宋_GB2312" w:hAnsi="仿宋_GB2312" w:eastAsia="仿宋_GB2312" w:cs="仿宋_GB2312"/>
          <w:bCs/>
          <w:sz w:val="32"/>
          <w:szCs w:val="32"/>
        </w:rPr>
        <w:t>2020年及2021年均无出国任务。</w:t>
      </w:r>
    </w:p>
    <w:p>
      <w:pPr>
        <w:spacing w:line="540" w:lineRule="exact"/>
        <w:ind w:firstLine="640" w:firstLineChars="200"/>
        <w:rPr>
          <w:rFonts w:hint="default" w:ascii="仿宋_GB2312" w:hAnsi="宋体" w:eastAsia="仿宋_GB2312"/>
          <w:sz w:val="32"/>
          <w:szCs w:val="32"/>
        </w:rPr>
      </w:pPr>
      <w:r>
        <w:rPr>
          <w:rFonts w:ascii="仿宋_GB2312" w:hAnsi="宋体" w:eastAsia="仿宋_GB2312"/>
          <w:sz w:val="32"/>
          <w:szCs w:val="32"/>
        </w:rPr>
        <w:t>2.公务接待费0万元，占“三公”经费支出的0%。</w:t>
      </w:r>
      <w:r>
        <w:rPr>
          <w:rFonts w:ascii="仿宋_GB2312" w:eastAsia="仿宋_GB2312"/>
          <w:sz w:val="32"/>
        </w:rPr>
        <w:t>完成年初预算的0。</w:t>
      </w:r>
      <w:r>
        <w:rPr>
          <w:rFonts w:ascii="仿宋_GB2312" w:hAnsi="宋体" w:eastAsia="仿宋_GB2312"/>
          <w:sz w:val="32"/>
          <w:szCs w:val="32"/>
        </w:rPr>
        <w:t>21年国内公务接待累计0批次、0人、0万元，主要是因为无此任务发生；其中外事接待累计0批次、0人、0万元，主要是因为无此任务发生。2021年公务接待费比上年减少0万元，下降0%，主要是因为无此任务发生。</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3.公务用车购置及运行费0万元，占“三公”经费支出的0%。</w:t>
      </w:r>
      <w:r>
        <w:rPr>
          <w:rFonts w:ascii="仿宋_GB2312" w:eastAsia="仿宋_GB2312"/>
          <w:sz w:val="32"/>
        </w:rPr>
        <w:t>完成年初预算的0%。</w:t>
      </w:r>
      <w:r>
        <w:rPr>
          <w:rFonts w:ascii="仿宋_GB2312" w:hAnsi="宋体" w:eastAsia="仿宋_GB2312"/>
          <w:sz w:val="32"/>
          <w:szCs w:val="32"/>
        </w:rPr>
        <w:t>比上年减少0万元，下降0%，主要是因为无此任务发生。</w:t>
      </w:r>
    </w:p>
    <w:p>
      <w:pPr>
        <w:spacing w:line="540" w:lineRule="exact"/>
        <w:ind w:firstLine="645"/>
        <w:rPr>
          <w:rFonts w:hint="default" w:ascii="仿宋_GB2312" w:hAnsi="宋体" w:eastAsia="仿宋_GB2312"/>
          <w:sz w:val="32"/>
          <w:szCs w:val="32"/>
        </w:rPr>
      </w:pPr>
      <w:r>
        <w:rPr>
          <w:rFonts w:ascii="仿宋_GB2312" w:hAnsi="宋体" w:eastAsia="仿宋_GB2312"/>
          <w:sz w:val="32"/>
          <w:szCs w:val="32"/>
        </w:rPr>
        <w:t>其中：公务用车购置费0万元，当年购置公务用车0辆。公务用车运行维护费0万元，截至年末使用一般公共预算财政拨款开支运行维护费的公务用车保有量0辆。</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1998.60万元，其中：人员经费1831.64万元，主要包括基本工资、津贴补贴、奖金、其他社会保障缴费、机关事业单位基本养老保险缴费、其他工资福利支出、离休费、退休费、抚恤金、生活补助、奖励金、住房公积金、采暖补贴、其他对个人和家庭补助的支出；日常公用经费166.96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eastAsia" w:ascii="仿宋_GB2312" w:hAnsi="仿宋_GB2312" w:eastAsia="仿宋_GB2312" w:cs="仿宋_GB2312"/>
          <w:sz w:val="32"/>
        </w:rPr>
      </w:pPr>
      <w:r>
        <w:rPr>
          <w:rFonts w:hint="eastAsia" w:ascii="仿宋_GB2312" w:hAnsi="仿宋_GB2312" w:eastAsia="仿宋_GB2312" w:cs="仿宋_GB2312"/>
          <w:sz w:val="32"/>
        </w:rPr>
        <w:t>2021年度机关运行经费支出0万元</w:t>
      </w:r>
      <w:r>
        <w:rPr>
          <w:rFonts w:hint="eastAsia" w:ascii="仿宋_GB2312" w:hAnsi="仿宋_GB2312" w:eastAsia="仿宋_GB2312" w:cs="仿宋_GB2312"/>
          <w:sz w:val="32"/>
          <w:szCs w:val="32"/>
        </w:rPr>
        <w:t>与上年持平，主要原因是沈阳市浑南区教育研究中心单位属于事业单位，无机关运行经费。</w:t>
      </w:r>
    </w:p>
    <w:p>
      <w:pPr>
        <w:pStyle w:val="6"/>
        <w:spacing w:line="560" w:lineRule="exact"/>
        <w:ind w:firstLine="643" w:firstLineChars="20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2021年政府采购支出总额135.35万元，其中：政府采购货物支出0万元，政府采购工程支出26.6万元，政府采购服务108.75万元。授予中小企业合同金额</w:t>
      </w:r>
      <w:r>
        <w:rPr>
          <w:rFonts w:hint="default" w:ascii="仿宋_GB2312" w:eastAsia="仿宋_GB2312"/>
          <w:sz w:val="32"/>
        </w:rPr>
        <w:t>80</w:t>
      </w:r>
      <w:r>
        <w:rPr>
          <w:rFonts w:ascii="仿宋_GB2312" w:eastAsia="仿宋_GB2312"/>
          <w:sz w:val="32"/>
        </w:rPr>
        <w:t>万元，占政府采购支出总额的59.1%，其中：授予小微企业合同金额55.35万元，占政府采购支出总额的40.9%；货物采购授予中小企业合同金额占货物支出金额的0%；工程采购授予中小企业合同金额占工程支出金额的0%；服务采购授予中小企业合同金额占服务支出金额的73.56%。</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pStyle w:val="6"/>
        <w:spacing w:line="560" w:lineRule="exact"/>
        <w:ind w:firstLine="640" w:firstLineChars="200"/>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我单位2021年不涉及民生项目和重点支出项目。</w:t>
      </w:r>
    </w:p>
    <w:p>
      <w:pPr>
        <w:pStyle w:val="9"/>
        <w:autoSpaceDN w:val="0"/>
        <w:spacing w:line="560" w:lineRule="exact"/>
        <w:rPr>
          <w:b/>
          <w:bCs/>
          <w:sz w:val="36"/>
          <w:szCs w:val="36"/>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sz w:val="32"/>
        </w:rPr>
        <w:sectPr>
          <w:headerReference r:id="rId3" w:type="default"/>
          <w:pgSz w:w="11906" w:h="16838"/>
          <w:pgMar w:top="1440" w:right="1800" w:bottom="1440" w:left="1800" w:header="851" w:footer="992" w:gutter="0"/>
          <w:cols w:space="425" w:num="1"/>
          <w:docGrid w:type="lines" w:linePitch="312" w:charSpace="0"/>
        </w:sect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b/>
          <w:sz w:val="3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cs="宋体"/>
          <w:b/>
          <w:bCs/>
          <w:sz w:val="52"/>
          <w:szCs w:val="52"/>
        </w:rPr>
        <w:t>沈阳市浑南区教育研究中心</w:t>
      </w:r>
      <w:r>
        <w:rPr>
          <w:rFonts w:ascii="仿宋_GB2312" w:hAnsi="仿宋_GB2312" w:eastAsia="仿宋_GB2312" w:cs="仿宋_GB2312"/>
          <w:b/>
          <w:sz w:val="52"/>
          <w:szCs w:val="52"/>
        </w:rPr>
        <w:t>2021年度决算表</w:t>
      </w: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2BFEC1"/>
    <w:multiLevelType w:val="singleLevel"/>
    <w:tmpl w:val="992BFEC1"/>
    <w:lvl w:ilvl="0" w:tentative="0">
      <w:start w:val="1"/>
      <w:numFmt w:val="decimal"/>
      <w:suff w:val="nothing"/>
      <w:lvlText w:val="（%1）"/>
      <w:lvlJc w:val="left"/>
    </w:lvl>
  </w:abstractNum>
  <w:abstractNum w:abstractNumId="1">
    <w:nsid w:val="C3C2B30E"/>
    <w:multiLevelType w:val="singleLevel"/>
    <w:tmpl w:val="C3C2B30E"/>
    <w:lvl w:ilvl="0" w:tentative="0">
      <w:start w:val="2"/>
      <w:numFmt w:val="chineseCounting"/>
      <w:suff w:val="nothing"/>
      <w:lvlText w:val="%1、"/>
      <w:lvlJc w:val="left"/>
      <w:rPr>
        <w:rFonts w:hint="eastAsia"/>
      </w:rPr>
    </w:lvl>
  </w:abstractNum>
  <w:abstractNum w:abstractNumId="2">
    <w:nsid w:val="D61D40ED"/>
    <w:multiLevelType w:val="singleLevel"/>
    <w:tmpl w:val="D61D40ED"/>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wNTI5OTU5YTU2NGY4YzQwYWJiNTY3YmJiNmQ5OTEifQ=="/>
  </w:docVars>
  <w:rsids>
    <w:rsidRoot w:val="1C635C29"/>
    <w:rsid w:val="00022675"/>
    <w:rsid w:val="00060165"/>
    <w:rsid w:val="000969AD"/>
    <w:rsid w:val="000B3AA1"/>
    <w:rsid w:val="000B596F"/>
    <w:rsid w:val="000C4710"/>
    <w:rsid w:val="00100607"/>
    <w:rsid w:val="00166A83"/>
    <w:rsid w:val="001D0B4A"/>
    <w:rsid w:val="00320394"/>
    <w:rsid w:val="00342E31"/>
    <w:rsid w:val="0038444A"/>
    <w:rsid w:val="00387684"/>
    <w:rsid w:val="0044142C"/>
    <w:rsid w:val="00485722"/>
    <w:rsid w:val="004A3815"/>
    <w:rsid w:val="00505889"/>
    <w:rsid w:val="00531780"/>
    <w:rsid w:val="00534B51"/>
    <w:rsid w:val="00563CF0"/>
    <w:rsid w:val="005812D3"/>
    <w:rsid w:val="005814A4"/>
    <w:rsid w:val="00590A8D"/>
    <w:rsid w:val="005C4DCE"/>
    <w:rsid w:val="00622098"/>
    <w:rsid w:val="006B2B30"/>
    <w:rsid w:val="00753B9D"/>
    <w:rsid w:val="00756329"/>
    <w:rsid w:val="007F77B9"/>
    <w:rsid w:val="008040A1"/>
    <w:rsid w:val="00827910"/>
    <w:rsid w:val="008C6560"/>
    <w:rsid w:val="0093044F"/>
    <w:rsid w:val="00954778"/>
    <w:rsid w:val="00972741"/>
    <w:rsid w:val="009B3EB6"/>
    <w:rsid w:val="00A17144"/>
    <w:rsid w:val="00A5357A"/>
    <w:rsid w:val="00A57A14"/>
    <w:rsid w:val="00AC342C"/>
    <w:rsid w:val="00B07BD6"/>
    <w:rsid w:val="00B4708A"/>
    <w:rsid w:val="00B54181"/>
    <w:rsid w:val="00BA62CF"/>
    <w:rsid w:val="00BC09C4"/>
    <w:rsid w:val="00C74EF2"/>
    <w:rsid w:val="00DC3915"/>
    <w:rsid w:val="00DD4486"/>
    <w:rsid w:val="00E23EAF"/>
    <w:rsid w:val="00E4305D"/>
    <w:rsid w:val="00F16B2B"/>
    <w:rsid w:val="00F34987"/>
    <w:rsid w:val="00F67249"/>
    <w:rsid w:val="00F724E9"/>
    <w:rsid w:val="05880374"/>
    <w:rsid w:val="07D20C92"/>
    <w:rsid w:val="08A2174C"/>
    <w:rsid w:val="09163605"/>
    <w:rsid w:val="09C4782E"/>
    <w:rsid w:val="09F4422A"/>
    <w:rsid w:val="0B744A0F"/>
    <w:rsid w:val="0D6E1420"/>
    <w:rsid w:val="0ECB7368"/>
    <w:rsid w:val="0F781459"/>
    <w:rsid w:val="10431974"/>
    <w:rsid w:val="11612EA5"/>
    <w:rsid w:val="12A86A72"/>
    <w:rsid w:val="14822726"/>
    <w:rsid w:val="150B0C25"/>
    <w:rsid w:val="16A605B6"/>
    <w:rsid w:val="16F70EB5"/>
    <w:rsid w:val="17E16281"/>
    <w:rsid w:val="1B8D29CC"/>
    <w:rsid w:val="1C635C29"/>
    <w:rsid w:val="1EB1403F"/>
    <w:rsid w:val="1EF108E0"/>
    <w:rsid w:val="2378210B"/>
    <w:rsid w:val="254F59D5"/>
    <w:rsid w:val="261206FC"/>
    <w:rsid w:val="26751582"/>
    <w:rsid w:val="275B2D9A"/>
    <w:rsid w:val="2A36189D"/>
    <w:rsid w:val="2D3C71CA"/>
    <w:rsid w:val="2DE53D06"/>
    <w:rsid w:val="2E36630F"/>
    <w:rsid w:val="2E4F6256"/>
    <w:rsid w:val="2EF30CD1"/>
    <w:rsid w:val="36230505"/>
    <w:rsid w:val="37DA1FA1"/>
    <w:rsid w:val="38CC7F9C"/>
    <w:rsid w:val="3CBE3552"/>
    <w:rsid w:val="41F410CA"/>
    <w:rsid w:val="42C57F36"/>
    <w:rsid w:val="433A4C14"/>
    <w:rsid w:val="43F21959"/>
    <w:rsid w:val="44A92F3F"/>
    <w:rsid w:val="45264590"/>
    <w:rsid w:val="4940266A"/>
    <w:rsid w:val="4A51360A"/>
    <w:rsid w:val="4C3103EA"/>
    <w:rsid w:val="4C681932"/>
    <w:rsid w:val="4DFB65D5"/>
    <w:rsid w:val="4E880069"/>
    <w:rsid w:val="4F1A0CFE"/>
    <w:rsid w:val="50326318"/>
    <w:rsid w:val="51170154"/>
    <w:rsid w:val="53B96973"/>
    <w:rsid w:val="5486329D"/>
    <w:rsid w:val="54F6469B"/>
    <w:rsid w:val="55142435"/>
    <w:rsid w:val="558A7C76"/>
    <w:rsid w:val="55944BE7"/>
    <w:rsid w:val="5867225C"/>
    <w:rsid w:val="5A1F7AD4"/>
    <w:rsid w:val="5ABF12B7"/>
    <w:rsid w:val="5B47755D"/>
    <w:rsid w:val="5B4F7164"/>
    <w:rsid w:val="5B697371"/>
    <w:rsid w:val="5BA5225B"/>
    <w:rsid w:val="5C415310"/>
    <w:rsid w:val="5DFD2379"/>
    <w:rsid w:val="5E343D6A"/>
    <w:rsid w:val="6044257D"/>
    <w:rsid w:val="62993E27"/>
    <w:rsid w:val="636A2C2A"/>
    <w:rsid w:val="64F056FD"/>
    <w:rsid w:val="66F246E8"/>
    <w:rsid w:val="673C6F2C"/>
    <w:rsid w:val="69C73CE4"/>
    <w:rsid w:val="6C133DDA"/>
    <w:rsid w:val="6F0A08FB"/>
    <w:rsid w:val="707D035D"/>
    <w:rsid w:val="7216076B"/>
    <w:rsid w:val="724179B2"/>
    <w:rsid w:val="735859AD"/>
    <w:rsid w:val="78AC4606"/>
    <w:rsid w:val="78EF6552"/>
    <w:rsid w:val="7CC96CB6"/>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4595</Words>
  <Characters>5107</Characters>
  <Lines>37</Lines>
  <Paragraphs>10</Paragraphs>
  <TotalTime>5</TotalTime>
  <ScaleCrop>false</ScaleCrop>
  <LinksUpToDate>false</LinksUpToDate>
  <CharactersWithSpaces>5123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2023-05-19T09:36:00Z</dcterms:created>
  <dc:creator>国库处-王艳秋</dc:creator>
  <cp:lastModifiedBy>Administrator</cp:lastModifiedBy>
  <cp:lastPrinted>2022-09-19T10:34:00Z</cp:lastPrinted>
  <dcterms:modified xsi:type="dcterms:W3CDTF">2023-06-29T02:14:55Z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5EEC3865FAA64DD2BB3784423C186A76_13</vt:lpwstr>
  </property>
</Properties>
</file>