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jc w:val="center"/>
        <w:rPr>
          <w:rFonts w:hint="eastAsia" w:ascii="宋体" w:hAnsi="宋体"/>
          <w:b/>
          <w:sz w:val="52"/>
          <w:szCs w:val="52"/>
          <w:lang w:val="en-US" w:eastAsia="zh-CN"/>
        </w:rPr>
      </w:pPr>
      <w:r>
        <w:rPr>
          <w:rFonts w:hint="eastAsia" w:ascii="宋体" w:hAnsi="宋体"/>
          <w:b/>
          <w:sz w:val="52"/>
          <w:szCs w:val="52"/>
          <w:lang w:val="en-US" w:eastAsia="zh-CN"/>
        </w:rPr>
        <w:t>沈阳市浑南区王滨街道办事处</w:t>
      </w:r>
    </w:p>
    <w:p>
      <w:pPr>
        <w:pStyle w:val="6"/>
        <w:jc w:val="center"/>
        <w:rPr>
          <w:rFonts w:hint="default" w:ascii="仿宋_GB2312" w:eastAsia="仿宋_GB2312"/>
          <w:b/>
          <w:sz w:val="52"/>
        </w:rPr>
      </w:pP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rPr>
        <w:t>沈阳市浑南区王滨街道办事处</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ascii="黑体" w:eastAsia="黑体"/>
          <w:sz w:val="32"/>
        </w:rPr>
      </w:pPr>
      <w:r>
        <w:rPr>
          <w:rFonts w:ascii="黑体" w:eastAsia="黑体"/>
          <w:sz w:val="32"/>
        </w:rPr>
        <w:t xml:space="preserve">第二部分 </w:t>
      </w:r>
      <w:r>
        <w:rPr>
          <w:rFonts w:hint="eastAsia" w:ascii="黑体" w:eastAsia="黑体"/>
          <w:sz w:val="32"/>
          <w:lang w:val="en-US" w:eastAsia="zh-CN"/>
        </w:rPr>
        <w:t xml:space="preserve"> 沈阳市浑南区王滨街道办事处</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ascii="黑体" w:eastAsia="黑体"/>
          <w:sz w:val="32"/>
        </w:rPr>
      </w:pPr>
      <w:r>
        <w:rPr>
          <w:rFonts w:ascii="黑体" w:eastAsia="黑体"/>
          <w:sz w:val="32"/>
        </w:rPr>
        <w:t xml:space="preserve">第四部分   </w:t>
      </w:r>
      <w:r>
        <w:rPr>
          <w:rFonts w:hint="eastAsia" w:ascii="黑体" w:eastAsia="黑体"/>
          <w:sz w:val="32"/>
          <w:lang w:val="en-US" w:eastAsia="zh-CN"/>
        </w:rPr>
        <w:t>沈阳市浑南区王滨街道办事处</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ascii="仿宋_GB2312" w:eastAsia="仿宋_GB2312"/>
          <w:sz w:val="32"/>
        </w:rPr>
      </w:pPr>
      <w:r>
        <w:rPr>
          <w:rFonts w:ascii="仿宋_GB2312" w:eastAsia="仿宋_GB2312"/>
          <w:sz w:val="32"/>
        </w:rPr>
        <w:t>九、2021年度国有资本经营预算财政拨款支出决算表</w:t>
      </w:r>
    </w:p>
    <w:p>
      <w:pPr>
        <w:pStyle w:val="6"/>
        <w:numPr>
          <w:ilvl w:val="0"/>
          <w:numId w:val="1"/>
        </w:numPr>
        <w:spacing w:line="560" w:lineRule="exact"/>
        <w:jc w:val="center"/>
        <w:rPr>
          <w:b/>
          <w:sz w:val="36"/>
        </w:rPr>
      </w:pPr>
      <w:r>
        <w:rPr>
          <w:rFonts w:hint="eastAsia"/>
          <w:b/>
          <w:sz w:val="36"/>
          <w:lang w:val="en-US" w:eastAsia="zh-CN"/>
        </w:rPr>
        <w:t>沈阳市浑南区王滨街道办事处</w:t>
      </w:r>
      <w:r>
        <w:rPr>
          <w:b/>
          <w:sz w:val="36"/>
        </w:rPr>
        <w:t>概况</w:t>
      </w:r>
    </w:p>
    <w:p>
      <w:pPr>
        <w:pStyle w:val="6"/>
        <w:numPr>
          <w:ilvl w:val="0"/>
          <w:numId w:val="0"/>
        </w:numPr>
        <w:spacing w:line="560" w:lineRule="exact"/>
        <w:jc w:val="both"/>
        <w:rPr>
          <w:rFonts w:hint="default"/>
          <w:b/>
          <w:sz w:val="36"/>
        </w:rPr>
      </w:pPr>
    </w:p>
    <w:p>
      <w:pPr>
        <w:spacing w:line="560" w:lineRule="exact"/>
        <w:ind w:firstLine="640" w:firstLineChars="200"/>
        <w:rPr>
          <w:rFonts w:ascii="黑体" w:eastAsia="黑体"/>
          <w:color w:val="000000"/>
          <w:sz w:val="32"/>
        </w:rPr>
      </w:pPr>
      <w:r>
        <w:rPr>
          <w:rFonts w:ascii="黑体" w:eastAsia="黑体"/>
          <w:color w:val="000000"/>
          <w:sz w:val="32"/>
        </w:rPr>
        <w:t>一、主要职责</w:t>
      </w:r>
    </w:p>
    <w:p>
      <w:pPr>
        <w:ind w:firstLine="627" w:firstLineChars="196"/>
        <w:rPr>
          <w:rFonts w:ascii="仿宋_GB2312" w:hAnsi="华文中宋" w:eastAsia="仿宋_GB2312"/>
          <w:color w:val="000000"/>
          <w:sz w:val="32"/>
          <w:szCs w:val="32"/>
        </w:rPr>
      </w:pPr>
      <w:r>
        <w:rPr>
          <w:rFonts w:ascii="仿宋_GB2312" w:hAnsi="华文中宋" w:eastAsia="仿宋_GB2312"/>
          <w:color w:val="000000"/>
          <w:sz w:val="32"/>
          <w:szCs w:val="32"/>
        </w:rPr>
        <w:t>主要负责辖区内基层党建、社会事业、就业和社会保障</w:t>
      </w:r>
    </w:p>
    <w:p>
      <w:pPr>
        <w:rPr>
          <w:rFonts w:ascii="仿宋_GB2312" w:hAnsi="华文中宋" w:eastAsia="仿宋_GB2312"/>
          <w:color w:val="000000"/>
          <w:sz w:val="32"/>
          <w:szCs w:val="32"/>
        </w:rPr>
      </w:pPr>
      <w:r>
        <w:rPr>
          <w:rFonts w:ascii="仿宋_GB2312" w:hAnsi="华文中宋" w:eastAsia="仿宋_GB2312"/>
          <w:color w:val="000000"/>
          <w:sz w:val="32"/>
          <w:szCs w:val="32"/>
        </w:rPr>
        <w:t>、信访稳定、城市管理、安全生产、农村工作、社区建设等工作。</w:t>
      </w:r>
    </w:p>
    <w:p>
      <w:pPr>
        <w:ind w:firstLine="627" w:firstLineChars="196"/>
        <w:rPr>
          <w:rFonts w:ascii="仿宋" w:hAnsi="仿宋" w:eastAsia="仿宋" w:cs="仿宋"/>
          <w:bCs/>
          <w:color w:val="000000"/>
          <w:sz w:val="32"/>
          <w:szCs w:val="32"/>
        </w:rPr>
      </w:pPr>
      <w:r>
        <w:rPr>
          <w:rFonts w:ascii="仿宋_GB2312" w:hAnsi="华文中宋" w:eastAsia="仿宋_GB2312"/>
          <w:color w:val="000000"/>
          <w:sz w:val="32"/>
          <w:szCs w:val="32"/>
        </w:rPr>
        <w:t>(一)办事处内设机构</w:t>
      </w:r>
    </w:p>
    <w:p>
      <w:pPr>
        <w:ind w:firstLine="640" w:firstLineChars="200"/>
        <w:rPr>
          <w:rFonts w:ascii="仿宋_GB2312" w:hAnsi="华文中宋" w:eastAsia="仿宋_GB2312"/>
          <w:color w:val="000000"/>
          <w:sz w:val="32"/>
          <w:szCs w:val="32"/>
        </w:rPr>
      </w:pPr>
      <w:r>
        <w:rPr>
          <w:rFonts w:ascii="仿宋_GB2312" w:hAnsi="华文中宋" w:eastAsia="仿宋_GB2312"/>
          <w:color w:val="000000"/>
          <w:sz w:val="32"/>
          <w:szCs w:val="32"/>
        </w:rPr>
        <w:t>1.综合办公室</w:t>
      </w:r>
    </w:p>
    <w:p>
      <w:pPr>
        <w:ind w:firstLine="640" w:firstLineChars="200"/>
        <w:rPr>
          <w:rFonts w:ascii="仿宋_GB2312" w:hAnsi="华文中宋" w:eastAsia="仿宋_GB2312"/>
          <w:color w:val="000000"/>
          <w:sz w:val="32"/>
          <w:szCs w:val="32"/>
        </w:rPr>
      </w:pPr>
      <w:r>
        <w:rPr>
          <w:rFonts w:ascii="仿宋_GB2312" w:hAnsi="华文中宋" w:eastAsia="仿宋_GB2312"/>
          <w:color w:val="000000"/>
          <w:sz w:val="32"/>
          <w:szCs w:val="32"/>
        </w:rPr>
        <w:t>主要履行行政事务等工作职能。负责街道综合协调服务，发挥桥梁纽带作用；负责街道重要公文、计划、总结的起草、规范和核发，组织重要会议活动，对区委、区政府重点工作事项进行督办；做好机要和保密，内部管理，档案及后勤工作；负责人事干部管理工作；负责街道年度财政预算制定、执行和决算，负责街道财务管理、资金管理及核算工作；负责社区公共财力建设项目的申报、建设、使用、维护和固定资产管理、政府采购；加强依法行政，落实行政法律事务；落实公共突发事件的统筹协调。</w:t>
      </w:r>
    </w:p>
    <w:p>
      <w:pPr>
        <w:ind w:firstLine="640" w:firstLineChars="200"/>
        <w:rPr>
          <w:rFonts w:ascii="仿宋_GB2312" w:eastAsia="仿宋_GB2312"/>
          <w:color w:val="000000"/>
          <w:sz w:val="32"/>
          <w:szCs w:val="32"/>
        </w:rPr>
      </w:pPr>
      <w:r>
        <w:rPr>
          <w:rFonts w:ascii="仿宋_GB2312" w:eastAsia="仿宋_GB2312"/>
          <w:color w:val="000000"/>
          <w:sz w:val="32"/>
          <w:szCs w:val="32"/>
        </w:rPr>
        <w:t>2.党群工作办公室</w:t>
      </w:r>
    </w:p>
    <w:p>
      <w:pPr>
        <w:ind w:firstLine="640" w:firstLineChars="200"/>
        <w:rPr>
          <w:rFonts w:ascii="仿宋_GB2312" w:eastAsia="仿宋_GB2312"/>
          <w:color w:val="000000"/>
          <w:sz w:val="32"/>
          <w:szCs w:val="32"/>
        </w:rPr>
      </w:pPr>
      <w:r>
        <w:rPr>
          <w:rFonts w:ascii="仿宋_GB2312" w:eastAsia="仿宋_GB2312"/>
          <w:color w:val="000000"/>
          <w:sz w:val="32"/>
          <w:szCs w:val="32"/>
        </w:rPr>
        <w:t>主要履行机关党务工作职能。负责机关内部党务工作；基层党组织建设等相关工作；落实上级党委关于基层党建工作的部署，健全党的基层组织体系；负责党员发展教育管理及社区非公党建工作；按照区人大及街道人大工委的要求，做好市、区人大代表联系居民区的服务工作负责起草代表组工作计划，组织安排代表培训、视察和调研活动，办理代表建议、批评和意见。做好政协工委相关工作，做好政协委员联络服务及提案工作；履行宣传教育、统一战线、民族宗教和群团组织等工作职能。积极宣传党的路线、方针、政策，国家法律法规和社会主义核心价值观，开展社区精神文明建设；加强全民国防教育，做好兵役工作；巩固和发展爱国统一战线，做好区域内民族宗教事务管理工作；充分发挥工会，共青团、妇联等群众组织在社区治理中的作用，支持群众组织独立负责地开展各项工作；做好基层商会服务工作。</w:t>
      </w:r>
    </w:p>
    <w:p>
      <w:pPr>
        <w:numPr>
          <w:ilvl w:val="0"/>
          <w:numId w:val="2"/>
        </w:numPr>
        <w:ind w:firstLine="640" w:firstLineChars="200"/>
        <w:rPr>
          <w:rFonts w:ascii="仿宋_GB2312" w:hAnsi="华文中宋" w:eastAsia="仿宋_GB2312"/>
          <w:color w:val="000000"/>
          <w:sz w:val="32"/>
          <w:szCs w:val="32"/>
        </w:rPr>
      </w:pPr>
      <w:r>
        <w:rPr>
          <w:rFonts w:ascii="仿宋_GB2312" w:hAnsi="华文中宋" w:eastAsia="仿宋_GB2312"/>
          <w:color w:val="000000"/>
          <w:sz w:val="32"/>
          <w:szCs w:val="32"/>
        </w:rPr>
        <w:t>城乡建设与管理办公室</w:t>
      </w:r>
    </w:p>
    <w:p>
      <w:pPr>
        <w:numPr>
          <w:ilvl w:val="0"/>
          <w:numId w:val="0"/>
        </w:numPr>
        <w:ind w:firstLine="640" w:firstLineChars="200"/>
        <w:rPr>
          <w:rFonts w:ascii="仿宋_GB2312" w:hAnsi="华文中宋" w:eastAsia="仿宋_GB2312"/>
          <w:color w:val="000000"/>
          <w:sz w:val="32"/>
          <w:szCs w:val="32"/>
        </w:rPr>
      </w:pPr>
      <w:r>
        <w:rPr>
          <w:rFonts w:ascii="仿宋_GB2312" w:hAnsi="华文中宋" w:eastAsia="仿宋_GB2312"/>
          <w:color w:val="000000"/>
          <w:sz w:val="32"/>
          <w:szCs w:val="32"/>
        </w:rPr>
        <w:t>主要履行城乡建设及综合管理等工作职能。对地区性、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工作；改善居民居住环境，落实居住小区综合管理工作；组织发动社区单位和居民，开展防台防汛和抢险救灾；负责落实河长制相关工作；承接并落实土地利用规划及城乡规划、耕地保护、集体土地组报卷、宅基地管理、设施农用地管理、配合土地执法等相关工作；负责派驻队所的日常管理和绩效考评。</w:t>
      </w:r>
    </w:p>
    <w:p>
      <w:pPr>
        <w:ind w:firstLine="640" w:firstLineChars="200"/>
        <w:rPr>
          <w:rFonts w:ascii="仿宋_GB2312" w:hAnsi="华文中宋" w:eastAsia="仿宋_GB2312"/>
          <w:color w:val="000000"/>
          <w:sz w:val="32"/>
          <w:szCs w:val="32"/>
        </w:rPr>
      </w:pPr>
      <w:r>
        <w:rPr>
          <w:rFonts w:ascii="仿宋_GB2312" w:hAnsi="华文中宋" w:eastAsia="仿宋_GB2312"/>
          <w:color w:val="000000"/>
          <w:sz w:val="32"/>
          <w:szCs w:val="32"/>
        </w:rPr>
        <w:t>4.民生服务和社区建设办公室</w:t>
      </w:r>
    </w:p>
    <w:p>
      <w:pPr>
        <w:ind w:firstLine="640" w:firstLineChars="200"/>
        <w:rPr>
          <w:rFonts w:ascii="仿宋_GB2312" w:hAnsi="华文中宋" w:eastAsia="仿宋_GB2312"/>
          <w:color w:val="000000"/>
          <w:sz w:val="32"/>
          <w:szCs w:val="32"/>
        </w:rPr>
      </w:pPr>
      <w:r>
        <w:rPr>
          <w:rFonts w:ascii="仿宋_GB2312" w:hAnsi="华文中宋" w:eastAsia="仿宋_GB2312"/>
          <w:color w:val="000000"/>
          <w:sz w:val="32"/>
          <w:szCs w:val="32"/>
        </w:rPr>
        <w:t>主要履行街道基本民生保障和基本公共服务等工作职能。落实劳动保障、社会保险、医疗保险、住房保障、社会救助、社会福利、优抚、双拥共建、殡葬管理等基本民生保障；综合运用公益、慈善和志愿服务手段，做好扶贫济困工作；调动引导政府、市场和社会资源，向社区居民，特别是老年人、残疾人、特殊困难人群等提供完善的设施、高效管理、便捷服务；落实红十字会工作。主要履行统筹落实社区发展重大决策事项和建设规划，推动辖区健康、有序、可持续发展等工作职能。组织制定社区发展规划，有序推进相关规划落地；坚持服务和管理并重，培育发展社会组织；充分利用互联网、大数据等方式推进智慧信息化建设，加强信息的分析应用；拓宽制度化的民意表达渠道，完善协商沟通机制，负责征集街道社情民意，为领导决策提供依据；配合落实与社区发展有关的各类统计工作；指导基层自治、加强社区工作者管理和居民区建设等工作；负责推进社区开展幸福沈阳共同缔造等相关工作；负责组织协调辖区单位开展群众性文化体育活动，促进辖区内文化市场的繁荣与发展，提升全国文明城市创建成果；协助区有关部门做好辖区内的社区教育、校外教育、校外活动站及文化活动站的管理工作，加强公民道德建设，打造社区特色文化、弘扬家教家风、提升市民文明素质和城市文明程度；完成小区物业建设及弃管小区管理工作；负责指导、协调和督促检查社区科普、教育、文化、卫生计生、体育、旅游等社会事业发展工作。负责农村基层组织，政权建设及管理工作。</w:t>
      </w:r>
    </w:p>
    <w:p>
      <w:pPr>
        <w:ind w:firstLine="640" w:firstLineChars="200"/>
        <w:rPr>
          <w:rFonts w:ascii="仿宋_GB2312" w:hAnsi="华文中宋" w:eastAsia="仿宋_GB2312"/>
          <w:color w:val="000000"/>
          <w:sz w:val="32"/>
          <w:szCs w:val="32"/>
        </w:rPr>
      </w:pPr>
      <w:r>
        <w:rPr>
          <w:rFonts w:ascii="仿宋_GB2312" w:hAnsi="华文中宋" w:eastAsia="仿宋_GB2312"/>
          <w:color w:val="000000"/>
          <w:sz w:val="32"/>
          <w:szCs w:val="32"/>
        </w:rPr>
        <w:t>5.综治信访维稳办公室</w:t>
      </w:r>
    </w:p>
    <w:p>
      <w:pPr>
        <w:ind w:firstLine="640" w:firstLineChars="200"/>
        <w:rPr>
          <w:rFonts w:ascii="仿宋_GB2312" w:hAnsi="华文中宋" w:eastAsia="仿宋_GB2312"/>
          <w:color w:val="000000"/>
          <w:sz w:val="32"/>
          <w:szCs w:val="32"/>
        </w:rPr>
      </w:pPr>
      <w:r>
        <w:rPr>
          <w:rFonts w:ascii="仿宋_GB2312" w:hAnsi="华文中宋" w:eastAsia="仿宋_GB2312"/>
          <w:color w:val="000000"/>
          <w:sz w:val="32"/>
          <w:szCs w:val="32"/>
        </w:rPr>
        <w:t>主要履行维护社区平安稳定等工作职能，负责本地区的信访稳定工作，对发生在本地区的信访事项，落实包保措施，承担稳控、化解责任；组织开展社会治安综合治理和辖区单位、居民区平安建设；协调推进物防、技防、人防等社会治安防控体系建设；负责网络民生诉求办理，受理人民群众来信来访，协调督促信访办理，处理辖区内不稳定事件；指导人民调解工作，开展矛盾纠纷排查化解；配合司法所组织开展法制宣传和法律援助；落实社区矫正、社区戒毒、刑释解教人员安置帮教和实有人口服务管理工作；协调开展邪教防范工作；负责管理社会治安综合治理工作中心；落实农民工维权相关工作；负责铁路护路相关工作。</w:t>
      </w:r>
    </w:p>
    <w:p>
      <w:pPr>
        <w:ind w:firstLine="640" w:firstLineChars="200"/>
        <w:rPr>
          <w:rFonts w:ascii="仿宋_GB2312" w:hAnsi="华文中宋" w:eastAsia="仿宋_GB2312"/>
          <w:color w:val="000000"/>
          <w:sz w:val="32"/>
          <w:szCs w:val="32"/>
        </w:rPr>
      </w:pPr>
      <w:r>
        <w:rPr>
          <w:rFonts w:ascii="仿宋_GB2312" w:hAnsi="华文中宋" w:eastAsia="仿宋_GB2312"/>
          <w:color w:val="000000"/>
          <w:sz w:val="32"/>
          <w:szCs w:val="32"/>
        </w:rPr>
        <w:t>(二)街道纪工委</w:t>
      </w:r>
    </w:p>
    <w:p>
      <w:pPr>
        <w:ind w:firstLine="640" w:firstLineChars="200"/>
        <w:rPr>
          <w:rFonts w:ascii="仿宋_GB2312" w:hAnsi="华文中宋" w:eastAsia="仿宋_GB2312"/>
          <w:color w:val="000000"/>
          <w:sz w:val="32"/>
          <w:szCs w:val="32"/>
        </w:rPr>
      </w:pPr>
      <w:r>
        <w:rPr>
          <w:rFonts w:ascii="仿宋_GB2312" w:hAnsi="华文中宋" w:eastAsia="仿宋_GB2312"/>
          <w:color w:val="000000"/>
          <w:sz w:val="32"/>
          <w:szCs w:val="32"/>
        </w:rPr>
        <w:t>街道纪工委是区纪委监委的派出机构，代表区纪委监委行使权利，履行纪检、监察两项职能，受街道党工委和区纪委监委双重领导。</w:t>
      </w:r>
    </w:p>
    <w:p>
      <w:pPr>
        <w:ind w:firstLine="640" w:firstLineChars="200"/>
        <w:rPr>
          <w:rFonts w:ascii="仿宋_GB2312" w:hAnsi="华文中宋" w:eastAsia="仿宋_GB2312"/>
          <w:color w:val="000000"/>
          <w:sz w:val="32"/>
          <w:szCs w:val="32"/>
        </w:rPr>
      </w:pPr>
      <w:r>
        <w:rPr>
          <w:rFonts w:ascii="仿宋_GB2312" w:hAnsi="华文中宋" w:eastAsia="仿宋_GB2312"/>
          <w:color w:val="000000"/>
          <w:sz w:val="32"/>
          <w:szCs w:val="32"/>
        </w:rPr>
        <w:t>负责监督检查街道贯彻执行党的路线方针政策，遵守国家法规、法规，落实区委、区政府决策部署的情况；对街道党政领导班子及其成员维护党的政治纪律，贯彻执行民主集中制，选拔任用领导干部，贯彻落实党风廉政建设民主集中制，选拔任用领导干部，贯彻落实党风廉政建设责任制和廉政勤政的情况进行监督；协助街道党政领导班子抓好反腐倡廉工作的部署和任务的分解，健全和完善组织协调机制，督促检查和调查研究街道开展反腐败重点工作、从源头上预防和治理腐败等情况，提出改进或加强的意见和建议，及时总结街道党风廉政建设和反腐败工作的经验，开展对街道重点部门、重点岗位和实施重大决策、重点工作中执行党政纪情况的监督检查；经区纪委批准，初步核实对街道党政领导班子及其成员违反党政纪的举报，参与调查街道党政领导班子及其成员违反党政纪的案件，负责调查科级及以下党员干部违反党政纪的案件及其他重要案件；受理对党组织、党员和纪检监察对象的检举，控告，受理街道党员和纪检监察对象不服从处分的申诉；完成区纪委交办的其他任务。对街道管辖范围内行使公权力的公职人员进行监督，提出监察建议；协助区监委开展调查工作；采取谈话、询问等方式对职务违法行为进行调查；完成区监委交办的其他任务。</w:t>
      </w:r>
    </w:p>
    <w:p>
      <w:pPr>
        <w:rPr>
          <w:rFonts w:ascii="仿宋_GB2312" w:hAnsi="华文中宋" w:eastAsia="仿宋_GB2312"/>
          <w:color w:val="000000"/>
          <w:sz w:val="32"/>
          <w:szCs w:val="32"/>
        </w:rPr>
      </w:pPr>
    </w:p>
    <w:p>
      <w:pPr>
        <w:pStyle w:val="6"/>
        <w:spacing w:line="560" w:lineRule="exact"/>
        <w:ind w:firstLine="640"/>
        <w:rPr>
          <w:rFonts w:hint="default" w:ascii="黑体" w:eastAsia="黑体"/>
          <w:sz w:val="32"/>
        </w:rPr>
      </w:pPr>
      <w:r>
        <w:rPr>
          <w:rFonts w:ascii="黑体" w:eastAsia="黑体"/>
          <w:sz w:val="32"/>
        </w:rPr>
        <w:t>二、决算单位构成</w:t>
      </w:r>
    </w:p>
    <w:p>
      <w:pPr>
        <w:pStyle w:val="6"/>
        <w:spacing w:line="560" w:lineRule="exact"/>
        <w:rPr>
          <w:rFonts w:ascii="仿宋_GB2312" w:eastAsia="仿宋_GB2312"/>
          <w:b/>
          <w:bCs/>
          <w:color w:val="auto"/>
          <w:sz w:val="32"/>
          <w:szCs w:val="32"/>
        </w:rPr>
      </w:pPr>
      <w:r>
        <w:rPr>
          <w:rFonts w:hint="eastAsia"/>
          <w:b/>
          <w:sz w:val="36"/>
          <w:lang w:val="en-US" w:eastAsia="zh-CN"/>
        </w:rPr>
        <w:t xml:space="preserve">     </w:t>
      </w:r>
      <w:r>
        <w:rPr>
          <w:rFonts w:ascii="仿宋_GB2312" w:eastAsia="仿宋_GB2312"/>
          <w:b w:val="0"/>
          <w:bCs w:val="0"/>
          <w:color w:val="auto"/>
          <w:sz w:val="32"/>
          <w:szCs w:val="32"/>
        </w:rPr>
        <w:t>纳入</w:t>
      </w:r>
      <w:r>
        <w:rPr>
          <w:rFonts w:hint="eastAsia" w:ascii="仿宋_GB2312" w:eastAsia="仿宋_GB2312"/>
          <w:b w:val="0"/>
          <w:bCs w:val="0"/>
          <w:color w:val="auto"/>
          <w:sz w:val="32"/>
          <w:szCs w:val="32"/>
          <w:lang w:eastAsia="zh-CN"/>
        </w:rPr>
        <w:t>本单位</w:t>
      </w:r>
      <w:r>
        <w:rPr>
          <w:rFonts w:ascii="仿宋_GB2312" w:eastAsia="仿宋_GB2312"/>
          <w:b w:val="0"/>
          <w:bCs w:val="0"/>
          <w:color w:val="auto"/>
          <w:sz w:val="32"/>
          <w:szCs w:val="32"/>
        </w:rPr>
        <w:t>20</w:t>
      </w:r>
      <w:r>
        <w:rPr>
          <w:rFonts w:hint="eastAsia" w:ascii="仿宋_GB2312" w:eastAsia="仿宋_GB2312"/>
          <w:b w:val="0"/>
          <w:bCs w:val="0"/>
          <w:color w:val="auto"/>
          <w:sz w:val="32"/>
          <w:szCs w:val="32"/>
          <w:lang w:val="en-US" w:eastAsia="zh-CN"/>
        </w:rPr>
        <w:t>21</w:t>
      </w:r>
      <w:r>
        <w:rPr>
          <w:rFonts w:ascii="仿宋_GB2312" w:eastAsia="仿宋_GB2312"/>
          <w:b w:val="0"/>
          <w:bCs w:val="0"/>
          <w:color w:val="auto"/>
          <w:sz w:val="32"/>
          <w:szCs w:val="32"/>
        </w:rPr>
        <w:t>年</w:t>
      </w:r>
      <w:r>
        <w:rPr>
          <w:rFonts w:hint="eastAsia" w:ascii="仿宋_GB2312" w:eastAsia="仿宋_GB2312"/>
          <w:b w:val="0"/>
          <w:bCs w:val="0"/>
          <w:color w:val="auto"/>
          <w:sz w:val="32"/>
          <w:szCs w:val="32"/>
          <w:lang w:eastAsia="zh-CN"/>
        </w:rPr>
        <w:t>决算</w:t>
      </w:r>
      <w:r>
        <w:rPr>
          <w:rFonts w:ascii="仿宋_GB2312" w:eastAsia="仿宋_GB2312"/>
          <w:b w:val="0"/>
          <w:bCs w:val="0"/>
          <w:color w:val="auto"/>
          <w:sz w:val="32"/>
          <w:szCs w:val="32"/>
        </w:rPr>
        <w:t>编制范围的是</w:t>
      </w:r>
      <w:r>
        <w:rPr>
          <w:rFonts w:hint="eastAsia" w:ascii="仿宋_GB2312" w:eastAsia="仿宋_GB2312"/>
          <w:b w:val="0"/>
          <w:bCs w:val="0"/>
          <w:color w:val="auto"/>
          <w:sz w:val="32"/>
          <w:szCs w:val="32"/>
          <w:lang w:eastAsia="zh-CN"/>
        </w:rPr>
        <w:t>沈阳市浑南区王滨街道办事处</w:t>
      </w:r>
      <w:r>
        <w:rPr>
          <w:rFonts w:ascii="仿宋_GB2312" w:eastAsia="仿宋_GB2312"/>
          <w:b w:val="0"/>
          <w:bCs w:val="0"/>
          <w:color w:val="auto"/>
          <w:sz w:val="32"/>
          <w:szCs w:val="32"/>
        </w:rPr>
        <w:t>本级，本单位无下设机构</w:t>
      </w:r>
      <w:r>
        <w:rPr>
          <w:rFonts w:ascii="仿宋_GB2312" w:eastAsia="仿宋_GB2312"/>
          <w:b/>
          <w:bCs/>
          <w:color w:val="auto"/>
          <w:sz w:val="32"/>
          <w:szCs w:val="32"/>
        </w:rPr>
        <w:t>。</w:t>
      </w:r>
    </w:p>
    <w:p>
      <w:pPr>
        <w:pStyle w:val="6"/>
        <w:spacing w:line="560" w:lineRule="exact"/>
        <w:rPr>
          <w:rFonts w:hint="default" w:ascii="仿宋_GB2312" w:eastAsia="仿宋_GB2312"/>
          <w:b/>
          <w:bCs/>
          <w:color w:val="auto"/>
          <w:sz w:val="32"/>
          <w:szCs w:val="32"/>
        </w:rPr>
      </w:pPr>
    </w:p>
    <w:p>
      <w:pPr>
        <w:pStyle w:val="6"/>
        <w:spacing w:line="560" w:lineRule="exact"/>
        <w:jc w:val="center"/>
        <w:rPr>
          <w:rFonts w:hint="eastAsia"/>
          <w:b/>
          <w:sz w:val="36"/>
        </w:rPr>
      </w:pPr>
      <w:r>
        <w:rPr>
          <w:b/>
          <w:sz w:val="36"/>
        </w:rPr>
        <w:t>第二部分</w:t>
      </w:r>
      <w:r>
        <w:rPr>
          <w:rFonts w:hint="eastAsia"/>
          <w:b/>
          <w:sz w:val="36"/>
        </w:rPr>
        <w:t>沈阳市浑南区王滨街道办事处</w:t>
      </w:r>
    </w:p>
    <w:p>
      <w:pPr>
        <w:pStyle w:val="6"/>
        <w:spacing w:line="560" w:lineRule="exact"/>
        <w:jc w:val="center"/>
        <w:rPr>
          <w:rFonts w:hint="default"/>
          <w:b/>
          <w:sz w:val="36"/>
        </w:rPr>
      </w:pPr>
      <w:r>
        <w:rPr>
          <w:b/>
          <w:sz w:val="36"/>
        </w:rPr>
        <w:t>2021年决算情况说明</w:t>
      </w:r>
    </w:p>
    <w:p>
      <w:pPr>
        <w:pStyle w:val="6"/>
        <w:spacing w:line="560" w:lineRule="exact"/>
        <w:ind w:firstLine="640" w:firstLineChars="200"/>
        <w:rPr>
          <w:rFonts w:hint="default" w:ascii="黑体" w:eastAsia="黑体"/>
          <w:sz w:val="32"/>
        </w:rPr>
      </w:pPr>
    </w:p>
    <w:p>
      <w:pPr>
        <w:numPr>
          <w:ilvl w:val="0"/>
          <w:numId w:val="3"/>
        </w:numPr>
        <w:spacing w:line="540" w:lineRule="exact"/>
        <w:ind w:firstLine="627" w:firstLineChars="196"/>
        <w:rPr>
          <w:rFonts w:ascii="黑体" w:eastAsia="黑体"/>
          <w:sz w:val="32"/>
        </w:rPr>
      </w:pPr>
      <w:r>
        <w:rPr>
          <w:rFonts w:ascii="黑体" w:eastAsia="黑体"/>
          <w:sz w:val="32"/>
        </w:rPr>
        <w:t>收入支出决算总体情况说明</w:t>
      </w:r>
    </w:p>
    <w:p>
      <w:pPr>
        <w:numPr>
          <w:ilvl w:val="0"/>
          <w:numId w:val="0"/>
        </w:numPr>
        <w:spacing w:line="540" w:lineRule="exact"/>
        <w:rPr>
          <w:rFonts w:hint="eastAsia" w:ascii="黑体" w:eastAsia="黑体"/>
          <w:sz w:val="32"/>
          <w:lang w:eastAsia="zh-CN"/>
        </w:rPr>
      </w:pP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2600.16</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2517.71</w:t>
      </w:r>
      <w:r>
        <w:rPr>
          <w:rFonts w:ascii="仿宋_GB2312" w:eastAsia="仿宋_GB2312"/>
          <w:sz w:val="32"/>
        </w:rPr>
        <w:t>万元，占收入总计的</w:t>
      </w:r>
      <w:r>
        <w:rPr>
          <w:rFonts w:hint="eastAsia" w:ascii="仿宋_GB2312" w:eastAsia="仿宋_GB2312"/>
          <w:sz w:val="32"/>
          <w:lang w:val="en-US" w:eastAsia="zh-CN"/>
        </w:rPr>
        <w:t>96.83</w:t>
      </w:r>
      <w:r>
        <w:rPr>
          <w:rFonts w:ascii="仿宋_GB2312" w:eastAsia="仿宋_GB2312"/>
          <w:sz w:val="32"/>
        </w:rPr>
        <w:t>%。其中：一般公共预算财政拨款收入</w:t>
      </w:r>
      <w:r>
        <w:rPr>
          <w:rFonts w:hint="eastAsia" w:ascii="仿宋_GB2312" w:eastAsia="仿宋_GB2312"/>
          <w:sz w:val="32"/>
          <w:lang w:val="en-US" w:eastAsia="zh-CN"/>
        </w:rPr>
        <w:t>2512.80</w:t>
      </w:r>
      <w:r>
        <w:rPr>
          <w:rFonts w:ascii="仿宋_GB2312" w:eastAsia="仿宋_GB2312"/>
          <w:sz w:val="32"/>
        </w:rPr>
        <w:t>万元，政府性基金收入</w:t>
      </w:r>
      <w:r>
        <w:rPr>
          <w:rFonts w:hint="eastAsia" w:ascii="仿宋_GB2312" w:eastAsia="仿宋_GB2312"/>
          <w:sz w:val="32"/>
          <w:lang w:val="en-US" w:eastAsia="zh-CN"/>
        </w:rPr>
        <w:t>4.91</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w:t>
      </w:r>
      <w:r>
        <w:rPr>
          <w:rFonts w:hint="eastAsia" w:ascii="仿宋_GB2312" w:eastAsia="仿宋_GB2312"/>
          <w:sz w:val="32"/>
          <w:lang w:val="en-US" w:eastAsia="zh-CN"/>
        </w:rPr>
        <w:t>82.45</w:t>
      </w:r>
      <w:r>
        <w:rPr>
          <w:rFonts w:ascii="仿宋_GB2312" w:eastAsia="仿宋_GB2312"/>
          <w:sz w:val="32"/>
        </w:rPr>
        <w:t>万元，占收入总计的</w:t>
      </w:r>
      <w:r>
        <w:rPr>
          <w:rFonts w:hint="eastAsia" w:ascii="仿宋_GB2312" w:eastAsia="仿宋_GB2312"/>
          <w:sz w:val="32"/>
          <w:lang w:val="en-US" w:eastAsia="zh-CN"/>
        </w:rPr>
        <w:t>3.17</w:t>
      </w:r>
      <w:r>
        <w:rPr>
          <w:rFonts w:ascii="仿宋_GB2312" w:eastAsia="仿宋_GB2312"/>
          <w:sz w:val="32"/>
        </w:rPr>
        <w:t>%。主要是</w:t>
      </w:r>
      <w:r>
        <w:rPr>
          <w:rFonts w:hint="eastAsia" w:ascii="仿宋_GB2312" w:eastAsia="仿宋_GB2312"/>
          <w:sz w:val="32"/>
          <w:lang w:val="en-US" w:eastAsia="zh-CN"/>
        </w:rPr>
        <w:t>四好农村路建设日常养护费23.00万元、应急中队营房维修费8.00万元、住宅小区锅炉改造费用9.98万元、取暖电费33.00万元</w:t>
      </w:r>
      <w:r>
        <w:rPr>
          <w:rFonts w:ascii="仿宋_GB2312" w:eastAsia="仿宋_GB2312"/>
          <w:sz w:val="32"/>
        </w:rPr>
        <w:t>等</w:t>
      </w:r>
      <w:r>
        <w:rPr>
          <w:rFonts w:hint="eastAsia" w:ascii="仿宋_GB2312" w:eastAsia="仿宋_GB2312"/>
          <w:sz w:val="32"/>
          <w:lang w:eastAsia="zh-CN"/>
        </w:rPr>
        <w:t>，</w:t>
      </w:r>
      <w:r>
        <w:rPr>
          <w:rFonts w:hint="eastAsia" w:ascii="仿宋_GB2312" w:eastAsia="仿宋_GB2312"/>
          <w:sz w:val="32"/>
          <w:lang w:val="en-US" w:eastAsia="zh-CN"/>
        </w:rPr>
        <w:t>已在本年度使用或年末财政收回</w:t>
      </w:r>
      <w:r>
        <w:rPr>
          <w:rFonts w:ascii="仿宋_GB2312" w:eastAsia="仿宋_GB2312"/>
          <w:sz w:val="32"/>
        </w:rPr>
        <w:t>。</w:t>
      </w:r>
    </w:p>
    <w:p>
      <w:pPr>
        <w:pStyle w:val="6"/>
        <w:spacing w:line="560" w:lineRule="exact"/>
        <w:ind w:firstLine="660"/>
        <w:rPr>
          <w:rFonts w:hint="eastAsia" w:ascii="仿宋_GB2312" w:eastAsia="仿宋_GB2312"/>
          <w:sz w:val="32"/>
          <w:lang w:val="en-US" w:eastAsia="zh-CN"/>
        </w:rPr>
      </w:pPr>
      <w:r>
        <w:rPr>
          <w:rFonts w:ascii="仿宋_GB2312" w:eastAsia="仿宋_GB2312"/>
          <w:sz w:val="32"/>
        </w:rPr>
        <w:t>与上年相比，今年收入减少</w:t>
      </w:r>
      <w:r>
        <w:rPr>
          <w:rFonts w:hint="eastAsia" w:ascii="仿宋_GB2312" w:eastAsia="仿宋_GB2312"/>
          <w:sz w:val="32"/>
          <w:lang w:val="en-US" w:eastAsia="zh-CN"/>
        </w:rPr>
        <w:t>102.06</w:t>
      </w:r>
      <w:r>
        <w:rPr>
          <w:rFonts w:ascii="仿宋_GB2312" w:eastAsia="仿宋_GB2312"/>
          <w:sz w:val="32"/>
        </w:rPr>
        <w:t>万元，降低</w:t>
      </w:r>
      <w:r>
        <w:rPr>
          <w:rFonts w:hint="eastAsia" w:ascii="仿宋_GB2312" w:eastAsia="仿宋_GB2312"/>
          <w:sz w:val="32"/>
          <w:lang w:val="en-US" w:eastAsia="zh-CN"/>
        </w:rPr>
        <w:t>3.78</w:t>
      </w:r>
      <w:r>
        <w:rPr>
          <w:rFonts w:ascii="仿宋_GB2312" w:eastAsia="仿宋_GB2312"/>
          <w:sz w:val="32"/>
        </w:rPr>
        <w:t>%，主要原因：</w:t>
      </w:r>
      <w:r>
        <w:rPr>
          <w:rFonts w:hint="eastAsia" w:ascii="仿宋_GB2312" w:eastAsia="仿宋_GB2312"/>
          <w:sz w:val="32"/>
          <w:lang w:val="en-US" w:eastAsia="zh-CN"/>
        </w:rPr>
        <w:t>差异主要体现在基本支出中，2020年度补发了2017年和2018年两年的应休未休假补贴80.54万元。</w:t>
      </w:r>
    </w:p>
    <w:p>
      <w:pPr>
        <w:pStyle w:val="6"/>
        <w:numPr>
          <w:ilvl w:val="0"/>
          <w:numId w:val="4"/>
        </w:numPr>
        <w:spacing w:line="560" w:lineRule="exact"/>
        <w:ind w:firstLine="660"/>
        <w:rPr>
          <w:rFonts w:ascii="楷体_GB2312" w:eastAsia="楷体_GB2312"/>
          <w:b/>
          <w:sz w:val="32"/>
        </w:rPr>
      </w:pPr>
      <w:r>
        <w:rPr>
          <w:rFonts w:ascii="楷体_GB2312" w:eastAsia="楷体_GB2312"/>
          <w:b/>
          <w:sz w:val="32"/>
        </w:rPr>
        <w:t>支出总计</w:t>
      </w:r>
      <w:r>
        <w:rPr>
          <w:rFonts w:hint="eastAsia" w:ascii="楷体_GB2312" w:eastAsia="楷体_GB2312"/>
          <w:b/>
          <w:sz w:val="32"/>
          <w:lang w:val="en-US" w:eastAsia="zh-CN"/>
        </w:rPr>
        <w:t>2517.71</w:t>
      </w:r>
      <w:r>
        <w:rPr>
          <w:rFonts w:ascii="楷体_GB2312" w:eastAsia="楷体_GB2312"/>
          <w:b/>
          <w:sz w:val="32"/>
        </w:rPr>
        <w:t>万元，包括：</w:t>
      </w:r>
    </w:p>
    <w:p>
      <w:pPr>
        <w:pStyle w:val="6"/>
        <w:numPr>
          <w:ilvl w:val="0"/>
          <w:numId w:val="0"/>
        </w:numPr>
        <w:spacing w:line="560" w:lineRule="exact"/>
        <w:ind w:firstLine="640" w:firstLineChars="200"/>
        <w:rPr>
          <w:rFonts w:hint="default" w:ascii="仿宋_GB2312" w:eastAsia="仿宋_GB2312"/>
          <w:sz w:val="32"/>
          <w:lang w:val="en-US" w:eastAsia="zh-CN"/>
        </w:rPr>
      </w:pPr>
      <w:r>
        <w:rPr>
          <w:rFonts w:ascii="仿宋_GB2312" w:eastAsia="仿宋_GB2312"/>
          <w:sz w:val="32"/>
        </w:rPr>
        <w:t>1.基本支出</w:t>
      </w:r>
      <w:r>
        <w:rPr>
          <w:rFonts w:hint="eastAsia" w:ascii="仿宋_GB2312" w:eastAsia="仿宋_GB2312"/>
          <w:sz w:val="32"/>
          <w:lang w:val="en-US" w:eastAsia="zh-CN"/>
        </w:rPr>
        <w:t>619.89</w:t>
      </w:r>
      <w:r>
        <w:rPr>
          <w:rFonts w:ascii="仿宋_GB2312" w:eastAsia="仿宋_GB2312"/>
          <w:sz w:val="32"/>
        </w:rPr>
        <w:t>万元，占支出总计的</w:t>
      </w:r>
      <w:r>
        <w:rPr>
          <w:rFonts w:hint="eastAsia" w:ascii="仿宋_GB2312" w:eastAsia="仿宋_GB2312"/>
          <w:sz w:val="32"/>
          <w:lang w:val="en-US" w:eastAsia="zh-CN"/>
        </w:rPr>
        <w:t>24.62</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450.53</w:t>
      </w:r>
      <w:r>
        <w:rPr>
          <w:rFonts w:ascii="仿宋_GB2312" w:eastAsia="仿宋_GB2312"/>
          <w:sz w:val="32"/>
        </w:rPr>
        <w:t>万元，对个人和家庭的补助支出</w:t>
      </w:r>
      <w:r>
        <w:rPr>
          <w:rFonts w:hint="eastAsia" w:ascii="仿宋_GB2312" w:eastAsia="仿宋_GB2312"/>
          <w:sz w:val="32"/>
          <w:lang w:val="en-US" w:eastAsia="zh-CN"/>
        </w:rPr>
        <w:t>25.61</w:t>
      </w:r>
      <w:r>
        <w:rPr>
          <w:rFonts w:ascii="仿宋_GB2312" w:eastAsia="仿宋_GB2312"/>
          <w:sz w:val="32"/>
        </w:rPr>
        <w:t>万元，商品和服务支出</w:t>
      </w:r>
      <w:r>
        <w:rPr>
          <w:rFonts w:hint="eastAsia" w:ascii="仿宋_GB2312" w:eastAsia="仿宋_GB2312"/>
          <w:sz w:val="32"/>
          <w:lang w:val="en-US" w:eastAsia="zh-CN"/>
        </w:rPr>
        <w:t>140.81</w:t>
      </w:r>
      <w:r>
        <w:rPr>
          <w:rFonts w:ascii="仿宋_GB2312" w:eastAsia="仿宋_GB2312"/>
          <w:sz w:val="32"/>
        </w:rPr>
        <w:t>万元</w:t>
      </w:r>
      <w:r>
        <w:rPr>
          <w:rFonts w:hint="eastAsia" w:ascii="仿宋_GB2312" w:eastAsia="仿宋_GB2312"/>
          <w:sz w:val="32"/>
          <w:lang w:eastAsia="zh-CN"/>
        </w:rPr>
        <w:t>，</w:t>
      </w:r>
      <w:r>
        <w:rPr>
          <w:rFonts w:hint="eastAsia" w:ascii="仿宋_GB2312" w:eastAsia="仿宋_GB2312"/>
          <w:sz w:val="32"/>
          <w:lang w:val="en-US" w:eastAsia="zh-CN"/>
        </w:rPr>
        <w:t>购买固定资产资本性支出2.94万元。</w:t>
      </w:r>
    </w:p>
    <w:p>
      <w:pPr>
        <w:pStyle w:val="6"/>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1897.82</w:t>
      </w:r>
      <w:r>
        <w:rPr>
          <w:rFonts w:ascii="仿宋_GB2312" w:eastAsia="仿宋_GB2312"/>
          <w:sz w:val="32"/>
        </w:rPr>
        <w:t>万元，占支出总计的</w:t>
      </w:r>
      <w:r>
        <w:rPr>
          <w:rFonts w:hint="eastAsia" w:ascii="仿宋_GB2312" w:eastAsia="仿宋_GB2312"/>
          <w:sz w:val="32"/>
          <w:lang w:val="en-US" w:eastAsia="zh-CN"/>
        </w:rPr>
        <w:t>75.37</w:t>
      </w:r>
      <w:r>
        <w:rPr>
          <w:rFonts w:ascii="仿宋_GB2312" w:eastAsia="仿宋_GB2312"/>
          <w:sz w:val="32"/>
        </w:rPr>
        <w:t>%。</w:t>
      </w:r>
      <w:r>
        <w:rPr>
          <w:rFonts w:hint="eastAsia" w:ascii="仿宋_GB2312" w:eastAsia="仿宋_GB2312"/>
          <w:sz w:val="32"/>
        </w:rPr>
        <w:t>主要包括信访工作经费、宣传工作经费、</w:t>
      </w:r>
      <w:r>
        <w:rPr>
          <w:rFonts w:hint="eastAsia" w:ascii="仿宋_GB2312" w:eastAsia="仿宋_GB2312"/>
          <w:sz w:val="32"/>
          <w:lang w:val="en-US" w:eastAsia="zh-CN"/>
        </w:rPr>
        <w:t>涉农社区办公经费</w:t>
      </w:r>
      <w:r>
        <w:rPr>
          <w:rFonts w:hint="eastAsia" w:ascii="仿宋_GB2312" w:eastAsia="仿宋_GB2312"/>
          <w:sz w:val="32"/>
        </w:rPr>
        <w:t>、村财工作经费、安全生产工作经费、秸秆禁烧工作经费、森林防火、防汛抗旱经费、村务监督</w:t>
      </w:r>
      <w:r>
        <w:rPr>
          <w:rFonts w:hint="eastAsia" w:ascii="仿宋_GB2312" w:eastAsia="仿宋_GB2312"/>
          <w:sz w:val="32"/>
          <w:lang w:val="en-US" w:eastAsia="zh-CN"/>
        </w:rPr>
        <w:t>业务</w:t>
      </w:r>
      <w:r>
        <w:rPr>
          <w:rFonts w:hint="eastAsia" w:ascii="仿宋_GB2312" w:eastAsia="仿宋_GB2312"/>
          <w:sz w:val="32"/>
        </w:rPr>
        <w:t>、应急管理事务、武装部工作经费、党建工作经费、正风肃纪经费、财政事业费等业务支出</w:t>
      </w:r>
      <w:r>
        <w:rPr>
          <w:rFonts w:ascii="仿宋_GB2312" w:eastAsia="仿宋_GB2312"/>
          <w:sz w:val="32"/>
        </w:rPr>
        <w:t>。</w:t>
      </w:r>
    </w:p>
    <w:p>
      <w:pPr>
        <w:pStyle w:val="6"/>
        <w:spacing w:line="560" w:lineRule="exact"/>
        <w:ind w:firstLine="660"/>
        <w:rPr>
          <w:rFonts w:hint="eastAsia" w:ascii="黑体" w:eastAsia="黑体"/>
          <w:sz w:val="32"/>
        </w:rPr>
      </w:pPr>
      <w:r>
        <w:rPr>
          <w:rFonts w:ascii="仿宋_GB2312" w:eastAsia="仿宋_GB2312"/>
          <w:sz w:val="32"/>
        </w:rPr>
        <w:t>与上年相比，今年支出减少</w:t>
      </w:r>
      <w:r>
        <w:rPr>
          <w:rFonts w:hint="eastAsia" w:ascii="仿宋_GB2312" w:eastAsia="仿宋_GB2312"/>
          <w:sz w:val="32"/>
          <w:lang w:val="en-US" w:eastAsia="zh-CN"/>
        </w:rPr>
        <w:t>98.17</w:t>
      </w:r>
      <w:r>
        <w:rPr>
          <w:rFonts w:ascii="仿宋_GB2312" w:eastAsia="仿宋_GB2312"/>
          <w:sz w:val="32"/>
        </w:rPr>
        <w:t>万元，降低</w:t>
      </w:r>
      <w:r>
        <w:rPr>
          <w:rFonts w:hint="eastAsia" w:ascii="仿宋_GB2312" w:eastAsia="仿宋_GB2312"/>
          <w:sz w:val="32"/>
          <w:lang w:val="en-US" w:eastAsia="zh-CN"/>
        </w:rPr>
        <w:t>3.75</w:t>
      </w:r>
      <w:r>
        <w:rPr>
          <w:rFonts w:ascii="仿宋_GB2312" w:eastAsia="仿宋_GB2312"/>
          <w:sz w:val="32"/>
        </w:rPr>
        <w:t>%，主要原因：</w:t>
      </w:r>
      <w:r>
        <w:rPr>
          <w:rFonts w:hint="eastAsia" w:ascii="仿宋_GB2312" w:eastAsia="仿宋_GB2312"/>
          <w:sz w:val="32"/>
          <w:lang w:val="en-US" w:eastAsia="zh-CN"/>
        </w:rPr>
        <w:t>2020年度补发了2017年和2018年两年的应休未休假补贴80.54万元。</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0</w:t>
      </w:r>
      <w:r>
        <w:rPr>
          <w:rFonts w:ascii="楷体_GB2312" w:eastAsia="楷体_GB2312"/>
          <w:b/>
          <w:sz w:val="32"/>
        </w:rPr>
        <w:t>万元</w:t>
      </w:r>
    </w:p>
    <w:p>
      <w:pPr>
        <w:pStyle w:val="6"/>
        <w:spacing w:line="560" w:lineRule="exact"/>
        <w:ind w:firstLine="660"/>
        <w:rPr>
          <w:rFonts w:hint="eastAsia" w:ascii="仿宋_GB2312" w:eastAsia="仿宋_GB2312"/>
          <w:sz w:val="32"/>
          <w:lang w:val="en-US" w:eastAsia="zh-CN"/>
        </w:rPr>
      </w:pPr>
      <w:r>
        <w:rPr>
          <w:rFonts w:hint="eastAsia" w:ascii="仿宋_GB2312" w:eastAsia="仿宋_GB2312"/>
          <w:sz w:val="32"/>
          <w:lang w:val="en-US" w:eastAsia="zh-CN"/>
        </w:rPr>
        <w:t>2021年度无年末结转和结余</w:t>
      </w:r>
      <w:r>
        <w:rPr>
          <w:rFonts w:ascii="仿宋_GB2312" w:eastAsia="仿宋_GB2312"/>
          <w:sz w:val="32"/>
        </w:rPr>
        <w:t>。与上年相比，今年结转结余减少</w:t>
      </w:r>
      <w:r>
        <w:rPr>
          <w:rFonts w:hint="eastAsia" w:ascii="仿宋_GB2312" w:eastAsia="仿宋_GB2312"/>
          <w:sz w:val="32"/>
          <w:lang w:val="en-US" w:eastAsia="zh-CN"/>
        </w:rPr>
        <w:t>82.45</w:t>
      </w:r>
      <w:r>
        <w:rPr>
          <w:rFonts w:ascii="仿宋_GB2312" w:eastAsia="仿宋_GB2312"/>
          <w:sz w:val="32"/>
        </w:rPr>
        <w:t>万元，降低</w:t>
      </w:r>
      <w:r>
        <w:rPr>
          <w:rFonts w:hint="eastAsia" w:ascii="仿宋_GB2312" w:eastAsia="仿宋_GB2312"/>
          <w:sz w:val="32"/>
          <w:lang w:val="en-US" w:eastAsia="zh-CN"/>
        </w:rPr>
        <w:t>100</w:t>
      </w:r>
      <w:r>
        <w:rPr>
          <w:rFonts w:ascii="仿宋_GB2312" w:eastAsia="仿宋_GB2312"/>
          <w:sz w:val="32"/>
        </w:rPr>
        <w:t>%，主要原因：</w:t>
      </w:r>
      <w:r>
        <w:rPr>
          <w:rFonts w:hint="eastAsia" w:ascii="仿宋_GB2312" w:eastAsia="仿宋_GB2312"/>
          <w:sz w:val="32"/>
          <w:lang w:val="en-US" w:eastAsia="zh-CN"/>
        </w:rPr>
        <w:t>2020年末形成的结转结余在本年度均已使用或年末财政收回。</w:t>
      </w:r>
    </w:p>
    <w:p>
      <w:pPr>
        <w:pStyle w:val="6"/>
        <w:numPr>
          <w:ilvl w:val="0"/>
          <w:numId w:val="5"/>
        </w:numPr>
        <w:spacing w:line="560" w:lineRule="exact"/>
        <w:ind w:firstLine="660"/>
        <w:rPr>
          <w:rFonts w:ascii="黑体" w:eastAsia="黑体"/>
          <w:sz w:val="32"/>
        </w:rPr>
      </w:pPr>
      <w:r>
        <w:rPr>
          <w:rFonts w:ascii="黑体" w:eastAsia="黑体"/>
          <w:sz w:val="32"/>
        </w:rPr>
        <w:t>财政拨款收入支出决算情况说明</w:t>
      </w:r>
    </w:p>
    <w:p>
      <w:pPr>
        <w:pStyle w:val="6"/>
        <w:numPr>
          <w:ilvl w:val="0"/>
          <w:numId w:val="0"/>
        </w:numPr>
        <w:spacing w:line="560" w:lineRule="exact"/>
        <w:ind w:firstLine="643" w:firstLineChars="20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2600.16</w:t>
      </w:r>
      <w:r>
        <w:rPr>
          <w:rFonts w:ascii="仿宋_GB2312" w:eastAsia="仿宋_GB2312"/>
          <w:sz w:val="32"/>
        </w:rPr>
        <w:t>万元，其中：基本支出</w:t>
      </w:r>
      <w:r>
        <w:rPr>
          <w:rFonts w:hint="eastAsia" w:ascii="仿宋_GB2312" w:eastAsia="仿宋_GB2312"/>
          <w:sz w:val="32"/>
          <w:lang w:val="en-US" w:eastAsia="zh-CN"/>
        </w:rPr>
        <w:t>619.89</w:t>
      </w:r>
      <w:r>
        <w:rPr>
          <w:rFonts w:ascii="仿宋_GB2312" w:eastAsia="仿宋_GB2312"/>
          <w:sz w:val="32"/>
        </w:rPr>
        <w:t>万元，项目支出</w:t>
      </w:r>
      <w:r>
        <w:rPr>
          <w:rFonts w:hint="eastAsia" w:ascii="仿宋_GB2312" w:eastAsia="仿宋_GB2312"/>
          <w:sz w:val="32"/>
          <w:lang w:val="en-US" w:eastAsia="zh-CN"/>
        </w:rPr>
        <w:t>1980.27</w:t>
      </w:r>
      <w:r>
        <w:rPr>
          <w:rFonts w:ascii="仿宋_GB2312" w:eastAsia="仿宋_GB2312"/>
          <w:sz w:val="32"/>
        </w:rPr>
        <w:t>万元。与上年相比，财政拨款支出减少</w:t>
      </w:r>
      <w:r>
        <w:rPr>
          <w:rFonts w:hint="eastAsia" w:ascii="仿宋_GB2312" w:eastAsia="仿宋_GB2312"/>
          <w:sz w:val="32"/>
          <w:lang w:val="en-US" w:eastAsia="zh-CN"/>
        </w:rPr>
        <w:t>102.06</w:t>
      </w:r>
      <w:r>
        <w:rPr>
          <w:rFonts w:ascii="仿宋_GB2312" w:eastAsia="仿宋_GB2312"/>
          <w:sz w:val="32"/>
        </w:rPr>
        <w:t>万元，降低</w:t>
      </w:r>
      <w:r>
        <w:rPr>
          <w:rFonts w:hint="eastAsia" w:ascii="仿宋_GB2312" w:eastAsia="仿宋_GB2312"/>
          <w:sz w:val="32"/>
          <w:lang w:val="en-US" w:eastAsia="zh-CN"/>
        </w:rPr>
        <w:t>3.78</w:t>
      </w:r>
      <w:r>
        <w:rPr>
          <w:rFonts w:ascii="仿宋_GB2312" w:eastAsia="仿宋_GB2312"/>
          <w:sz w:val="32"/>
        </w:rPr>
        <w:t>%，主要原因：</w:t>
      </w:r>
      <w:r>
        <w:rPr>
          <w:rFonts w:hint="eastAsia" w:ascii="仿宋_GB2312" w:eastAsia="仿宋_GB2312"/>
          <w:sz w:val="32"/>
          <w:lang w:val="en-US" w:eastAsia="zh-CN"/>
        </w:rPr>
        <w:t>2020年度补发了2017年和2018年两年的应休未休假补贴80.54万元。</w:t>
      </w:r>
      <w:r>
        <w:rPr>
          <w:rFonts w:ascii="仿宋_GB2312" w:eastAsia="仿宋_GB2312"/>
          <w:sz w:val="32"/>
        </w:rPr>
        <w:t>与年初预算相比，2021年度财政拨款支出完成年初预算的</w:t>
      </w:r>
      <w:r>
        <w:rPr>
          <w:rFonts w:hint="eastAsia" w:ascii="仿宋_GB2312" w:eastAsia="仿宋_GB2312"/>
          <w:sz w:val="32"/>
          <w:lang w:val="en-US" w:eastAsia="zh-CN"/>
        </w:rPr>
        <w:t>119.74</w:t>
      </w:r>
      <w:r>
        <w:rPr>
          <w:rFonts w:ascii="仿宋_GB2312" w:eastAsia="仿宋_GB2312"/>
          <w:sz w:val="32"/>
        </w:rPr>
        <w:t>%，其中：基本支出完成年初预算的</w:t>
      </w:r>
      <w:r>
        <w:rPr>
          <w:rFonts w:hint="eastAsia" w:ascii="仿宋_GB2312" w:eastAsia="仿宋_GB2312"/>
          <w:sz w:val="32"/>
          <w:lang w:val="en-US" w:eastAsia="zh-CN"/>
        </w:rPr>
        <w:t>68.97</w:t>
      </w:r>
      <w:r>
        <w:rPr>
          <w:rFonts w:ascii="仿宋_GB2312" w:eastAsia="仿宋_GB2312"/>
          <w:sz w:val="32"/>
        </w:rPr>
        <w:t>%，项目支出完成年初预算的</w:t>
      </w:r>
      <w:r>
        <w:rPr>
          <w:rFonts w:hint="eastAsia" w:ascii="仿宋_GB2312" w:eastAsia="仿宋_GB2312"/>
          <w:sz w:val="32"/>
          <w:lang w:val="en-US" w:eastAsia="zh-CN"/>
        </w:rPr>
        <w:t>155.59</w:t>
      </w:r>
      <w:r>
        <w:rPr>
          <w:rFonts w:ascii="仿宋_GB2312" w:eastAsia="仿宋_GB2312"/>
          <w:sz w:val="32"/>
        </w:rPr>
        <w:t>%。</w:t>
      </w:r>
    </w:p>
    <w:p>
      <w:pPr>
        <w:numPr>
          <w:ilvl w:val="0"/>
          <w:numId w:val="0"/>
        </w:numPr>
        <w:spacing w:line="560" w:lineRule="exact"/>
        <w:ind w:left="660" w:leftChars="0"/>
        <w:rPr>
          <w:rFonts w:ascii="楷体_GB2312" w:hAnsi="宋体" w:eastAsia="楷体_GB2312"/>
          <w:b/>
          <w:sz w:val="32"/>
          <w:szCs w:val="32"/>
        </w:rPr>
      </w:pPr>
      <w:r>
        <w:rPr>
          <w:rFonts w:ascii="楷体_GB2312" w:hAnsi="宋体" w:eastAsia="楷体_GB2312"/>
          <w:b/>
          <w:sz w:val="32"/>
          <w:szCs w:val="32"/>
        </w:rPr>
        <w:t>（二）一般公共预算财政拨款支出情况。</w:t>
      </w:r>
    </w:p>
    <w:p>
      <w:pPr>
        <w:numPr>
          <w:ilvl w:val="0"/>
          <w:numId w:val="0"/>
        </w:numPr>
        <w:spacing w:line="56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ascii="仿宋_GB2312" w:hAnsi="宋体" w:eastAsia="仿宋_GB2312"/>
          <w:color w:val="000000" w:themeColor="text1"/>
          <w:sz w:val="32"/>
          <w:szCs w:val="32"/>
          <w14:textFill>
            <w14:solidFill>
              <w14:schemeClr w14:val="tx1"/>
            </w14:solidFill>
          </w14:textFill>
        </w:rPr>
        <w:t>2021年度一般公共预算财政拨款支出</w:t>
      </w:r>
      <w:r>
        <w:rPr>
          <w:rFonts w:hint="eastAsia" w:ascii="仿宋_GB2312" w:hAnsi="宋体" w:eastAsia="仿宋_GB2312"/>
          <w:color w:val="000000" w:themeColor="text1"/>
          <w:sz w:val="32"/>
          <w:szCs w:val="32"/>
          <w:lang w:val="en-US" w:eastAsia="zh-CN"/>
          <w14:textFill>
            <w14:solidFill>
              <w14:schemeClr w14:val="tx1"/>
            </w14:solidFill>
          </w14:textFill>
        </w:rPr>
        <w:t>2595.25</w:t>
      </w:r>
      <w:r>
        <w:rPr>
          <w:rFonts w:ascii="仿宋_GB2312" w:hAnsi="宋体" w:eastAsia="仿宋_GB2312"/>
          <w:color w:val="000000" w:themeColor="text1"/>
          <w:sz w:val="32"/>
          <w:szCs w:val="32"/>
          <w14:textFill>
            <w14:solidFill>
              <w14:schemeClr w14:val="tx1"/>
            </w14:solidFill>
          </w14:textFill>
        </w:rPr>
        <w:t>万元，</w:t>
      </w:r>
    </w:p>
    <w:p>
      <w:pPr>
        <w:numPr>
          <w:ilvl w:val="0"/>
          <w:numId w:val="0"/>
        </w:numPr>
        <w:spacing w:line="560" w:lineRule="exact"/>
        <w:ind w:firstLine="640" w:firstLineChars="200"/>
        <w:rPr>
          <w:rFonts w:hint="eastAsia" w:ascii="仿宋_GB2312" w:hAnsi="宋体" w:eastAsia="仿宋_GB2312"/>
          <w:color w:val="000000" w:themeColor="text1"/>
          <w:sz w:val="32"/>
          <w:szCs w:val="32"/>
          <w:lang w:val="en-US" w:eastAsia="zh-CN"/>
          <w14:textFill>
            <w14:solidFill>
              <w14:schemeClr w14:val="tx1"/>
            </w14:solidFill>
          </w14:textFill>
        </w:rPr>
      </w:pPr>
      <w:r>
        <w:rPr>
          <w:rFonts w:ascii="仿宋_GB2312" w:hAnsi="宋体" w:eastAsia="仿宋_GB2312"/>
          <w:color w:val="000000" w:themeColor="text1"/>
          <w:sz w:val="32"/>
          <w:szCs w:val="32"/>
          <w14:textFill>
            <w14:solidFill>
              <w14:schemeClr w14:val="tx1"/>
            </w14:solidFill>
          </w14:textFill>
        </w:rPr>
        <w:t>按支出功能分类科目分，</w:t>
      </w:r>
      <w:r>
        <w:rPr>
          <w:rFonts w:hint="eastAsia" w:ascii="仿宋_GB2312" w:hAnsi="宋体" w:eastAsia="仿宋_GB2312"/>
          <w:color w:val="000000" w:themeColor="text1"/>
          <w:sz w:val="32"/>
          <w:szCs w:val="32"/>
          <w:lang w:val="en-US" w:eastAsia="zh-CN"/>
          <w14:textFill>
            <w14:solidFill>
              <w14:schemeClr w14:val="tx1"/>
            </w14:solidFill>
          </w14:textFill>
        </w:rPr>
        <w:t>包括：一般公共服务支出1,020.74万元，占39.33%；国防支出1.23万元，占0.05%；社会保障和就业支出109.27万元，占4.21%；卫生健康支出58.55万元，占2.26%；节能环保支出332.45万元，占12.81%；城乡社区支出81.98万元，占3.16%；农林水利支出809.94万元，占31.21%；交通运输支出22.93万元，占0.88%；住房保障支出97.15万元，占3.74%；灾害防治及应急管理支出61.02万元，占2.35%。</w:t>
      </w:r>
    </w:p>
    <w:p>
      <w:pPr>
        <w:numPr>
          <w:ilvl w:val="0"/>
          <w:numId w:val="6"/>
        </w:numPr>
        <w:spacing w:line="560" w:lineRule="exact"/>
        <w:ind w:firstLine="66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000000" w:themeColor="text1"/>
          <w:sz w:val="32"/>
          <w:szCs w:val="32"/>
          <w:lang w:val="en-US" w:eastAsia="zh-CN"/>
          <w14:textFill>
            <w14:solidFill>
              <w14:schemeClr w14:val="tx1"/>
            </w14:solidFill>
          </w14:textFill>
        </w:rPr>
        <w:t>一般公共服务支出1020.74万元，具体包括：</w:t>
      </w:r>
    </w:p>
    <w:p>
      <w:pPr>
        <w:spacing w:line="560" w:lineRule="exact"/>
        <w:ind w:firstLine="640" w:firstLineChars="20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000000" w:themeColor="text1"/>
          <w:sz w:val="32"/>
          <w:szCs w:val="32"/>
          <w:lang w:val="en-US" w:eastAsia="zh-CN"/>
          <w14:textFill>
            <w14:solidFill>
              <w14:schemeClr w14:val="tx1"/>
            </w14:solidFill>
          </w14:textFill>
        </w:rPr>
        <w:t>（1）一般公共服务支出（类）人大事务（款）一般行政管理事务（项）0.30万元，主要系人大换届选举购买办公用品及支付金德胜村选举经费等支出，完成年初预算的150%，决算数大于年初预算数的原因主要为保障选举活动顺利开展支出增加。</w:t>
      </w:r>
    </w:p>
    <w:p>
      <w:pPr>
        <w:spacing w:line="560" w:lineRule="exact"/>
        <w:ind w:firstLine="640" w:firstLineChars="200"/>
        <w:rPr>
          <w:rFonts w:hint="default"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000000" w:themeColor="text1"/>
          <w:sz w:val="32"/>
          <w:szCs w:val="32"/>
          <w:lang w:val="en-US" w:eastAsia="zh-CN"/>
          <w14:textFill>
            <w14:solidFill>
              <w14:schemeClr w14:val="tx1"/>
            </w14:solidFill>
          </w14:textFill>
        </w:rPr>
        <w:t xml:space="preserve"> （2）一般公共服务支出（类）人大事务（款）其他人大事务支出（项）10.00万元，主要系支19个村人大换届选集经费及购买选举箱工作牌等选举经费支出，未安排年初预算。</w:t>
      </w:r>
    </w:p>
    <w:p>
      <w:pPr>
        <w:spacing w:line="560" w:lineRule="exact"/>
        <w:ind w:firstLine="66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000000" w:themeColor="text1"/>
          <w:sz w:val="32"/>
          <w:szCs w:val="32"/>
          <w:lang w:val="en-US" w:eastAsia="zh-CN"/>
          <w14:textFill>
            <w14:solidFill>
              <w14:schemeClr w14:val="tx1"/>
            </w14:solidFill>
          </w14:textFill>
        </w:rPr>
        <w:t>（3）一般公共服务支出（类）政府办公厅（室）及相关机构事务（款）行政运行（项）432.68万元，主要是工资、采暖补贴、伙食补助费、办公费、电费、电话费、维修（护）费、工会经费、公务交通补贴等支出，完成年初预算的99.85%，决算数小于年初预算数的原因主要是部分支出下降。</w:t>
      </w:r>
    </w:p>
    <w:p>
      <w:pPr>
        <w:spacing w:line="560" w:lineRule="exact"/>
        <w:ind w:firstLine="66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000000" w:themeColor="text1"/>
          <w:sz w:val="32"/>
          <w:szCs w:val="32"/>
          <w:lang w:val="en-US" w:eastAsia="zh-CN"/>
          <w14:textFill>
            <w14:solidFill>
              <w14:schemeClr w14:val="tx1"/>
            </w14:solidFill>
          </w14:textFill>
        </w:rPr>
        <w:t>（4）一般公共服务支出（类）政府办公厅（室）及相关机构事务（款）一般行政管理事务（项）251.59万元，主要是办公费、维修（护）费、绩效工资、委托业务费、食堂支出等支出，完成年初预算的82.78%，决算数小于年初预算数的原因主要是部分支出下降。</w:t>
      </w:r>
    </w:p>
    <w:p>
      <w:pPr>
        <w:spacing w:line="560" w:lineRule="exact"/>
        <w:ind w:firstLine="66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000000" w:themeColor="text1"/>
          <w:sz w:val="32"/>
          <w:szCs w:val="32"/>
          <w:lang w:val="en-US" w:eastAsia="zh-CN"/>
          <w14:textFill>
            <w14:solidFill>
              <w14:schemeClr w14:val="tx1"/>
            </w14:solidFill>
          </w14:textFill>
        </w:rPr>
        <w:t>（5）一般公共服务支出（类）政府办公厅（室）及相关机构事务（款）信访事务（项）27.40万元，主要是办公费、印刷费、差旅费、租赁费、劳务费、委托业务费、其他等支出，完成年初预算的137%，决算数大于年初预算数的原因主要是不可预见临时维稳支出增加。</w:t>
      </w:r>
    </w:p>
    <w:p>
      <w:pPr>
        <w:spacing w:line="560" w:lineRule="exact"/>
        <w:ind w:firstLine="66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000000" w:themeColor="text1"/>
          <w:sz w:val="32"/>
          <w:szCs w:val="32"/>
          <w:lang w:val="en-US" w:eastAsia="zh-CN"/>
          <w14:textFill>
            <w14:solidFill>
              <w14:schemeClr w14:val="tx1"/>
            </w14:solidFill>
          </w14:textFill>
        </w:rPr>
        <w:t>（6）一般公共服务支出（类）政府办公厅（室）及相关机构事务（款）其他政府办公厅（室）及相关机构事务支出（项）261.65万元，主要是办公费、咨询费、取暖费、维修（护）费、办公用房租赁费、专用材料费、劳务费、委托业务费、广告宣传、食堂支出、其他等支出，完成年初预算的87.36%，决算数小于年初预算数的原因主要是机动经费部分预计支出并未发生。</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7）一般公共服务支出（类）统计信息事务（款）统计抽样调查（项）2.67万元，主要是经济统计工作经费及制作展板等支出，完成年初预算的26.70%，决算数小于年初预算数的原因主要是原有宣传展板可以继续使用未新购。</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（8）一般公共服务支出（类）财政事务（款）一般行政管理事务（项）0.74万元，主要是财务购买记账用品及软件服务费等，未安排年初预算。</w:t>
      </w:r>
    </w:p>
    <w:p>
      <w:pPr>
        <w:spacing w:line="560" w:lineRule="exact"/>
        <w:ind w:firstLine="66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auto"/>
          <w:sz w:val="32"/>
          <w:szCs w:val="32"/>
          <w:lang w:val="en-US" w:eastAsia="zh-CN"/>
        </w:rPr>
        <w:t>（9）一般公共服务支出（类）财政事务（款）其他财政事务支出（项）2.88万元，主要是财务购买档案室档案柜及物品摆放货架等，未安排年初预算。</w:t>
      </w:r>
    </w:p>
    <w:p>
      <w:pPr>
        <w:spacing w:line="560" w:lineRule="exact"/>
        <w:ind w:firstLine="66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000000" w:themeColor="text1"/>
          <w:sz w:val="32"/>
          <w:szCs w:val="32"/>
          <w:lang w:val="en-US" w:eastAsia="zh-CN"/>
          <w14:textFill>
            <w14:solidFill>
              <w14:schemeClr w14:val="tx1"/>
            </w14:solidFill>
          </w14:textFill>
        </w:rPr>
        <w:t>（10）一般公共服务支出（类）纪检监察事务（款）其他纪检监察事务支出（项）23.76万元，主要是正风肃纪监督员补贴及购买宣传栏等支出，完成年初预算的88.00%，决算数小于年初预算数的原因主要是原有宣传栏可以继续使用未新购。</w:t>
      </w:r>
    </w:p>
    <w:p>
      <w:pPr>
        <w:spacing w:line="560" w:lineRule="exact"/>
        <w:ind w:firstLine="66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000000" w:themeColor="text1"/>
          <w:sz w:val="32"/>
          <w:szCs w:val="32"/>
          <w:lang w:val="en-US" w:eastAsia="zh-CN"/>
          <w14:textFill>
            <w14:solidFill>
              <w14:schemeClr w14:val="tx1"/>
            </w14:solidFill>
          </w14:textFill>
        </w:rPr>
        <w:t>（11）一般公共服务支出（类）群众团体事务（款）其他群众团体事务支出（项）0.33万元，主要群团活动及订阅杂志等支出，完成年初预算的33.00%，决算数小于年初预算数的原因主要是相关支出减少。</w:t>
      </w:r>
    </w:p>
    <w:p>
      <w:pPr>
        <w:spacing w:line="560" w:lineRule="exact"/>
        <w:ind w:firstLine="66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000000" w:themeColor="text1"/>
          <w:sz w:val="32"/>
          <w:szCs w:val="32"/>
          <w:lang w:val="en-US" w:eastAsia="zh-CN"/>
          <w14:textFill>
            <w14:solidFill>
              <w14:schemeClr w14:val="tx1"/>
            </w14:solidFill>
          </w14:textFill>
        </w:rPr>
        <w:t>（12）一般公共服务支出（类）党委办公厅（室）及相关机构事务（款）其他党委办公厅（室）及相关机构事务支出（项）3.88万元，主要宣传板及城市社区党建经费、制作党建墙及购买党徽等支出，完成年初预算的97%，决算数小于年初预算数的原因主要是支出减少。</w:t>
      </w:r>
    </w:p>
    <w:p>
      <w:pPr>
        <w:spacing w:line="560" w:lineRule="exact"/>
        <w:ind w:firstLine="66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000000" w:themeColor="text1"/>
          <w:sz w:val="32"/>
          <w:szCs w:val="32"/>
          <w:lang w:val="en-US" w:eastAsia="zh-CN"/>
          <w14:textFill>
            <w14:solidFill>
              <w14:schemeClr w14:val="tx1"/>
            </w14:solidFill>
          </w14:textFill>
        </w:rPr>
        <w:t>（13）一般公共服务支出（类）组织事务（款）一般行政管理事务（项）2.73万元，主要是区派第一书记补助支出，未安排年初预算。</w:t>
      </w:r>
    </w:p>
    <w:p>
      <w:pPr>
        <w:spacing w:line="560" w:lineRule="exact"/>
        <w:ind w:firstLine="66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olor w:val="000000" w:themeColor="text1"/>
          <w:sz w:val="32"/>
          <w:szCs w:val="32"/>
          <w:lang w:val="en-US" w:eastAsia="zh-CN"/>
          <w14:textFill>
            <w14:solidFill>
              <w14:schemeClr w14:val="tx1"/>
            </w14:solidFill>
          </w14:textFill>
        </w:rPr>
        <w:t>（14）一般公共服务支出（类）宣传事务（款）其他宣传事务支出（项）0.13万元，主要是时事报告及党委中心组学习刊物等，完成年初预算的6.50%，决算数小于年初预算数的原因主要是达到预期效果后减少购买。</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2.国防支出1.23万元，具体包括：</w:t>
      </w:r>
    </w:p>
    <w:p>
      <w:pPr>
        <w:spacing w:line="560" w:lineRule="exact"/>
        <w:ind w:firstLine="660"/>
        <w:rPr>
          <w:rFonts w:hint="eastAsia" w:ascii="仿宋_GB2312" w:hAnsi="宋体" w:eastAsia="仿宋_GB2312"/>
          <w:color w:val="FF0000"/>
          <w:sz w:val="32"/>
          <w:szCs w:val="32"/>
          <w:lang w:val="en-US" w:eastAsia="zh-CN"/>
        </w:rPr>
      </w:pPr>
      <w:r>
        <w:rPr>
          <w:rFonts w:hint="eastAsia" w:ascii="仿宋_GB2312" w:hAnsi="宋体" w:eastAsia="仿宋_GB2312"/>
          <w:color w:val="auto"/>
          <w:sz w:val="32"/>
          <w:szCs w:val="32"/>
          <w:lang w:val="en-US" w:eastAsia="zh-CN"/>
        </w:rPr>
        <w:t>国防支出（类）国防动员（款）其他国防动员支出（项）1.23万元，主要是民兵训练及维稳支出支出，完成年初预算的61.50%，决算数小于年初预算数的原因主要相关支出减少。</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3.社会保障和就业支出109.27万元，具体包括：</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社会保障和就业支出（类）民政管理事务（款）基层政权建设和社区治理（项）13.37万元，主要是城市社区办公费和党建经费及村级班子换届选举，完成年初预算的35.37%，决算数小于年初预算数的原因主要是村级换届选举经费支出下降。</w:t>
      </w:r>
    </w:p>
    <w:p>
      <w:pPr>
        <w:spacing w:line="560" w:lineRule="exact"/>
        <w:ind w:firstLine="660"/>
        <w:rPr>
          <w:rFonts w:hint="eastAsia" w:ascii="仿宋_GB2312" w:hAnsi="宋体" w:eastAsia="仿宋_GB2312"/>
          <w:color w:val="FF0000"/>
          <w:sz w:val="32"/>
          <w:szCs w:val="32"/>
          <w:lang w:val="en-US" w:eastAsia="zh-CN"/>
        </w:rPr>
      </w:pPr>
      <w:r>
        <w:rPr>
          <w:rFonts w:hint="eastAsia" w:ascii="仿宋_GB2312" w:hAnsi="宋体" w:eastAsia="仿宋_GB2312"/>
          <w:color w:val="auto"/>
          <w:sz w:val="32"/>
          <w:szCs w:val="32"/>
          <w:lang w:val="en-US" w:eastAsia="zh-CN"/>
        </w:rPr>
        <w:t>（2）社会保障和就业支出（类）民政管理事务（款）其他民政管理事务支出（项）6.40万元，主要是涉农社区卫生室水电费及取暖费，完成年初预算的9.92%，决算数小于年初预算数的原因主要是部分社区卫生室未如期启动，未报销相关费用。</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（3）社会保障和就业支出（类）行政事业单位养老支出（款）行政单位离退休（项）11.28万元，主要是退休人员取暖费支出，完成年初预算的98.00%，决算数小于年初预算数的原因主要是取暖期前退休人员去世。</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4）社会保障和就业支出（类）行政事业单位养老支出（款）机关事业单位基本养老保险缴费支出（项）38.46万元，主要是在职公务员养老保险单位部分支出，完成年初预算的107.34%，决算数大于年初预算数的原因养老保险基数调整。</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5）社会保障和就业支出（类）行政事业单位养老支出（款）机关事业单位职业年金缴费支出（项）15.13万元，主要是退休人员职业年金单位部分，完成年初预算的84.43%，决算数小于年初预算数的原因主要是当年按基数计算的职业年金预算数比退休后统一申请的职业年金金额大。</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（6）社会保障和就业支出（类）抚恤（款） 死亡抚恤（项）22.07万元，主要是去世人员丧葬费及抚恤金支出，未安排年初预算。</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（7）社会保障和就业支出（类）其他生活救助（款）其他农村生活救助（项）2.56万元，主要是困难救助支出，完成年初预算的85.33%，决算数小于年初预算数的原因主要是预计情况未发生未实际支出。</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4.卫生健康支出58.55万元，具体包括：</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（1）卫生健康支出（类）公共卫生（款） 重大公共卫生服务（项）3.24万元，主要是疫情防控核酸检测工作人员餐费支出，未安排年初预算。</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（2）卫生健康支出（类）公共卫生（款） 突发公共卫生事件应急处理（项）30.12万元，主要是疫情防控卡点及网格员及防疫用品购买支出，未安排年初预算。</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（3）卫生健康支出（类）行政事业单位医疗（款）行政单位医疗（项）21.19万元，主要是在职人员基本医疗保险支出，完成年初预算的105.48%，决算数大于于年初预算数的原因主要是医保基数调整。</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（4）卫生健康支出（类）行政事业单位医疗（款）公务员医疗补助（项）4.00万元，主要是行政事业及退休人员医疗补助支出，完成年初预算的98.77%，决算数小于年初预算数的原因有退休人员去世情况。</w:t>
      </w:r>
    </w:p>
    <w:p>
      <w:pPr>
        <w:spacing w:line="560" w:lineRule="exact"/>
        <w:ind w:firstLine="660"/>
        <w:rPr>
          <w:rFonts w:hint="eastAsia" w:ascii="仿宋_GB2312" w:hAnsi="宋体" w:eastAsia="仿宋_GB2312"/>
          <w:color w:val="auto"/>
          <w:sz w:val="32"/>
          <w:szCs w:val="32"/>
          <w:lang w:val="en-US" w:eastAsia="zh-CN"/>
        </w:rPr>
      </w:pP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5.节能环保支出21.44万元，具体包括：</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（1）节能环保支出（类）自然生态保护（款）农村环境保护（项）171.49万元，是20年畜牧标准化规模养殖扶助资金，未安排年初预算。</w:t>
      </w:r>
    </w:p>
    <w:p>
      <w:pPr>
        <w:spacing w:line="560" w:lineRule="exact"/>
        <w:ind w:firstLine="660"/>
        <w:rPr>
          <w:rFonts w:hint="eastAsia" w:ascii="仿宋_GB2312" w:hAnsi="宋体" w:eastAsia="仿宋_GB2312"/>
          <w:color w:val="FF0000"/>
          <w:sz w:val="32"/>
          <w:szCs w:val="32"/>
          <w:lang w:val="en-US" w:eastAsia="zh-CN"/>
        </w:rPr>
      </w:pPr>
      <w:r>
        <w:rPr>
          <w:rFonts w:hint="eastAsia" w:ascii="仿宋_GB2312" w:hAnsi="宋体" w:eastAsia="仿宋_GB2312"/>
          <w:color w:val="auto"/>
          <w:sz w:val="32"/>
          <w:szCs w:val="32"/>
          <w:lang w:val="en-US" w:eastAsia="zh-CN"/>
        </w:rPr>
        <w:t>（2）节能环保支出（类）其他节能环保支出（款）其他节能环保支出（项）160.96万元，是畜禽禁养圈舍补偿支出，未安排年初预算。</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6.城乡社区支出81.98万元，具体包括：</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（1）城乡社区支出（类）城乡社区公共设施（款） 其他城乡社区公共设施支出（项）7.18万元，主要是住宅楼小区锅炉改造支出，未安排年初预算。</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（2）城乡社区支出（类）其他城乡社区支出（款） 其他城乡社区支出（项）74.80万元，主要是三条公路提高标准补偿及社区卫生室挂牌等支出，完成年初预算的92.34%，决算数小于年初预算数的原因主要是支出减少。</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7.农林水支出支出809.94万元，具体包括：</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（1）农林水支出（类）农业农村（款） 农村社会事业（项）458.51万元，主要是秸秆禁烧管控经费45.75万元、农村秸秆清理及打捆等标段支出412.76万元，完成年初预算的83.67%，决算数小于年初预算数的原因主要秸秆打捆中深翻工作状态变化不含在支出中。</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（2）农林水支出（类）农业农村（款） 行业业务管理（项）14.20万元，主要是各村村务监督支出，完成年初预算的74.73%，决算数小于年初预算数的原因是村务监督改变了考评办法。</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（3）农林水支出（类）农业农村（款） 防灾救灾（项）45.75万元，主要是秸秆禁烧管控员管控补助支出，完成年初预算的100%。</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（4）农林水支出（类）农业农村（款）农业资源保护修复与利用（项）67.64万元，主要是20年保护性耕作23.84万元及20年水飞蓟补贴43.80万元，未安排年初预算。</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（5）农林水支出（类）农业农村（款） 其他农业农村支出（项）54.59万元，主要是维修田间作业路及农村户厕倾听他补助支出，未安排年初预算。</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（6）农林水支出（类）农村综合改革（款） 对村民委员会和村党支部的补助（项）113.50万元，主要是涉农社区党建经费47.5万、村会计工资9万、村级办公经费57万，完成年初预算的0%，未安排年初预算。</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（7）农林水支出（类）农村综合改革（款） 对村集体经济组织的补助（项）34万元，主要是壮大村集体经济资金支出，未安排年初预算。</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（8）农林水支出（类）水利（款） 防汛支出（项）10.00万元，主要是河道清淤及物资采购等支出，完成年初预算的100%。</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（9）农林水支出（类）水利（款） 农村水利（项）11.75万元，主要是农村饮用水部件维修等支出，完成年初预算的90.37%，决算数小于年初预算数的原因主要是农村饮用水部件维修等支出减少。</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8.交通运输支出22.93万元，具体包括：</w:t>
      </w:r>
    </w:p>
    <w:p>
      <w:pPr>
        <w:spacing w:line="560" w:lineRule="exact"/>
        <w:ind w:firstLine="660"/>
        <w:rPr>
          <w:rFonts w:hint="eastAsia" w:ascii="仿宋_GB2312" w:hAnsi="宋体" w:eastAsia="仿宋_GB2312"/>
          <w:color w:val="FF0000"/>
          <w:sz w:val="32"/>
          <w:szCs w:val="32"/>
          <w:lang w:val="en-US" w:eastAsia="zh-CN"/>
        </w:rPr>
      </w:pPr>
      <w:r>
        <w:rPr>
          <w:rFonts w:hint="eastAsia" w:ascii="仿宋_GB2312" w:hAnsi="宋体" w:eastAsia="仿宋_GB2312"/>
          <w:color w:val="auto"/>
          <w:sz w:val="32"/>
          <w:szCs w:val="32"/>
          <w:lang w:val="en-US" w:eastAsia="zh-CN"/>
        </w:rPr>
        <w:t>交通运输支出（类）公路水路运输（款）其他公路水路运输支出（项）22.93万元，主要是四好农村公路养护项目支出，未安排年初预算。</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9.住房保障支出97.15万元，具体包括：</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（1）住房保障支出（类）住房改革支出（款） 住房公积金（项）87.69万元，主要是在职人员公积金及高比例部分项目支出，完成年初预算的108.54%，决算数大于年初预算数的原因主要是公积金基数调整。</w:t>
      </w:r>
    </w:p>
    <w:p>
      <w:pPr>
        <w:spacing w:line="560" w:lineRule="exact"/>
        <w:ind w:firstLine="660"/>
        <w:rPr>
          <w:rFonts w:hint="eastAsia" w:ascii="仿宋_GB2312" w:hAnsi="宋体" w:eastAsia="仿宋_GB2312"/>
          <w:color w:val="FF0000"/>
          <w:sz w:val="32"/>
          <w:szCs w:val="32"/>
          <w:lang w:val="en-US" w:eastAsia="zh-CN"/>
        </w:rPr>
      </w:pPr>
      <w:r>
        <w:rPr>
          <w:rFonts w:hint="eastAsia" w:ascii="仿宋_GB2312" w:hAnsi="宋体" w:eastAsia="仿宋_GB2312"/>
          <w:color w:val="auto"/>
          <w:sz w:val="32"/>
          <w:szCs w:val="32"/>
          <w:lang w:val="en-US" w:eastAsia="zh-CN"/>
        </w:rPr>
        <w:t>（2）住房保障支出（类）住房改革支出（款） 购房补贴（项）9.46万元，主要是在职人员职级调整住房货币化补贴支出，未安排年初预算。</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10.灾害防治及应急管理支出61.02万元，具体包括：</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（1）灾害防治及应急管理支出（类）应急管理事务（款）  安全监管（项）4.97万元，主要是安全生产宣传及购买物资支出，完成年初预算的99.40%，决算数小于年初预算数的原因主要是已购买完成安全生产宣传及监管所需保障物资。</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（2）灾害防治及应急管理支出（类）应急管理事务（款）  其他应急管理支出（项）35.19万元，主要是街道及各社区安全奖支出35.19万元，未安排年初预算。</w:t>
      </w:r>
    </w:p>
    <w:p>
      <w:pPr>
        <w:spacing w:line="56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（3）灾害防治及应急管理支出（类）森林消防事务（款）  其他森林消防事务支出（项）20.86万元，主要是森林防火员补助支出，完成年初预算的29.80%，决算数小于年初预算数的原因主要是森林防火员补助及宣传板购买等支出减少。</w:t>
      </w:r>
    </w:p>
    <w:p>
      <w:pPr>
        <w:numPr>
          <w:ilvl w:val="0"/>
          <w:numId w:val="0"/>
        </w:numPr>
        <w:spacing w:line="540" w:lineRule="exact"/>
        <w:ind w:firstLine="643" w:firstLineChars="200"/>
        <w:outlineLvl w:val="2"/>
        <w:rPr>
          <w:rFonts w:hint="eastAsia" w:ascii="黑体" w:hAnsi="黑体" w:eastAsia="黑体" w:cs="黑体"/>
          <w:b/>
          <w:color w:val="FF0000"/>
          <w:sz w:val="32"/>
          <w:szCs w:val="32"/>
          <w:lang w:val="en-US" w:eastAsia="zh-CN"/>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lang w:val="en-US" w:eastAsia="zh-CN"/>
        </w:rPr>
      </w:pPr>
      <w:r>
        <w:rPr>
          <w:rFonts w:ascii="仿宋_GB2312" w:hAnsi="宋体" w:eastAsia="仿宋_GB2312"/>
          <w:sz w:val="32"/>
          <w:szCs w:val="32"/>
        </w:rPr>
        <w:t>2021年度政府性基金预算财政拨款支出</w:t>
      </w:r>
      <w:r>
        <w:rPr>
          <w:rFonts w:hint="eastAsia" w:ascii="仿宋_GB2312" w:hAnsi="宋体" w:eastAsia="仿宋_GB2312"/>
          <w:sz w:val="32"/>
          <w:szCs w:val="32"/>
          <w:lang w:val="en-US" w:eastAsia="zh-CN"/>
        </w:rPr>
        <w:t>4.91</w:t>
      </w:r>
      <w:r>
        <w:rPr>
          <w:rFonts w:ascii="仿宋_GB2312" w:hAnsi="宋体" w:eastAsia="仿宋_GB2312"/>
          <w:sz w:val="32"/>
          <w:szCs w:val="32"/>
        </w:rPr>
        <w:t>万元，</w:t>
      </w:r>
      <w:r>
        <w:rPr>
          <w:rFonts w:hint="eastAsia" w:ascii="仿宋_GB2312" w:hAnsi="宋体" w:eastAsia="仿宋_GB2312"/>
          <w:sz w:val="32"/>
          <w:szCs w:val="32"/>
          <w:lang w:val="en-US" w:eastAsia="zh-CN"/>
        </w:rPr>
        <w:t>内容为</w:t>
      </w:r>
      <w:r>
        <w:rPr>
          <w:rFonts w:hint="eastAsia" w:ascii="仿宋_GB2312" w:hAnsi="宋体" w:eastAsia="仿宋_GB2312"/>
          <w:sz w:val="32"/>
          <w:szCs w:val="32"/>
        </w:rPr>
        <w:t>2020年特色产业种植项目补贴中草药种植费用</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功能科目为21211农业土地开发资金安排的支出，经济科目为31204费用补贴。</w:t>
      </w:r>
    </w:p>
    <w:p>
      <w:pPr>
        <w:spacing w:line="560" w:lineRule="exact"/>
        <w:ind w:firstLine="660"/>
        <w:rPr>
          <w:rFonts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60"/>
        <w:rPr>
          <w:rFonts w:ascii="仿宋_GB2312" w:hAnsi="宋体" w:eastAsia="仿宋_GB2312"/>
          <w:sz w:val="32"/>
          <w:szCs w:val="32"/>
        </w:rPr>
      </w:pPr>
      <w:r>
        <w:rPr>
          <w:rFonts w:ascii="仿宋_GB2312" w:hAnsi="宋体" w:eastAsia="仿宋_GB2312"/>
          <w:sz w:val="32"/>
          <w:szCs w:val="32"/>
        </w:rPr>
        <w:t>2021年度</w:t>
      </w:r>
      <w:r>
        <w:rPr>
          <w:rFonts w:hint="eastAsia" w:ascii="仿宋_GB2312" w:hAnsi="宋体" w:eastAsia="仿宋_GB2312"/>
          <w:sz w:val="32"/>
          <w:szCs w:val="32"/>
        </w:rPr>
        <w:t>本年未发生此项资金</w:t>
      </w:r>
      <w:r>
        <w:rPr>
          <w:rFonts w:ascii="仿宋_GB2312" w:hAnsi="宋体" w:eastAsia="仿宋_GB2312"/>
          <w:sz w:val="32"/>
          <w:szCs w:val="32"/>
        </w:rPr>
        <w:t>。</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年因公出国（境）费比上年减少0万元，下降0%，主要是20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公务接待费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hint="eastAsia" w:ascii="仿宋_GB2312" w:eastAsia="仿宋_GB2312"/>
          <w:sz w:val="32"/>
          <w:lang w:val="en-US" w:eastAsia="zh-CN"/>
        </w:rPr>
        <w:t>公务招待</w:t>
      </w:r>
      <w:r>
        <w:rPr>
          <w:rFonts w:hint="eastAsia" w:ascii="仿宋_GB2312" w:eastAsia="仿宋_GB2312"/>
          <w:sz w:val="32"/>
        </w:rPr>
        <w:t>。</w:t>
      </w:r>
    </w:p>
    <w:p>
      <w:pPr>
        <w:pStyle w:val="6"/>
        <w:spacing w:line="560" w:lineRule="exact"/>
        <w:ind w:firstLine="640" w:firstLineChars="200"/>
        <w:rPr>
          <w:rFonts w:hint="eastAsia"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公务用车购置及运行费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ascii="仿宋_GB2312" w:eastAsia="仿宋_GB2312"/>
          <w:sz w:val="32"/>
        </w:rPr>
        <w:t>公务用车购置</w:t>
      </w:r>
      <w:r>
        <w:rPr>
          <w:rFonts w:hint="eastAsia" w:ascii="仿宋_GB2312" w:eastAsia="仿宋_GB2312"/>
          <w:sz w:val="32"/>
        </w:rPr>
        <w:t>。</w:t>
      </w:r>
    </w:p>
    <w:p>
      <w:pPr>
        <w:spacing w:line="540" w:lineRule="exact"/>
        <w:ind w:firstLine="645"/>
        <w:rPr>
          <w:rFonts w:hint="eastAsia" w:ascii="仿宋_GB2312" w:eastAsia="仿宋_GB2312"/>
          <w:sz w:val="32"/>
          <w:lang w:eastAsia="zh-CN"/>
        </w:rPr>
      </w:pPr>
      <w:r>
        <w:rPr>
          <w:rFonts w:hint="eastAsia" w:ascii="仿宋_GB2312" w:hAnsi="宋体" w:eastAsia="仿宋_GB2312"/>
          <w:sz w:val="32"/>
          <w:szCs w:val="32"/>
        </w:rPr>
        <w:t>其中：公务用车购置费0万元，当年购置公务用车0辆。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pPr>
        <w:pStyle w:val="6"/>
        <w:autoSpaceDN w:val="0"/>
        <w:spacing w:line="560" w:lineRule="exact"/>
        <w:ind w:firstLine="640"/>
        <w:rPr>
          <w:rFonts w:hint="default" w:ascii="仿宋_GB2312" w:eastAsia="仿宋_GB2312"/>
          <w:sz w:val="32"/>
        </w:rPr>
      </w:pPr>
      <w:r>
        <w:rPr>
          <w:rFonts w:hint="eastAsia" w:ascii="仿宋_GB2312" w:hAnsi="宋体" w:eastAsia="仿宋_GB2312"/>
          <w:sz w:val="32"/>
          <w:szCs w:val="32"/>
        </w:rPr>
        <w:t>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619.89</w:t>
      </w:r>
      <w:r>
        <w:rPr>
          <w:rFonts w:ascii="仿宋_GB2312" w:eastAsia="仿宋_GB2312"/>
          <w:sz w:val="32"/>
        </w:rPr>
        <w:t>万元，其中：人员经费</w:t>
      </w:r>
      <w:r>
        <w:rPr>
          <w:rFonts w:hint="eastAsia" w:ascii="仿宋_GB2312" w:eastAsia="仿宋_GB2312"/>
          <w:sz w:val="32"/>
          <w:lang w:val="en-US" w:eastAsia="zh-CN"/>
        </w:rPr>
        <w:t>476.14</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143.75</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5"/>
        <w:rPr>
          <w:rFonts w:ascii="仿宋_GB2312" w:eastAsia="仿宋_GB2312"/>
          <w:sz w:val="32"/>
        </w:rPr>
      </w:pPr>
    </w:p>
    <w:p>
      <w:pPr>
        <w:pStyle w:val="6"/>
        <w:spacing w:line="560" w:lineRule="exact"/>
        <w:ind w:firstLine="645"/>
        <w:rPr>
          <w:rFonts w:ascii="仿宋_GB2312" w:eastAsia="仿宋_GB2312"/>
          <w:sz w:val="32"/>
        </w:rPr>
      </w:pPr>
    </w:p>
    <w:p>
      <w:pPr>
        <w:pStyle w:val="6"/>
        <w:spacing w:line="560" w:lineRule="exact"/>
        <w:ind w:firstLine="645"/>
        <w:rPr>
          <w:rFonts w:ascii="仿宋_GB2312" w:eastAsia="仿宋_GB2312"/>
          <w:sz w:val="32"/>
        </w:rPr>
      </w:pPr>
    </w:p>
    <w:p>
      <w:pPr>
        <w:pStyle w:val="6"/>
        <w:spacing w:line="560" w:lineRule="exact"/>
        <w:ind w:firstLine="645"/>
        <w:rPr>
          <w:rFonts w:hint="default" w:ascii="仿宋_GB2312" w:eastAsia="仿宋_GB2312"/>
          <w:sz w:val="32"/>
        </w:rPr>
      </w:pP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w:t>
      </w:r>
      <w:r>
        <w:rPr>
          <w:rFonts w:hint="eastAsia" w:ascii="仿宋_GB2312" w:eastAsia="仿宋_GB2312"/>
          <w:sz w:val="32"/>
          <w:lang w:val="en-US" w:eastAsia="zh-CN"/>
        </w:rPr>
        <w:t>143.75</w:t>
      </w:r>
      <w:r>
        <w:rPr>
          <w:rFonts w:ascii="仿宋_GB2312" w:eastAsia="仿宋_GB2312"/>
          <w:sz w:val="32"/>
        </w:rPr>
        <w:t>万元，比上年决算数减少</w:t>
      </w:r>
      <w:r>
        <w:rPr>
          <w:rFonts w:hint="eastAsia" w:ascii="仿宋_GB2312" w:eastAsia="仿宋_GB2312"/>
          <w:sz w:val="32"/>
          <w:lang w:val="en-US" w:eastAsia="zh-CN"/>
        </w:rPr>
        <w:t>27.41</w:t>
      </w:r>
      <w:r>
        <w:rPr>
          <w:rFonts w:ascii="仿宋_GB2312" w:eastAsia="仿宋_GB2312"/>
          <w:sz w:val="32"/>
        </w:rPr>
        <w:t>万元，降低</w:t>
      </w:r>
      <w:r>
        <w:rPr>
          <w:rFonts w:hint="eastAsia" w:ascii="仿宋_GB2312" w:eastAsia="仿宋_GB2312"/>
          <w:sz w:val="32"/>
          <w:lang w:val="en-US" w:eastAsia="zh-CN"/>
        </w:rPr>
        <w:t>16</w:t>
      </w:r>
      <w:r>
        <w:rPr>
          <w:rFonts w:ascii="仿宋_GB2312" w:eastAsia="仿宋_GB2312"/>
          <w:sz w:val="32"/>
        </w:rPr>
        <w:t>%，主要原因是</w:t>
      </w:r>
      <w:r>
        <w:rPr>
          <w:rFonts w:hint="eastAsia" w:ascii="仿宋_GB2312" w:eastAsia="仿宋_GB2312"/>
          <w:color w:val="auto"/>
          <w:sz w:val="32"/>
          <w:lang w:val="en-US" w:eastAsia="zh-CN"/>
        </w:rPr>
        <w:t>2020年度机关运行经费包含补发行政人员2018年11月到2019年车补</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pStyle w:val="6"/>
        <w:spacing w:line="560" w:lineRule="exact"/>
        <w:ind w:firstLine="640"/>
        <w:rPr>
          <w:rFonts w:ascii="仿宋_GB2312" w:eastAsia="仿宋_GB2312"/>
          <w:sz w:val="32"/>
        </w:rPr>
      </w:pPr>
    </w:p>
    <w:p>
      <w:pPr>
        <w:pStyle w:val="6"/>
        <w:spacing w:line="560" w:lineRule="exact"/>
        <w:ind w:firstLine="640"/>
        <w:rPr>
          <w:rFonts w:ascii="仿宋_GB2312" w:eastAsia="仿宋_GB2312"/>
          <w:sz w:val="32"/>
        </w:rPr>
      </w:pPr>
    </w:p>
    <w:p>
      <w:pPr>
        <w:pStyle w:val="6"/>
        <w:spacing w:line="560" w:lineRule="exact"/>
        <w:ind w:firstLine="640"/>
        <w:rPr>
          <w:rFonts w:hint="default" w:ascii="仿宋_GB2312" w:eastAsia="仿宋_GB2312"/>
          <w:sz w:val="32"/>
        </w:rPr>
      </w:pPr>
    </w:p>
    <w:p>
      <w:pPr>
        <w:keepNext w:val="0"/>
        <w:keepLines w:val="0"/>
        <w:widowControl/>
        <w:suppressLineNumbers w:val="0"/>
        <w:spacing w:before="0" w:beforeAutospacing="0" w:after="0" w:afterAutospacing="0" w:line="540" w:lineRule="exact"/>
        <w:ind w:left="0" w:right="0" w:firstLine="643" w:firstLineChars="200"/>
        <w:jc w:val="left"/>
        <w:rPr>
          <w:b/>
          <w:bCs w:val="0"/>
          <w:color w:val="000000" w:themeColor="text1"/>
          <w:highlight w:val="none"/>
          <w:shd w:val="clear" w:color="auto" w:fill="auto"/>
          <w14:textFill>
            <w14:solidFill>
              <w14:schemeClr w14:val="tx1"/>
            </w14:solidFill>
          </w14:textFill>
        </w:rPr>
      </w:pPr>
      <w:r>
        <w:rPr>
          <w:rFonts w:ascii="楷体_GB2312" w:eastAsia="楷体_GB2312"/>
          <w:b/>
          <w:color w:val="000000" w:themeColor="text1"/>
          <w:sz w:val="32"/>
          <w14:textFill>
            <w14:solidFill>
              <w14:schemeClr w14:val="tx1"/>
            </w14:solidFill>
          </w14:textFill>
        </w:rPr>
        <w:t>（四）预算绩效管理工作开展情况。</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1.整体绩效自评情况。</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根据预算绩效管理要求，组织对</w:t>
      </w:r>
      <w:r>
        <w:rPr>
          <w:rFonts w:hint="eastAsia" w:ascii="仿宋_GB2312" w:eastAsia="仿宋_GB2312"/>
          <w:sz w:val="32"/>
          <w:lang w:val="en-US" w:eastAsia="zh-CN"/>
        </w:rPr>
        <w:t>本</w:t>
      </w:r>
      <w:r>
        <w:rPr>
          <w:rFonts w:hint="default" w:ascii="仿宋_GB2312" w:eastAsia="仿宋_GB2312"/>
          <w:sz w:val="32"/>
        </w:rPr>
        <w:t>单位开展整体绩效自评，自评平均分</w:t>
      </w:r>
      <w:r>
        <w:rPr>
          <w:rFonts w:hint="eastAsia" w:ascii="仿宋_GB2312" w:eastAsia="仿宋_GB2312"/>
          <w:sz w:val="32"/>
          <w:lang w:val="en-US" w:eastAsia="zh-CN"/>
        </w:rPr>
        <w:t>85</w:t>
      </w:r>
      <w:r>
        <w:rPr>
          <w:rFonts w:hint="default" w:ascii="仿宋_GB2312" w:eastAsia="仿宋_GB2312"/>
          <w:sz w:val="32"/>
        </w:rPr>
        <w:t>分。</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2.项目绩效自评情况。根据预算绩效管理要求，</w:t>
      </w:r>
      <w:r>
        <w:rPr>
          <w:rFonts w:hint="eastAsia" w:ascii="仿宋_GB2312" w:eastAsia="仿宋_GB2312"/>
          <w:sz w:val="32"/>
          <w:lang w:eastAsia="zh-CN"/>
        </w:rPr>
        <w:t>我单位</w:t>
      </w:r>
      <w:r>
        <w:rPr>
          <w:rFonts w:hint="default" w:ascii="仿宋_GB2312" w:eastAsia="仿宋_GB2312"/>
          <w:sz w:val="32"/>
        </w:rPr>
        <w:t>组织对2021年度预算项目支出开展绩效自评，共涉及预算支出项目</w:t>
      </w:r>
      <w:r>
        <w:rPr>
          <w:rFonts w:hint="eastAsia" w:ascii="仿宋_GB2312" w:eastAsia="仿宋_GB2312"/>
          <w:sz w:val="32"/>
          <w:lang w:val="en-US" w:eastAsia="zh-CN"/>
        </w:rPr>
        <w:t>3</w:t>
      </w:r>
      <w:r>
        <w:rPr>
          <w:rFonts w:hint="default" w:ascii="仿宋_GB2312" w:eastAsia="仿宋_GB2312"/>
          <w:sz w:val="32"/>
        </w:rPr>
        <w:t>个，涉及资金</w:t>
      </w:r>
      <w:r>
        <w:rPr>
          <w:rFonts w:hint="eastAsia" w:ascii="仿宋_GB2312" w:eastAsia="仿宋_GB2312"/>
          <w:sz w:val="32"/>
          <w:lang w:val="en-US" w:eastAsia="zh-CN"/>
        </w:rPr>
        <w:t>516.30</w:t>
      </w:r>
      <w:r>
        <w:rPr>
          <w:rFonts w:hint="default" w:ascii="仿宋_GB2312" w:eastAsia="仿宋_GB2312"/>
          <w:sz w:val="32"/>
        </w:rPr>
        <w:t>万元，自评覆盖率（开展绩效自评的项目数/年初批复绩效目标的项目数）达到</w:t>
      </w:r>
      <w:r>
        <w:rPr>
          <w:rFonts w:hint="eastAsia" w:ascii="仿宋_GB2312" w:eastAsia="仿宋_GB2312"/>
          <w:sz w:val="32"/>
          <w:lang w:val="en-US" w:eastAsia="zh-CN"/>
        </w:rPr>
        <w:t>100</w:t>
      </w:r>
      <w:r>
        <w:rPr>
          <w:rFonts w:hint="default" w:ascii="仿宋_GB2312" w:eastAsia="仿宋_GB2312"/>
          <w:sz w:val="32"/>
        </w:rPr>
        <w:t>%，自评平均分（开展绩效自评的项目分数总和/开展绩效自评的项目数）</w:t>
      </w:r>
      <w:r>
        <w:rPr>
          <w:rFonts w:hint="eastAsia" w:ascii="仿宋_GB2312" w:eastAsia="仿宋_GB2312"/>
          <w:sz w:val="32"/>
          <w:lang w:val="en-US" w:eastAsia="zh-CN"/>
        </w:rPr>
        <w:t>85</w:t>
      </w:r>
      <w:r>
        <w:rPr>
          <w:rFonts w:hint="default" w:ascii="仿宋_GB2312" w:eastAsia="仿宋_GB2312"/>
          <w:sz w:val="32"/>
        </w:rPr>
        <w:t>分。</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具体评价结果如下：</w:t>
      </w:r>
    </w:p>
    <w:p>
      <w:pPr>
        <w:widowControl/>
        <w:numPr>
          <w:ilvl w:val="0"/>
          <w:numId w:val="7"/>
        </w:numPr>
        <w:spacing w:line="560" w:lineRule="exact"/>
        <w:ind w:firstLine="640" w:firstLineChars="200"/>
        <w:rPr>
          <w:rFonts w:hint="default" w:ascii="仿宋_GB2312" w:eastAsia="仿宋_GB2312"/>
          <w:sz w:val="32"/>
        </w:rPr>
      </w:pPr>
      <w:r>
        <w:rPr>
          <w:rFonts w:hint="default" w:ascii="仿宋_GB2312" w:eastAsia="仿宋_GB2312"/>
          <w:sz w:val="32"/>
        </w:rPr>
        <w:t>“大田作物秸秆处理”项目自评综述：根据年初设定的绩效目标，项目自评得分</w:t>
      </w:r>
      <w:r>
        <w:rPr>
          <w:rFonts w:hint="eastAsia" w:ascii="仿宋_GB2312" w:eastAsia="仿宋_GB2312"/>
          <w:sz w:val="32"/>
          <w:lang w:val="en-US" w:eastAsia="zh-CN"/>
        </w:rPr>
        <w:t>90</w:t>
      </w:r>
      <w:r>
        <w:rPr>
          <w:rFonts w:hint="default" w:ascii="仿宋_GB2312" w:eastAsia="仿宋_GB2312"/>
          <w:sz w:val="32"/>
        </w:rPr>
        <w:t>分。项目全年预算数为</w:t>
      </w:r>
      <w:r>
        <w:rPr>
          <w:rFonts w:hint="eastAsia" w:ascii="仿宋_GB2312" w:eastAsia="仿宋_GB2312"/>
          <w:sz w:val="32"/>
          <w:lang w:val="en-US" w:eastAsia="zh-CN"/>
        </w:rPr>
        <w:t>493.30</w:t>
      </w:r>
      <w:r>
        <w:rPr>
          <w:rFonts w:hint="default" w:ascii="仿宋_GB2312" w:eastAsia="仿宋_GB2312"/>
          <w:sz w:val="32"/>
        </w:rPr>
        <w:t>万元，执行数为</w:t>
      </w:r>
      <w:r>
        <w:rPr>
          <w:rFonts w:hint="eastAsia" w:ascii="仿宋_GB2312" w:eastAsia="仿宋_GB2312"/>
          <w:sz w:val="32"/>
          <w:lang w:val="en-US" w:eastAsia="zh-CN"/>
        </w:rPr>
        <w:t>412.76</w:t>
      </w:r>
      <w:r>
        <w:rPr>
          <w:rFonts w:hint="default" w:ascii="仿宋_GB2312" w:eastAsia="仿宋_GB2312"/>
          <w:sz w:val="32"/>
        </w:rPr>
        <w:t>万元，完成预算的</w:t>
      </w:r>
      <w:r>
        <w:rPr>
          <w:rFonts w:hint="eastAsia" w:ascii="仿宋_GB2312" w:eastAsia="仿宋_GB2312"/>
          <w:sz w:val="32"/>
          <w:lang w:val="en-US" w:eastAsia="zh-CN"/>
        </w:rPr>
        <w:t>83.67</w:t>
      </w:r>
      <w:r>
        <w:rPr>
          <w:rFonts w:hint="default" w:ascii="仿宋_GB2312" w:eastAsia="仿宋_GB2312"/>
          <w:sz w:val="32"/>
        </w:rPr>
        <w:t>%。项目绩效目标完成情况：一是新增秸秆利用社会化服务组织</w:t>
      </w:r>
      <w:r>
        <w:rPr>
          <w:rFonts w:hint="eastAsia" w:ascii="仿宋_GB2312" w:eastAsia="仿宋_GB2312"/>
          <w:sz w:val="32"/>
          <w:lang w:eastAsia="zh-CN"/>
        </w:rPr>
        <w:t>，通过政府采购招标进行秸秆打捆处理</w:t>
      </w:r>
      <w:r>
        <w:rPr>
          <w:rFonts w:hint="default" w:ascii="仿宋_GB2312" w:eastAsia="仿宋_GB2312"/>
          <w:sz w:val="32"/>
        </w:rPr>
        <w:t>;二是积极推进秸秆离田工作，确保秸秆离田率基本达到100%;三是推行秸秆强制收集（打捆）制度，加快落实秸秆综合利用项目。</w:t>
      </w:r>
    </w:p>
    <w:p>
      <w:pPr>
        <w:widowControl/>
        <w:numPr>
          <w:ilvl w:val="0"/>
          <w:numId w:val="7"/>
        </w:numPr>
        <w:spacing w:line="560" w:lineRule="exact"/>
        <w:ind w:firstLine="640" w:firstLineChars="200"/>
        <w:rPr>
          <w:rFonts w:hint="default" w:ascii="仿宋_GB2312" w:eastAsia="仿宋_GB2312"/>
          <w:color w:val="FF0000"/>
          <w:sz w:val="32"/>
        </w:rPr>
      </w:pPr>
      <w:r>
        <w:rPr>
          <w:rFonts w:hint="default" w:ascii="仿宋_GB2312" w:eastAsia="仿宋_GB2312"/>
          <w:sz w:val="32"/>
        </w:rPr>
        <w:t>“农村饮用水维修维护费”项目自评综述：根据年初设定的绩效目标，项目自评得分</w:t>
      </w:r>
      <w:r>
        <w:rPr>
          <w:rFonts w:hint="eastAsia" w:ascii="仿宋_GB2312" w:eastAsia="仿宋_GB2312"/>
          <w:sz w:val="32"/>
          <w:lang w:val="en-US" w:eastAsia="zh-CN"/>
        </w:rPr>
        <w:t>80</w:t>
      </w:r>
      <w:r>
        <w:rPr>
          <w:rFonts w:hint="default" w:ascii="仿宋_GB2312" w:eastAsia="仿宋_GB2312"/>
          <w:sz w:val="32"/>
        </w:rPr>
        <w:t>分。项目全年预算数为</w:t>
      </w:r>
      <w:r>
        <w:rPr>
          <w:rFonts w:hint="eastAsia" w:ascii="仿宋_GB2312" w:eastAsia="仿宋_GB2312"/>
          <w:color w:val="auto"/>
          <w:sz w:val="32"/>
          <w:lang w:val="en-US" w:eastAsia="zh-CN"/>
        </w:rPr>
        <w:t>13</w:t>
      </w:r>
      <w:r>
        <w:rPr>
          <w:rFonts w:hint="default" w:ascii="仿宋_GB2312" w:eastAsia="仿宋_GB2312"/>
          <w:color w:val="auto"/>
          <w:sz w:val="32"/>
        </w:rPr>
        <w:t>万元，执行数为</w:t>
      </w:r>
      <w:r>
        <w:rPr>
          <w:rFonts w:hint="eastAsia" w:ascii="仿宋_GB2312" w:eastAsia="仿宋_GB2312"/>
          <w:color w:val="auto"/>
          <w:sz w:val="32"/>
          <w:lang w:val="en-US" w:eastAsia="zh-CN"/>
        </w:rPr>
        <w:t>11.75</w:t>
      </w:r>
      <w:r>
        <w:rPr>
          <w:rFonts w:hint="default" w:ascii="仿宋_GB2312" w:eastAsia="仿宋_GB2312"/>
          <w:color w:val="auto"/>
          <w:sz w:val="32"/>
        </w:rPr>
        <w:t>万元，完成预算的</w:t>
      </w:r>
      <w:r>
        <w:rPr>
          <w:rFonts w:hint="eastAsia" w:ascii="仿宋_GB2312" w:eastAsia="仿宋_GB2312"/>
          <w:color w:val="auto"/>
          <w:sz w:val="32"/>
          <w:lang w:val="en-US" w:eastAsia="zh-CN"/>
        </w:rPr>
        <w:t>90.38</w:t>
      </w:r>
      <w:r>
        <w:rPr>
          <w:rFonts w:hint="default" w:ascii="仿宋_GB2312" w:eastAsia="仿宋_GB2312"/>
          <w:color w:val="auto"/>
          <w:sz w:val="32"/>
        </w:rPr>
        <w:t>%。项目绩效目标完成情况：经过街道、社区及相关工作人员的共同努力，域内未出现群众长时间饮用水困难问题，相关维修及时，群众满意度较高。发现的主要问题及原因：设备故障存在不可预见性、相关维护人员专业性不足</w:t>
      </w:r>
      <w:r>
        <w:rPr>
          <w:rFonts w:hint="eastAsia" w:ascii="仿宋_GB2312" w:eastAsia="仿宋_GB2312"/>
          <w:color w:val="auto"/>
          <w:sz w:val="32"/>
          <w:lang w:eastAsia="zh-CN"/>
        </w:rPr>
        <w:t>，</w:t>
      </w:r>
      <w:r>
        <w:rPr>
          <w:rFonts w:hint="default" w:ascii="仿宋_GB2312" w:eastAsia="仿宋_GB2312"/>
          <w:color w:val="auto"/>
          <w:sz w:val="32"/>
        </w:rPr>
        <w:t>下一步改进措施：加强技术人员的培训，加强设备的日常维护维修，增加使用寿命</w:t>
      </w:r>
      <w:r>
        <w:rPr>
          <w:rFonts w:hint="eastAsia" w:ascii="仿宋_GB2312" w:eastAsia="仿宋_GB2312"/>
          <w:color w:val="auto"/>
          <w:sz w:val="32"/>
          <w:lang w:eastAsia="zh-CN"/>
        </w:rPr>
        <w:t>。</w:t>
      </w:r>
    </w:p>
    <w:p>
      <w:pPr>
        <w:widowControl/>
        <w:numPr>
          <w:ilvl w:val="0"/>
          <w:numId w:val="0"/>
        </w:numPr>
        <w:spacing w:line="560" w:lineRule="exact"/>
        <w:ind w:firstLine="640" w:firstLineChars="200"/>
        <w:rPr>
          <w:rFonts w:hint="default" w:ascii="仿宋_GB2312" w:eastAsia="仿宋_GB2312"/>
          <w:sz w:val="32"/>
        </w:rPr>
      </w:pPr>
      <w:r>
        <w:rPr>
          <w:rFonts w:hint="default" w:ascii="仿宋_GB2312" w:eastAsia="仿宋_GB2312"/>
          <w:sz w:val="32"/>
        </w:rPr>
        <w:t>（</w:t>
      </w:r>
      <w:r>
        <w:rPr>
          <w:rFonts w:hint="eastAsia" w:ascii="仿宋_GB2312" w:eastAsia="仿宋_GB2312"/>
          <w:sz w:val="32"/>
          <w:lang w:val="en-US" w:eastAsia="zh-CN"/>
        </w:rPr>
        <w:t>3</w:t>
      </w:r>
      <w:r>
        <w:rPr>
          <w:rFonts w:hint="default" w:ascii="仿宋_GB2312" w:eastAsia="仿宋_GB2312"/>
          <w:sz w:val="32"/>
        </w:rPr>
        <w:t>）“防汛抗旱经费”项目自评综述：根据年初设定的绩效目标，项目自评得分</w:t>
      </w:r>
      <w:r>
        <w:rPr>
          <w:rFonts w:hint="eastAsia" w:ascii="仿宋_GB2312" w:eastAsia="仿宋_GB2312"/>
          <w:sz w:val="32"/>
          <w:lang w:val="en-US" w:eastAsia="zh-CN"/>
        </w:rPr>
        <w:t>90</w:t>
      </w:r>
      <w:r>
        <w:rPr>
          <w:rFonts w:hint="default" w:ascii="仿宋_GB2312" w:eastAsia="仿宋_GB2312"/>
          <w:sz w:val="32"/>
        </w:rPr>
        <w:t>分。项目全年预算数为</w:t>
      </w:r>
      <w:r>
        <w:rPr>
          <w:rFonts w:hint="eastAsia" w:ascii="仿宋_GB2312" w:eastAsia="仿宋_GB2312"/>
          <w:sz w:val="32"/>
          <w:lang w:val="en-US" w:eastAsia="zh-CN"/>
        </w:rPr>
        <w:t>10</w:t>
      </w:r>
      <w:r>
        <w:rPr>
          <w:rFonts w:hint="default" w:ascii="仿宋_GB2312" w:eastAsia="仿宋_GB2312"/>
          <w:sz w:val="32"/>
        </w:rPr>
        <w:t>万元，执行数为</w:t>
      </w:r>
      <w:r>
        <w:rPr>
          <w:rFonts w:hint="eastAsia" w:ascii="仿宋_GB2312" w:eastAsia="仿宋_GB2312"/>
          <w:sz w:val="32"/>
          <w:lang w:val="en-US" w:eastAsia="zh-CN"/>
        </w:rPr>
        <w:t>9.98</w:t>
      </w:r>
      <w:r>
        <w:rPr>
          <w:rFonts w:hint="default" w:ascii="仿宋_GB2312" w:eastAsia="仿宋_GB2312"/>
          <w:sz w:val="32"/>
        </w:rPr>
        <w:t>万元，完成预算的</w:t>
      </w:r>
      <w:r>
        <w:rPr>
          <w:rFonts w:hint="eastAsia" w:ascii="仿宋_GB2312" w:eastAsia="仿宋_GB2312"/>
          <w:sz w:val="32"/>
          <w:lang w:val="en-US" w:eastAsia="zh-CN"/>
        </w:rPr>
        <w:t>99.80</w:t>
      </w:r>
      <w:r>
        <w:rPr>
          <w:rFonts w:hint="default" w:ascii="仿宋_GB2312" w:eastAsia="仿宋_GB2312"/>
          <w:sz w:val="32"/>
        </w:rPr>
        <w:t>%。项目绩效目标完成情况：一是持以人为本、确保人民群众生命安全的工作目标;二是确保河流、塘坝的度汛安全，确保主要交通干道、重点工矿企业防洪安全，全力战胜可能发生的旱涝灾害</w:t>
      </w:r>
      <w:r>
        <w:rPr>
          <w:rFonts w:hint="eastAsia" w:ascii="仿宋_GB2312" w:eastAsia="仿宋_GB2312"/>
          <w:sz w:val="32"/>
          <w:lang w:eastAsia="zh-CN"/>
        </w:rPr>
        <w:t>。</w:t>
      </w:r>
      <w:r>
        <w:rPr>
          <w:rFonts w:hint="default" w:ascii="仿宋_GB2312" w:eastAsia="仿宋_GB2312"/>
          <w:sz w:val="32"/>
        </w:rPr>
        <w:t>发现的主要问题及原因：一是储备库空间不足，且存在少量损坏情况;二是专业化、半专业化队伍人员不足；管理人员专业化水平有待加强。下一步改进措施：一是利用现有空间，本着科学合理的原则，加强对库房的管理；及时修缮，确保物资不受损失;二是持续加强专业化、半专业化队伍建设；通过培训、自学，建立考核机制，提升管理水平</w:t>
      </w:r>
      <w:r>
        <w:rPr>
          <w:rFonts w:hint="eastAsia" w:ascii="仿宋_GB2312" w:eastAsia="仿宋_GB2312"/>
          <w:sz w:val="32"/>
          <w:lang w:eastAsia="zh-CN"/>
        </w:rPr>
        <w:t>。</w:t>
      </w:r>
    </w:p>
    <w:p>
      <w:pPr>
        <w:pStyle w:val="6"/>
        <w:spacing w:line="560" w:lineRule="exact"/>
        <w:ind w:firstLine="640" w:firstLineChars="200"/>
        <w:rPr>
          <w:rFonts w:hint="default" w:ascii="仿宋_GB2312" w:eastAsia="仿宋_GB2312"/>
          <w:sz w:val="32"/>
        </w:rPr>
      </w:pPr>
      <w:r>
        <w:rPr>
          <w:rFonts w:hint="default" w:ascii="仿宋_GB2312" w:eastAsia="仿宋_GB2312"/>
          <w:sz w:val="32"/>
        </w:rPr>
        <w:t>3.部门重点评价情况。</w:t>
      </w:r>
    </w:p>
    <w:p>
      <w:pPr>
        <w:pStyle w:val="6"/>
        <w:spacing w:line="560" w:lineRule="exact"/>
        <w:ind w:firstLine="960" w:firstLineChars="300"/>
        <w:rPr>
          <w:rFonts w:hint="default" w:ascii="Times New Roman" w:hAnsi="Times New Roman" w:cs="Times New Roman"/>
          <w:kern w:val="0"/>
          <w:szCs w:val="21"/>
        </w:rPr>
      </w:pPr>
      <w:r>
        <w:rPr>
          <w:rFonts w:hint="eastAsia" w:ascii="仿宋_GB2312" w:eastAsia="仿宋_GB2312"/>
          <w:sz w:val="32"/>
          <w:lang w:eastAsia="zh-CN"/>
        </w:rPr>
        <w:t>我单位</w:t>
      </w:r>
      <w:r>
        <w:rPr>
          <w:rFonts w:hint="eastAsia" w:ascii="仿宋_GB2312" w:eastAsia="仿宋_GB2312"/>
          <w:sz w:val="32"/>
          <w:lang w:val="en-US" w:eastAsia="zh-CN"/>
        </w:rPr>
        <w:t>未进行部门重点评价</w:t>
      </w:r>
      <w:r>
        <w:rPr>
          <w:rFonts w:hint="default" w:ascii="仿宋_GB2312" w:eastAsia="仿宋_GB2312"/>
          <w:sz w:val="32"/>
        </w:rPr>
        <w:t>。</w:t>
      </w:r>
    </w:p>
    <w:p>
      <w:pPr>
        <w:widowControl/>
        <w:numPr>
          <w:ilvl w:val="0"/>
          <w:numId w:val="2"/>
        </w:numPr>
        <w:spacing w:line="560" w:lineRule="exact"/>
        <w:ind w:left="0" w:leftChars="0" w:firstLine="640" w:firstLineChars="200"/>
        <w:rPr>
          <w:rFonts w:hint="default" w:ascii="仿宋_GB2312" w:eastAsia="仿宋_GB2312"/>
          <w:sz w:val="32"/>
        </w:rPr>
      </w:pPr>
      <w:r>
        <w:rPr>
          <w:rFonts w:hint="default" w:ascii="仿宋_GB2312" w:eastAsia="仿宋_GB2312"/>
          <w:sz w:val="32"/>
        </w:rPr>
        <w:t>其他。</w:t>
      </w:r>
    </w:p>
    <w:p>
      <w:pPr>
        <w:widowControl/>
        <w:numPr>
          <w:ilvl w:val="0"/>
          <w:numId w:val="0"/>
        </w:numPr>
        <w:spacing w:line="560" w:lineRule="exact"/>
        <w:ind w:leftChars="200" w:firstLine="640" w:firstLineChars="200"/>
        <w:rPr>
          <w:rFonts w:hint="eastAsia" w:ascii="仿宋_GB2312" w:eastAsia="仿宋_GB2312"/>
          <w:sz w:val="32"/>
          <w:lang w:eastAsia="zh-CN"/>
        </w:rPr>
      </w:pPr>
      <w:r>
        <w:rPr>
          <w:rFonts w:hint="eastAsia" w:ascii="仿宋_GB2312" w:eastAsia="仿宋_GB2312"/>
          <w:sz w:val="32"/>
          <w:lang w:val="en-US" w:eastAsia="zh-CN"/>
        </w:rPr>
        <w:t>我单位未开展其他方面绩效评价。</w:t>
      </w:r>
    </w:p>
    <w:p>
      <w:pPr>
        <w:pStyle w:val="6"/>
        <w:spacing w:line="560" w:lineRule="exact"/>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hint="eastAsia" w:ascii="仿宋_GB2312" w:eastAsia="仿宋_GB2312"/>
          <w:b/>
          <w:sz w:val="32"/>
          <w:lang w:val="en-US" w:eastAsia="zh-CN"/>
        </w:rPr>
        <w:t>2</w:t>
      </w:r>
      <w:r>
        <w:rPr>
          <w:rFonts w:ascii="仿宋_GB2312" w:eastAsia="仿宋_GB2312"/>
          <w:b/>
          <w:sz w:val="32"/>
        </w:rPr>
        <w:t>.上年结转和结余：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hint="eastAsia" w:ascii="仿宋_GB2312" w:eastAsia="仿宋_GB2312"/>
          <w:b/>
          <w:sz w:val="32"/>
          <w:lang w:val="en-US" w:eastAsia="zh-CN"/>
        </w:rPr>
        <w:t>3</w:t>
      </w:r>
      <w:r>
        <w:rPr>
          <w:rFonts w:ascii="仿宋_GB2312" w:eastAsia="仿宋_GB2312"/>
          <w:b/>
          <w:sz w:val="32"/>
        </w:rPr>
        <w:t>.基本支出：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hint="eastAsia" w:ascii="仿宋_GB2312" w:eastAsia="仿宋_GB2312"/>
          <w:b/>
          <w:sz w:val="32"/>
          <w:lang w:val="en-US" w:eastAsia="zh-CN"/>
        </w:rPr>
        <w:t>4</w:t>
      </w:r>
      <w:r>
        <w:rPr>
          <w:rFonts w:ascii="仿宋_GB2312" w:eastAsia="仿宋_GB2312"/>
          <w:b/>
          <w:sz w:val="32"/>
        </w:rPr>
        <w:t>.项目支出：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hint="eastAsia" w:ascii="仿宋_GB2312" w:eastAsia="仿宋_GB2312"/>
          <w:b/>
          <w:sz w:val="32"/>
          <w:lang w:val="en-US" w:eastAsia="zh-CN"/>
        </w:rPr>
        <w:t>5</w:t>
      </w:r>
      <w:r>
        <w:rPr>
          <w:rFonts w:ascii="仿宋_GB2312" w:eastAsia="仿宋_GB2312"/>
          <w:b/>
          <w:sz w:val="32"/>
        </w:rPr>
        <w:t>.上缴上级支出：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hint="eastAsia" w:ascii="仿宋_GB2312" w:eastAsia="仿宋_GB2312"/>
          <w:b/>
          <w:sz w:val="32"/>
          <w:lang w:val="en-US" w:eastAsia="zh-CN"/>
        </w:rPr>
        <w:t>6</w:t>
      </w:r>
      <w:r>
        <w:rPr>
          <w:rFonts w:ascii="仿宋_GB2312" w:eastAsia="仿宋_GB2312"/>
          <w:b/>
          <w:sz w:val="32"/>
        </w:rPr>
        <w:t>.“三公”经费：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hint="eastAsia" w:ascii="仿宋_GB2312" w:eastAsia="仿宋_GB2312"/>
          <w:b/>
          <w:bCs/>
          <w:sz w:val="32"/>
          <w:lang w:val="en-US" w:eastAsia="zh-CN"/>
        </w:rPr>
        <w:t>7</w:t>
      </w:r>
      <w:r>
        <w:rPr>
          <w:rFonts w:ascii="仿宋_GB2312" w:eastAsia="仿宋_GB2312"/>
          <w:b/>
          <w:bCs/>
          <w:sz w:val="32"/>
        </w:rPr>
        <w:t>.机关运行经费：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hint="eastAsia" w:ascii="仿宋_GB2312" w:eastAsia="仿宋_GB2312"/>
          <w:b/>
          <w:sz w:val="32"/>
          <w:lang w:val="en-US" w:eastAsia="zh-CN"/>
        </w:rPr>
        <w:t>8</w:t>
      </w:r>
      <w:r>
        <w:rPr>
          <w:rFonts w:ascii="仿宋_GB2312" w:eastAsia="仿宋_GB2312"/>
          <w:b/>
          <w:sz w:val="32"/>
        </w:rPr>
        <w:t>.一般公共服务（类）财政事务（款）行政运行（项）：</w:t>
      </w:r>
      <w:r>
        <w:rPr>
          <w:rFonts w:ascii="仿宋_GB2312" w:eastAsia="仿宋_GB2312"/>
          <w:sz w:val="32"/>
        </w:rPr>
        <w:t>反映行政单位（包括实行公务员管理的事业单位）的基本支出。</w:t>
      </w:r>
    </w:p>
    <w:p>
      <w:pPr>
        <w:spacing w:line="560" w:lineRule="exact"/>
        <w:ind w:firstLine="643" w:firstLineChars="200"/>
        <w:rPr>
          <w:rFonts w:ascii="仿宋_GB2312" w:eastAsia="仿宋_GB2312"/>
          <w:b/>
          <w:sz w:val="32"/>
        </w:rPr>
      </w:pPr>
      <w:r>
        <w:rPr>
          <w:rFonts w:hint="eastAsia" w:ascii="仿宋_GB2312" w:eastAsia="仿宋_GB2312"/>
          <w:b/>
          <w:sz w:val="32"/>
          <w:lang w:val="en-US" w:eastAsia="zh-CN"/>
        </w:rPr>
        <w:t>9</w:t>
      </w:r>
      <w:r>
        <w:rPr>
          <w:rFonts w:ascii="仿宋_GB2312" w:eastAsia="仿宋_GB2312"/>
          <w:b/>
          <w:sz w:val="32"/>
        </w:rPr>
        <w:t>.一般公共服务（类）财政事务（款）事业运行（项）：</w:t>
      </w:r>
      <w:r>
        <w:rPr>
          <w:rFonts w:ascii="仿宋_GB2312" w:eastAsia="仿宋_GB2312"/>
          <w:sz w:val="32"/>
        </w:rPr>
        <w:t>反映事业单位的基本支出，不包括行政单位（包括实行公务员管理的事业单位）后勤服务中心、医务室等附属事业单位。</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10</w:t>
      </w:r>
      <w:r>
        <w:rPr>
          <w:rFonts w:ascii="仿宋_GB2312" w:eastAsia="仿宋_GB2312"/>
          <w:b/>
          <w:sz w:val="32"/>
        </w:rPr>
        <w:t>.一般公共服务（类）财政事务（款）其他财政事务支出（项）：</w:t>
      </w:r>
      <w:r>
        <w:rPr>
          <w:rFonts w:ascii="仿宋_GB2312" w:eastAsia="仿宋_GB2312"/>
          <w:sz w:val="32"/>
        </w:rPr>
        <w:t>反映除上述项目以外其他财政事务方面的支出。</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11</w:t>
      </w:r>
      <w:r>
        <w:rPr>
          <w:rFonts w:ascii="仿宋_GB2312" w:eastAsia="仿宋_GB2312"/>
          <w:b/>
          <w:sz w:val="32"/>
        </w:rPr>
        <w:t>.一般公共服务（类）其他一般公共服务支出（款）其他一般公共服务支出（项）：</w:t>
      </w:r>
      <w:r>
        <w:rPr>
          <w:rFonts w:ascii="仿宋_GB2312" w:eastAsia="仿宋_GB2312"/>
          <w:sz w:val="32"/>
        </w:rPr>
        <w:t>反映除上述项目以外的其他一般公共服务支出。</w:t>
      </w:r>
    </w:p>
    <w:p>
      <w:pPr>
        <w:spacing w:line="560" w:lineRule="exact"/>
        <w:ind w:firstLine="643" w:firstLineChars="200"/>
        <w:rPr>
          <w:rFonts w:ascii="仿宋_GB2312" w:eastAsia="仿宋_GB2312"/>
          <w:b/>
          <w:sz w:val="32"/>
        </w:rPr>
      </w:pPr>
      <w:r>
        <w:rPr>
          <w:rFonts w:hint="eastAsia" w:ascii="仿宋_GB2312" w:eastAsia="仿宋_GB2312"/>
          <w:b/>
          <w:sz w:val="32"/>
          <w:lang w:val="en-US" w:eastAsia="zh-CN"/>
        </w:rPr>
        <w:t>12</w:t>
      </w:r>
      <w:r>
        <w:rPr>
          <w:rFonts w:ascii="仿宋_GB2312" w:eastAsia="仿宋_GB2312"/>
          <w:b/>
          <w:sz w:val="32"/>
        </w:rPr>
        <w:t>.社会保障和就业（类）行政事业单位离退休（款）归口管理的行政单位离退休（项）：</w:t>
      </w:r>
      <w:r>
        <w:rPr>
          <w:rFonts w:ascii="仿宋_GB2312" w:eastAsia="仿宋_GB2312"/>
          <w:sz w:val="32"/>
        </w:rPr>
        <w:t>反映实行归口管理的行政单位（包括实行公务员管理的事业单位）开支的离退休经费。</w:t>
      </w:r>
    </w:p>
    <w:p>
      <w:pPr>
        <w:spacing w:line="560" w:lineRule="exact"/>
        <w:ind w:firstLine="643" w:firstLineChars="200"/>
        <w:rPr>
          <w:rFonts w:ascii="仿宋_GB2312" w:eastAsia="仿宋_GB2312"/>
          <w:b/>
          <w:sz w:val="32"/>
        </w:rPr>
      </w:pPr>
      <w:r>
        <w:rPr>
          <w:rFonts w:hint="eastAsia" w:ascii="仿宋_GB2312" w:eastAsia="仿宋_GB2312"/>
          <w:b/>
          <w:sz w:val="32"/>
          <w:lang w:val="en-US" w:eastAsia="zh-CN"/>
        </w:rPr>
        <w:t>13</w:t>
      </w:r>
      <w:r>
        <w:rPr>
          <w:rFonts w:ascii="仿宋_GB2312" w:eastAsia="仿宋_GB2312"/>
          <w:b/>
          <w:sz w:val="32"/>
        </w:rPr>
        <w:t>.社会保障和就业（类）行政事业单位离退休（款）事业单位离退休（项）：</w:t>
      </w:r>
      <w:r>
        <w:rPr>
          <w:rFonts w:ascii="仿宋_GB2312" w:eastAsia="仿宋_GB2312"/>
          <w:sz w:val="32"/>
        </w:rPr>
        <w:t>反映实行归口管理的事业单位开支的离退休经费。</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14</w:t>
      </w:r>
      <w:r>
        <w:rPr>
          <w:rFonts w:ascii="仿宋_GB2312" w:eastAsia="仿宋_GB2312"/>
          <w:b/>
          <w:sz w:val="32"/>
        </w:rPr>
        <w:t>.医疗卫生（类）医疗保障（款）行政单位医疗（项）：</w:t>
      </w:r>
      <w:r>
        <w:rPr>
          <w:rFonts w:ascii="仿宋_GB2312" w:eastAsia="仿宋_GB2312"/>
          <w:sz w:val="32"/>
        </w:rPr>
        <w:t>反映财政部门集中安排的行政单位基本医疗保险缴费经费，未参加医疗保险的行政单位的公费医疗经费，按国家规定享受离休人员、红军老战士待遇人员的医疗经费。</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15</w:t>
      </w:r>
      <w:r>
        <w:rPr>
          <w:rFonts w:ascii="仿宋_GB2312" w:eastAsia="仿宋_GB2312"/>
          <w:b/>
          <w:sz w:val="32"/>
        </w:rPr>
        <w:t>.农林水事务（类）农业（款）其他农业支出（项）：</w:t>
      </w:r>
      <w:r>
        <w:rPr>
          <w:rFonts w:ascii="仿宋_GB2312" w:eastAsia="仿宋_GB2312"/>
          <w:sz w:val="32"/>
        </w:rPr>
        <w:t>反映其他用于农业方面的支出。</w:t>
      </w:r>
    </w:p>
    <w:p>
      <w:pPr>
        <w:spacing w:line="560" w:lineRule="exact"/>
        <w:ind w:firstLine="643" w:firstLineChars="200"/>
        <w:rPr>
          <w:rFonts w:ascii="仿宋_GB2312" w:eastAsia="仿宋_GB2312"/>
          <w:b/>
          <w:sz w:val="32"/>
        </w:rPr>
      </w:pPr>
      <w:r>
        <w:rPr>
          <w:rFonts w:hint="eastAsia" w:ascii="仿宋_GB2312" w:eastAsia="仿宋_GB2312"/>
          <w:b/>
          <w:sz w:val="32"/>
          <w:lang w:val="en-US" w:eastAsia="zh-CN"/>
        </w:rPr>
        <w:t>16</w:t>
      </w:r>
      <w:r>
        <w:rPr>
          <w:rFonts w:ascii="仿宋_GB2312" w:eastAsia="仿宋_GB2312"/>
          <w:b/>
          <w:sz w:val="32"/>
        </w:rPr>
        <w:t>.住房保障（类）住房改革（款）住房公积金（项）：</w:t>
      </w:r>
      <w:r>
        <w:rPr>
          <w:rFonts w:ascii="仿宋_GB2312" w:eastAsia="仿宋_GB2312"/>
          <w:sz w:val="32"/>
        </w:rPr>
        <w:t>反映行政事业单位按人力资源和社会保障部、财政部规定的基本工资和津贴补贴以及规定比例为职工缴纳的住房公积金。</w:t>
      </w:r>
    </w:p>
    <w:p>
      <w:pPr>
        <w:spacing w:line="560" w:lineRule="exact"/>
        <w:ind w:firstLine="643" w:firstLineChars="200"/>
        <w:rPr>
          <w:rFonts w:ascii="仿宋_GB2312" w:eastAsia="仿宋_GB2312"/>
          <w:sz w:val="32"/>
        </w:rPr>
      </w:pPr>
      <w:r>
        <w:rPr>
          <w:rFonts w:hint="eastAsia" w:ascii="仿宋_GB2312" w:eastAsia="仿宋_GB2312"/>
          <w:b/>
          <w:sz w:val="32"/>
          <w:lang w:val="en-US" w:eastAsia="zh-CN"/>
        </w:rPr>
        <w:t>17</w:t>
      </w:r>
      <w:r>
        <w:rPr>
          <w:rFonts w:ascii="仿宋_GB2312" w:eastAsia="仿宋_GB2312"/>
          <w:b/>
          <w:sz w:val="32"/>
        </w:rPr>
        <w:t>.其他支出（类）其他支出（款）其他支出（项）：</w:t>
      </w:r>
      <w:r>
        <w:rPr>
          <w:rFonts w:ascii="仿宋_GB2312" w:eastAsia="仿宋_GB2312"/>
          <w:sz w:val="32"/>
        </w:rPr>
        <w:t>反映其他不能划分到具体功能科目中的支出项目。</w:t>
      </w:r>
    </w:p>
    <w:p>
      <w:pPr>
        <w:pStyle w:val="6"/>
        <w:spacing w:line="560" w:lineRule="exact"/>
        <w:ind w:firstLine="640"/>
        <w:rPr>
          <w:rFonts w:hint="eastAsia" w:ascii="黑体" w:hAnsi="黑体" w:eastAsia="黑体" w:cs="黑体"/>
          <w:b/>
          <w:bCs/>
          <w:color w:val="FF0000"/>
          <w:sz w:val="32"/>
          <w:szCs w:val="32"/>
          <w:lang w:eastAsia="zh-CN"/>
        </w:rPr>
      </w:pPr>
    </w:p>
    <w:p>
      <w:pPr>
        <w:pStyle w:val="6"/>
        <w:spacing w:line="560" w:lineRule="exact"/>
        <w:ind w:firstLine="640"/>
        <w:rPr>
          <w:rFonts w:hint="eastAsia" w:ascii="黑体" w:hAnsi="黑体" w:eastAsia="黑体" w:cs="黑体"/>
          <w:b/>
          <w:bCs/>
          <w:color w:val="FF0000"/>
          <w:sz w:val="32"/>
          <w:szCs w:val="32"/>
          <w:lang w:eastAsia="zh-CN"/>
        </w:rPr>
      </w:pPr>
    </w:p>
    <w:p>
      <w:pPr>
        <w:pStyle w:val="6"/>
        <w:spacing w:line="560" w:lineRule="exact"/>
        <w:ind w:firstLine="640"/>
        <w:rPr>
          <w:rFonts w:hint="eastAsia" w:ascii="黑体" w:hAnsi="黑体" w:eastAsia="黑体" w:cs="黑体"/>
          <w:b/>
          <w:bCs/>
          <w:color w:val="FF0000"/>
          <w:sz w:val="32"/>
          <w:szCs w:val="32"/>
          <w:lang w:eastAsia="zh-CN"/>
        </w:rPr>
      </w:pPr>
    </w:p>
    <w:p>
      <w:pPr>
        <w:pStyle w:val="6"/>
        <w:spacing w:line="560" w:lineRule="exact"/>
        <w:ind w:firstLine="640"/>
        <w:rPr>
          <w:rFonts w:hint="eastAsia" w:ascii="黑体" w:hAnsi="黑体" w:eastAsia="黑体" w:cs="黑体"/>
          <w:b/>
          <w:bCs/>
          <w:color w:val="FF0000"/>
          <w:sz w:val="32"/>
          <w:szCs w:val="32"/>
          <w:lang w:eastAsia="zh-CN"/>
        </w:rPr>
      </w:pPr>
    </w:p>
    <w:p>
      <w:pPr>
        <w:pStyle w:val="6"/>
        <w:spacing w:line="560" w:lineRule="exact"/>
        <w:ind w:firstLine="640"/>
        <w:rPr>
          <w:rFonts w:hint="eastAsia" w:ascii="黑体" w:hAnsi="黑体" w:eastAsia="黑体" w:cs="黑体"/>
          <w:b/>
          <w:bCs/>
          <w:color w:val="FF0000"/>
          <w:sz w:val="32"/>
          <w:szCs w:val="32"/>
          <w:lang w:eastAsia="zh-CN"/>
        </w:rPr>
      </w:pPr>
    </w:p>
    <w:p>
      <w:pPr>
        <w:pStyle w:val="6"/>
        <w:spacing w:line="560" w:lineRule="exact"/>
        <w:ind w:firstLine="640"/>
        <w:rPr>
          <w:rFonts w:hint="eastAsia" w:ascii="黑体" w:hAnsi="黑体" w:eastAsia="黑体" w:cs="黑体"/>
          <w:b/>
          <w:bCs/>
          <w:color w:val="FF0000"/>
          <w:sz w:val="32"/>
          <w:szCs w:val="32"/>
          <w:lang w:eastAsia="zh-CN"/>
        </w:rPr>
      </w:pPr>
    </w:p>
    <w:p>
      <w:pPr>
        <w:pStyle w:val="6"/>
        <w:spacing w:line="560" w:lineRule="exact"/>
        <w:ind w:firstLine="640"/>
        <w:rPr>
          <w:rFonts w:hint="eastAsia" w:ascii="黑体" w:hAnsi="黑体" w:eastAsia="黑体" w:cs="黑体"/>
          <w:b/>
          <w:bCs/>
          <w:color w:val="FF0000"/>
          <w:sz w:val="32"/>
          <w:szCs w:val="32"/>
          <w:lang w:eastAsia="zh-CN"/>
        </w:rPr>
      </w:pPr>
    </w:p>
    <w:p>
      <w:pPr>
        <w:pStyle w:val="6"/>
        <w:spacing w:line="560" w:lineRule="exact"/>
        <w:ind w:firstLine="640"/>
        <w:rPr>
          <w:rFonts w:hint="eastAsia" w:ascii="黑体" w:hAnsi="黑体" w:eastAsia="黑体" w:cs="黑体"/>
          <w:b/>
          <w:bCs/>
          <w:color w:val="FF0000"/>
          <w:sz w:val="32"/>
          <w:szCs w:val="32"/>
          <w:lang w:eastAsia="zh-CN"/>
        </w:rPr>
      </w:pPr>
    </w:p>
    <w:p>
      <w:pPr>
        <w:pStyle w:val="6"/>
        <w:spacing w:line="560" w:lineRule="exact"/>
        <w:rPr>
          <w:rFonts w:hint="default" w:ascii="黑体" w:hAnsi="黑体" w:eastAsia="黑体" w:cs="黑体"/>
          <w:b/>
          <w:bCs/>
          <w:color w:val="FF0000"/>
          <w:sz w:val="32"/>
          <w:szCs w:val="32"/>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numPr>
          <w:ilvl w:val="0"/>
          <w:numId w:val="8"/>
        </w:numPr>
        <w:spacing w:line="560" w:lineRule="atLeast"/>
        <w:jc w:val="center"/>
        <w:rPr>
          <w:rFonts w:hint="eastAsia" w:ascii="仿宋_GB2312" w:hAnsi="仿宋_GB2312" w:eastAsia="仿宋_GB2312" w:cs="仿宋_GB2312"/>
          <w:b/>
          <w:sz w:val="52"/>
          <w:szCs w:val="52"/>
          <w:lang w:val="en-US" w:eastAsia="zh-CN"/>
        </w:rPr>
      </w:pPr>
      <w:r>
        <w:rPr>
          <w:rFonts w:hint="eastAsia" w:ascii="仿宋_GB2312" w:hAnsi="仿宋_GB2312" w:eastAsia="仿宋_GB2312" w:cs="仿宋_GB2312"/>
          <w:b/>
          <w:sz w:val="52"/>
          <w:szCs w:val="52"/>
          <w:lang w:val="en-US" w:eastAsia="zh-CN"/>
        </w:rPr>
        <w:t>沈阳市浑南区王滨街道办事处</w:t>
      </w:r>
    </w:p>
    <w:p>
      <w:pPr>
        <w:pStyle w:val="6"/>
        <w:numPr>
          <w:ilvl w:val="0"/>
          <w:numId w:val="0"/>
        </w:numPr>
        <w:spacing w:line="560" w:lineRule="atLeast"/>
        <w:ind w:firstLine="5742" w:firstLineChars="1100"/>
        <w:jc w:val="both"/>
        <w:rPr>
          <w:rFonts w:hint="default"/>
          <w:b/>
          <w:sz w:val="36"/>
        </w:rPr>
      </w:pPr>
      <w:r>
        <w:rPr>
          <w:rFonts w:ascii="仿宋_GB2312" w:hAnsi="仿宋_GB2312" w:eastAsia="仿宋_GB2312" w:cs="仿宋_GB2312"/>
          <w:b/>
          <w:sz w:val="52"/>
          <w:szCs w:val="52"/>
        </w:rPr>
        <w:t>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D2FD4"/>
    <w:multiLevelType w:val="singleLevel"/>
    <w:tmpl w:val="8D6D2FD4"/>
    <w:lvl w:ilvl="0" w:tentative="0">
      <w:start w:val="4"/>
      <w:numFmt w:val="chineseCounting"/>
      <w:suff w:val="space"/>
      <w:lvlText w:val="第%1部分"/>
      <w:lvlJc w:val="left"/>
      <w:rPr>
        <w:rFonts w:hint="eastAsia"/>
      </w:rPr>
    </w:lvl>
  </w:abstractNum>
  <w:abstractNum w:abstractNumId="1">
    <w:nsid w:val="BEBB4CAE"/>
    <w:multiLevelType w:val="singleLevel"/>
    <w:tmpl w:val="BEBB4CAE"/>
    <w:lvl w:ilvl="0" w:tentative="0">
      <w:start w:val="2"/>
      <w:numFmt w:val="chineseCounting"/>
      <w:suff w:val="nothing"/>
      <w:lvlText w:val="（%1）"/>
      <w:lvlJc w:val="left"/>
      <w:rPr>
        <w:rFonts w:hint="eastAsia"/>
      </w:rPr>
    </w:lvl>
  </w:abstractNum>
  <w:abstractNum w:abstractNumId="2">
    <w:nsid w:val="E8AEA63A"/>
    <w:multiLevelType w:val="singleLevel"/>
    <w:tmpl w:val="E8AEA63A"/>
    <w:lvl w:ilvl="0" w:tentative="0">
      <w:start w:val="1"/>
      <w:numFmt w:val="chineseCounting"/>
      <w:suff w:val="space"/>
      <w:lvlText w:val="第%1部分"/>
      <w:lvlJc w:val="left"/>
      <w:rPr>
        <w:rFonts w:hint="eastAsia"/>
      </w:rPr>
    </w:lvl>
  </w:abstractNum>
  <w:abstractNum w:abstractNumId="3">
    <w:nsid w:val="EE33A202"/>
    <w:multiLevelType w:val="singleLevel"/>
    <w:tmpl w:val="EE33A202"/>
    <w:lvl w:ilvl="0" w:tentative="0">
      <w:start w:val="3"/>
      <w:numFmt w:val="decimal"/>
      <w:lvlText w:val="%1."/>
      <w:lvlJc w:val="left"/>
      <w:pPr>
        <w:tabs>
          <w:tab w:val="left" w:pos="312"/>
        </w:tabs>
      </w:pPr>
    </w:lvl>
  </w:abstractNum>
  <w:abstractNum w:abstractNumId="4">
    <w:nsid w:val="FF5A5949"/>
    <w:multiLevelType w:val="singleLevel"/>
    <w:tmpl w:val="FF5A5949"/>
    <w:lvl w:ilvl="0" w:tentative="0">
      <w:start w:val="1"/>
      <w:numFmt w:val="chineseCounting"/>
      <w:suff w:val="nothing"/>
      <w:lvlText w:val="%1、"/>
      <w:lvlJc w:val="left"/>
      <w:rPr>
        <w:rFonts w:hint="eastAsia"/>
      </w:rPr>
    </w:lvl>
  </w:abstractNum>
  <w:abstractNum w:abstractNumId="5">
    <w:nsid w:val="0C7F1A38"/>
    <w:multiLevelType w:val="singleLevel"/>
    <w:tmpl w:val="0C7F1A38"/>
    <w:lvl w:ilvl="0" w:tentative="0">
      <w:start w:val="2"/>
      <w:numFmt w:val="chineseCounting"/>
      <w:suff w:val="nothing"/>
      <w:lvlText w:val="%1、"/>
      <w:lvlJc w:val="left"/>
      <w:rPr>
        <w:rFonts w:hint="eastAsia"/>
      </w:rPr>
    </w:lvl>
  </w:abstractNum>
  <w:abstractNum w:abstractNumId="6">
    <w:nsid w:val="2DA41A63"/>
    <w:multiLevelType w:val="singleLevel"/>
    <w:tmpl w:val="2DA41A63"/>
    <w:lvl w:ilvl="0" w:tentative="0">
      <w:start w:val="1"/>
      <w:numFmt w:val="decimal"/>
      <w:suff w:val="nothing"/>
      <w:lvlText w:val="（%1）"/>
      <w:lvlJc w:val="left"/>
      <w:rPr>
        <w:rFonts w:hint="default"/>
        <w:color w:val="auto"/>
      </w:rPr>
    </w:lvl>
  </w:abstractNum>
  <w:abstractNum w:abstractNumId="7">
    <w:nsid w:val="36EAA45D"/>
    <w:multiLevelType w:val="singleLevel"/>
    <w:tmpl w:val="36EAA45D"/>
    <w:lvl w:ilvl="0" w:tentative="0">
      <w:start w:val="1"/>
      <w:numFmt w:val="decimal"/>
      <w:lvlText w:val="%1."/>
      <w:lvlJc w:val="left"/>
      <w:pPr>
        <w:tabs>
          <w:tab w:val="left" w:pos="312"/>
        </w:tabs>
      </w:pPr>
    </w:lvl>
  </w:abstractNum>
  <w:num w:numId="1">
    <w:abstractNumId w:val="2"/>
  </w:num>
  <w:num w:numId="2">
    <w:abstractNumId w:val="3"/>
  </w:num>
  <w:num w:numId="3">
    <w:abstractNumId w:val="4"/>
  </w:num>
  <w:num w:numId="4">
    <w:abstractNumId w:val="1"/>
  </w:num>
  <w:num w:numId="5">
    <w:abstractNumId w:val="5"/>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AE4E5E"/>
    <w:rsid w:val="00B54181"/>
    <w:rsid w:val="00BC09C4"/>
    <w:rsid w:val="00DC3915"/>
    <w:rsid w:val="00E4305D"/>
    <w:rsid w:val="00F16B2B"/>
    <w:rsid w:val="00F67249"/>
    <w:rsid w:val="00F724E9"/>
    <w:rsid w:val="02D768EE"/>
    <w:rsid w:val="03394EB3"/>
    <w:rsid w:val="038D17A8"/>
    <w:rsid w:val="05B26725"/>
    <w:rsid w:val="06AC7A06"/>
    <w:rsid w:val="06BC77AE"/>
    <w:rsid w:val="082E0536"/>
    <w:rsid w:val="09C4782E"/>
    <w:rsid w:val="09CD268E"/>
    <w:rsid w:val="0A00382D"/>
    <w:rsid w:val="0A917CCA"/>
    <w:rsid w:val="0C215260"/>
    <w:rsid w:val="0D725B91"/>
    <w:rsid w:val="0ECB7368"/>
    <w:rsid w:val="0FA4398C"/>
    <w:rsid w:val="11612EA5"/>
    <w:rsid w:val="1190090B"/>
    <w:rsid w:val="14537D9F"/>
    <w:rsid w:val="14981DCC"/>
    <w:rsid w:val="14E56F92"/>
    <w:rsid w:val="14FC21E4"/>
    <w:rsid w:val="15A80A20"/>
    <w:rsid w:val="17E56F60"/>
    <w:rsid w:val="18D97313"/>
    <w:rsid w:val="196C5B8A"/>
    <w:rsid w:val="1B2E2B0B"/>
    <w:rsid w:val="1C635C29"/>
    <w:rsid w:val="1FB44E67"/>
    <w:rsid w:val="20146634"/>
    <w:rsid w:val="214C7506"/>
    <w:rsid w:val="21846015"/>
    <w:rsid w:val="230010F2"/>
    <w:rsid w:val="236B2A0F"/>
    <w:rsid w:val="2433178F"/>
    <w:rsid w:val="249B2A08"/>
    <w:rsid w:val="251B6E5C"/>
    <w:rsid w:val="27BA3F65"/>
    <w:rsid w:val="28173165"/>
    <w:rsid w:val="28642123"/>
    <w:rsid w:val="2927562A"/>
    <w:rsid w:val="2C115C71"/>
    <w:rsid w:val="2CE455E0"/>
    <w:rsid w:val="2E4F6256"/>
    <w:rsid w:val="2EBA0CEE"/>
    <w:rsid w:val="2F706F9A"/>
    <w:rsid w:val="32933D30"/>
    <w:rsid w:val="36230505"/>
    <w:rsid w:val="382471D8"/>
    <w:rsid w:val="3A0B68A2"/>
    <w:rsid w:val="3A3B53CE"/>
    <w:rsid w:val="3BD66A3C"/>
    <w:rsid w:val="3CA8662A"/>
    <w:rsid w:val="3CE43A2A"/>
    <w:rsid w:val="4134534D"/>
    <w:rsid w:val="414B40E7"/>
    <w:rsid w:val="41D43A1D"/>
    <w:rsid w:val="42F435CA"/>
    <w:rsid w:val="435C15BB"/>
    <w:rsid w:val="43863727"/>
    <w:rsid w:val="443133A9"/>
    <w:rsid w:val="450950DC"/>
    <w:rsid w:val="467F03FC"/>
    <w:rsid w:val="46F02B14"/>
    <w:rsid w:val="47CD4129"/>
    <w:rsid w:val="49045A27"/>
    <w:rsid w:val="49396F88"/>
    <w:rsid w:val="49D43310"/>
    <w:rsid w:val="4AC05E8C"/>
    <w:rsid w:val="4ACE3700"/>
    <w:rsid w:val="4B4B0769"/>
    <w:rsid w:val="4B571BCB"/>
    <w:rsid w:val="4C546CE6"/>
    <w:rsid w:val="4F090581"/>
    <w:rsid w:val="4F587888"/>
    <w:rsid w:val="51A72EFC"/>
    <w:rsid w:val="53BF0089"/>
    <w:rsid w:val="54362A5D"/>
    <w:rsid w:val="54490CDF"/>
    <w:rsid w:val="54662BFB"/>
    <w:rsid w:val="54F6469B"/>
    <w:rsid w:val="5542694F"/>
    <w:rsid w:val="555B2034"/>
    <w:rsid w:val="57947A7F"/>
    <w:rsid w:val="5830727A"/>
    <w:rsid w:val="59107818"/>
    <w:rsid w:val="5B697371"/>
    <w:rsid w:val="5C6077DD"/>
    <w:rsid w:val="5F8605F5"/>
    <w:rsid w:val="5F8719B7"/>
    <w:rsid w:val="61D07906"/>
    <w:rsid w:val="64992047"/>
    <w:rsid w:val="6644377C"/>
    <w:rsid w:val="664F1741"/>
    <w:rsid w:val="673C6F2C"/>
    <w:rsid w:val="674A6161"/>
    <w:rsid w:val="6B0D2891"/>
    <w:rsid w:val="6B96396E"/>
    <w:rsid w:val="6C682BD0"/>
    <w:rsid w:val="6CDF2A45"/>
    <w:rsid w:val="6D59477A"/>
    <w:rsid w:val="6E475935"/>
    <w:rsid w:val="6E573888"/>
    <w:rsid w:val="700678D0"/>
    <w:rsid w:val="70C40F7D"/>
    <w:rsid w:val="716A5681"/>
    <w:rsid w:val="71A32941"/>
    <w:rsid w:val="724179B2"/>
    <w:rsid w:val="72FC67AC"/>
    <w:rsid w:val="74736F42"/>
    <w:rsid w:val="74B037C7"/>
    <w:rsid w:val="755723C0"/>
    <w:rsid w:val="7607079A"/>
    <w:rsid w:val="76972917"/>
    <w:rsid w:val="788D7EA7"/>
    <w:rsid w:val="7BC61286"/>
    <w:rsid w:val="7C6312A8"/>
    <w:rsid w:val="7D024843"/>
    <w:rsid w:val="7E6F1F8A"/>
    <w:rsid w:val="7E7233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11470</Words>
  <Characters>12430</Characters>
  <Lines>37</Lines>
  <Paragraphs>10</Paragraphs>
  <TotalTime>1</TotalTime>
  <ScaleCrop>false</ScaleCrop>
  <LinksUpToDate>false</LinksUpToDate>
  <CharactersWithSpaces>12477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2023-05-18T00:52:00Z</cp:lastPrinted>
  <dcterms:modified xsi:type="dcterms:W3CDTF">2023-06-29T06:07:30Z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