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highlight w:val="none"/>
        </w:rPr>
      </w:pPr>
      <w:r>
        <w:rPr>
          <w:rFonts w:ascii="黑体" w:eastAsia="黑体"/>
          <w:sz w:val="32"/>
          <w:highlight w:val="none"/>
        </w:rPr>
        <w:t>附件2</w:t>
      </w: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spacing w:line="540" w:lineRule="exact"/>
        <w:jc w:val="center"/>
        <w:rPr>
          <w:rFonts w:hint="eastAsia" w:ascii="宋体" w:hAnsi="宋体" w:eastAsia="宋体"/>
          <w:b/>
          <w:bCs w:val="0"/>
          <w:color w:val="FF0000"/>
          <w:sz w:val="52"/>
          <w:szCs w:val="52"/>
          <w:highlight w:val="none"/>
          <w:lang w:eastAsia="zh-CN"/>
        </w:rPr>
      </w:pPr>
      <w:r>
        <w:rPr>
          <w:rFonts w:hint="eastAsia" w:ascii="宋体" w:hAnsi="宋体"/>
          <w:b/>
          <w:sz w:val="52"/>
          <w:szCs w:val="52"/>
          <w:highlight w:val="none"/>
          <w:lang w:val="en-US" w:eastAsia="zh-CN"/>
        </w:rPr>
        <w:t>沈阳市浑南区农业发展服务中心</w:t>
      </w:r>
      <w:bookmarkStart w:id="0" w:name="_GoBack"/>
      <w:bookmarkEnd w:id="0"/>
      <w:r>
        <w:rPr>
          <w:rFonts w:hint="eastAsia" w:ascii="宋体" w:hAnsi="宋体"/>
          <w:b/>
          <w:sz w:val="52"/>
          <w:szCs w:val="52"/>
          <w:highlight w:val="none"/>
          <w:lang w:eastAsia="zh-CN"/>
        </w:rPr>
        <w:t>202</w:t>
      </w:r>
      <w:r>
        <w:rPr>
          <w:rFonts w:hint="eastAsia" w:ascii="宋体" w:hAnsi="宋体"/>
          <w:b/>
          <w:sz w:val="52"/>
          <w:szCs w:val="52"/>
          <w:highlight w:val="none"/>
          <w:lang w:val="en-US" w:eastAsia="zh-CN"/>
        </w:rPr>
        <w:t>1</w:t>
      </w:r>
      <w:r>
        <w:rPr>
          <w:rFonts w:hint="eastAsia" w:ascii="宋体" w:hAnsi="宋体"/>
          <w:b/>
          <w:sz w:val="52"/>
          <w:szCs w:val="52"/>
          <w:highlight w:val="none"/>
        </w:rPr>
        <w:t>年度决算</w:t>
      </w:r>
      <w:r>
        <w:rPr>
          <w:rFonts w:hint="eastAsia" w:ascii="宋体" w:hAnsi="宋体"/>
          <w:b/>
          <w:sz w:val="52"/>
          <w:szCs w:val="52"/>
          <w:highlight w:val="none"/>
          <w:lang w:eastAsia="zh-CN"/>
        </w:rPr>
        <w:t>说明</w:t>
      </w:r>
    </w:p>
    <w:p>
      <w:pPr>
        <w:pStyle w:val="6"/>
        <w:jc w:val="center"/>
        <w:rPr>
          <w:rFonts w:hint="default" w:ascii="仿宋_GB2312" w:eastAsia="仿宋_GB2312"/>
          <w:b/>
          <w:sz w:val="52"/>
          <w:highlight w:val="none"/>
        </w:rPr>
      </w:pPr>
    </w:p>
    <w:p>
      <w:pPr>
        <w:pStyle w:val="6"/>
        <w:jc w:val="center"/>
        <w:rPr>
          <w:rFonts w:hint="default" w:ascii="仿宋_GB2312" w:eastAsia="仿宋_GB2312"/>
          <w:b/>
          <w:sz w:val="52"/>
          <w:highlight w:val="non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jc w:val="center"/>
        <w:rPr>
          <w:rFonts w:hint="default" w:ascii="Times New Roman" w:eastAsia="Times New Roman"/>
          <w:b/>
          <w:sz w:val="44"/>
          <w:highlight w:val="none"/>
          <w:u w:val="single"/>
        </w:rPr>
      </w:pPr>
    </w:p>
    <w:p>
      <w:pPr>
        <w:pStyle w:val="6"/>
        <w:spacing w:line="560" w:lineRule="exact"/>
        <w:jc w:val="center"/>
        <w:rPr>
          <w:b/>
          <w:sz w:val="44"/>
          <w:highlight w:val="none"/>
        </w:rPr>
      </w:pPr>
    </w:p>
    <w:p>
      <w:pPr>
        <w:pStyle w:val="6"/>
        <w:spacing w:line="560" w:lineRule="exact"/>
        <w:jc w:val="center"/>
        <w:rPr>
          <w:rFonts w:hint="default" w:ascii="Times New Roman" w:eastAsia="Times New Roman"/>
          <w:b/>
          <w:sz w:val="44"/>
          <w:highlight w:val="none"/>
        </w:rPr>
      </w:pPr>
      <w:r>
        <w:rPr>
          <w:b/>
          <w:sz w:val="44"/>
          <w:highlight w:val="none"/>
        </w:rPr>
        <w:t>目</w:t>
      </w:r>
      <w:r>
        <w:rPr>
          <w:rFonts w:hint="default" w:ascii="Times New Roman" w:hAnsi="Times New Roman"/>
          <w:b/>
          <w:sz w:val="44"/>
          <w:highlight w:val="none"/>
        </w:rPr>
        <w:t xml:space="preserve">    </w:t>
      </w:r>
      <w:r>
        <w:rPr>
          <w:b/>
          <w:sz w:val="44"/>
          <w:highlight w:val="none"/>
        </w:rPr>
        <w:t>录</w:t>
      </w:r>
    </w:p>
    <w:p>
      <w:pPr>
        <w:pStyle w:val="6"/>
        <w:spacing w:line="560" w:lineRule="exact"/>
        <w:rPr>
          <w:rFonts w:hint="default" w:ascii="黑体" w:eastAsia="黑体"/>
          <w:sz w:val="32"/>
          <w:highlight w:val="none"/>
        </w:rPr>
      </w:pPr>
      <w:r>
        <w:rPr>
          <w:rFonts w:ascii="黑体" w:eastAsia="黑体"/>
          <w:sz w:val="32"/>
          <w:highlight w:val="none"/>
        </w:rPr>
        <w:t xml:space="preserve">第一部分  </w:t>
      </w:r>
      <w:r>
        <w:rPr>
          <w:rFonts w:hint="eastAsia" w:ascii="黑体" w:eastAsia="黑体"/>
          <w:sz w:val="32"/>
          <w:highlight w:val="none"/>
          <w:lang w:val="en-US" w:eastAsia="zh-CN"/>
        </w:rPr>
        <w:t>沈阳市浑南区农业发展服务中心</w:t>
      </w:r>
      <w:r>
        <w:rPr>
          <w:rFonts w:ascii="黑体" w:eastAsia="黑体"/>
          <w:sz w:val="32"/>
          <w:highlight w:val="none"/>
        </w:rPr>
        <w:t>概况</w:t>
      </w:r>
    </w:p>
    <w:p>
      <w:pPr>
        <w:pStyle w:val="6"/>
        <w:spacing w:line="560" w:lineRule="exact"/>
        <w:ind w:left="720" w:hanging="720"/>
        <w:rPr>
          <w:rFonts w:hint="default" w:ascii="仿宋_GB2312" w:eastAsia="仿宋_GB2312"/>
          <w:sz w:val="32"/>
          <w:highlight w:val="none"/>
        </w:rPr>
      </w:pPr>
      <w:r>
        <w:rPr>
          <w:rFonts w:ascii="Times New Roman" w:hAnsi="Times New Roman"/>
          <w:sz w:val="32"/>
          <w:highlight w:val="none"/>
        </w:rPr>
        <w:t>一、</w:t>
      </w:r>
      <w:r>
        <w:rPr>
          <w:rFonts w:ascii="仿宋_GB2312" w:eastAsia="仿宋_GB2312"/>
          <w:sz w:val="32"/>
          <w:highlight w:val="none"/>
        </w:rPr>
        <w:t>主要职责</w:t>
      </w:r>
    </w:p>
    <w:p>
      <w:pPr>
        <w:pStyle w:val="6"/>
        <w:spacing w:line="560" w:lineRule="exact"/>
        <w:rPr>
          <w:rFonts w:hint="default" w:ascii="仿宋_GB2312" w:eastAsia="仿宋_GB2312"/>
          <w:sz w:val="32"/>
          <w:highlight w:val="none"/>
        </w:rPr>
      </w:pPr>
      <w:r>
        <w:rPr>
          <w:rFonts w:ascii="仿宋_GB2312" w:eastAsia="仿宋_GB2312"/>
          <w:sz w:val="32"/>
          <w:highlight w:val="none"/>
        </w:rPr>
        <w:t>二、决算单位构成</w:t>
      </w:r>
    </w:p>
    <w:p>
      <w:pPr>
        <w:pStyle w:val="6"/>
        <w:spacing w:line="560" w:lineRule="exact"/>
        <w:rPr>
          <w:rFonts w:hint="default" w:ascii="黑体" w:eastAsia="黑体"/>
          <w:sz w:val="32"/>
          <w:highlight w:val="none"/>
        </w:rPr>
      </w:pPr>
      <w:r>
        <w:rPr>
          <w:rFonts w:ascii="黑体" w:eastAsia="黑体"/>
          <w:sz w:val="32"/>
          <w:highlight w:val="none"/>
        </w:rPr>
        <w:t xml:space="preserve">第二部分   </w:t>
      </w:r>
      <w:r>
        <w:rPr>
          <w:rFonts w:hint="eastAsia" w:ascii="黑体" w:eastAsia="黑体"/>
          <w:sz w:val="32"/>
          <w:highlight w:val="none"/>
        </w:rPr>
        <w:t>沈阳市浑南区农业发展服务中心</w:t>
      </w:r>
      <w:r>
        <w:rPr>
          <w:rFonts w:ascii="黑体" w:eastAsia="黑体"/>
          <w:sz w:val="32"/>
          <w:highlight w:val="none"/>
        </w:rPr>
        <w:t>2021年决算情况说明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一、收入支出决算总体情况说明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二、财政拨款收入支出决算情况说明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三、一般公共预算财政拨款“三公”经费支出决算情况说明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四、一般公共预算财政拨款基本支出决算情况说明</w:t>
      </w:r>
    </w:p>
    <w:p>
      <w:pPr>
        <w:pStyle w:val="6"/>
        <w:spacing w:line="560" w:lineRule="exact"/>
        <w:rPr>
          <w:rFonts w:hint="default" w:ascii="黑体" w:eastAsia="黑体"/>
          <w:sz w:val="32"/>
          <w:highlight w:val="none"/>
        </w:rPr>
      </w:pPr>
      <w:r>
        <w:rPr>
          <w:rFonts w:ascii="仿宋_GB2312" w:eastAsia="仿宋_GB2312"/>
          <w:sz w:val="32"/>
          <w:highlight w:val="none"/>
        </w:rPr>
        <w:t>五、其他重要事项的情况说明</w:t>
      </w:r>
    </w:p>
    <w:p>
      <w:pPr>
        <w:pStyle w:val="6"/>
        <w:spacing w:line="560" w:lineRule="exact"/>
        <w:rPr>
          <w:rFonts w:hint="default" w:ascii="黑体" w:eastAsia="黑体"/>
          <w:sz w:val="32"/>
          <w:highlight w:val="none"/>
        </w:rPr>
      </w:pPr>
      <w:r>
        <w:rPr>
          <w:rFonts w:ascii="黑体" w:eastAsia="黑体"/>
          <w:sz w:val="32"/>
          <w:highlight w:val="none"/>
        </w:rPr>
        <w:t>第三部分    名词解释</w:t>
      </w:r>
    </w:p>
    <w:p>
      <w:pPr>
        <w:pStyle w:val="6"/>
        <w:spacing w:line="560" w:lineRule="exact"/>
        <w:rPr>
          <w:rFonts w:ascii="黑体" w:eastAsia="黑体"/>
          <w:sz w:val="32"/>
          <w:highlight w:val="none"/>
        </w:rPr>
      </w:pPr>
      <w:r>
        <w:rPr>
          <w:rFonts w:ascii="黑体" w:eastAsia="黑体"/>
          <w:sz w:val="32"/>
          <w:highlight w:val="none"/>
        </w:rPr>
        <w:t xml:space="preserve">第四部分    </w:t>
      </w:r>
      <w:r>
        <w:rPr>
          <w:rFonts w:hint="eastAsia" w:ascii="黑体" w:eastAsia="黑体"/>
          <w:sz w:val="32"/>
          <w:highlight w:val="none"/>
          <w:lang w:val="en-US" w:eastAsia="zh-CN"/>
        </w:rPr>
        <w:t>沈阳市浑南区农业发展服务中心</w:t>
      </w:r>
      <w:r>
        <w:rPr>
          <w:rFonts w:ascii="黑体" w:eastAsia="黑体"/>
          <w:sz w:val="32"/>
          <w:highlight w:val="none"/>
        </w:rPr>
        <w:t>2021年决算报表</w:t>
      </w:r>
    </w:p>
    <w:p>
      <w:pPr>
        <w:pStyle w:val="6"/>
        <w:spacing w:line="560" w:lineRule="exact"/>
        <w:rPr>
          <w:rFonts w:hint="default" w:ascii="仿宋_GB2312" w:eastAsia="仿宋_GB2312"/>
          <w:sz w:val="32"/>
          <w:highlight w:val="none"/>
        </w:rPr>
      </w:pPr>
      <w:r>
        <w:rPr>
          <w:rFonts w:ascii="仿宋_GB2312" w:eastAsia="仿宋_GB2312"/>
          <w:sz w:val="32"/>
          <w:highlight w:val="none"/>
        </w:rPr>
        <w:t>一、2021年度收入支出决算总表</w:t>
      </w:r>
    </w:p>
    <w:p>
      <w:pPr>
        <w:pStyle w:val="6"/>
        <w:spacing w:line="560" w:lineRule="exact"/>
        <w:rPr>
          <w:rFonts w:hint="default" w:ascii="仿宋_GB2312" w:eastAsia="仿宋_GB2312"/>
          <w:sz w:val="32"/>
          <w:highlight w:val="none"/>
        </w:rPr>
      </w:pPr>
      <w:r>
        <w:rPr>
          <w:rFonts w:ascii="仿宋_GB2312" w:eastAsia="仿宋_GB2312"/>
          <w:sz w:val="32"/>
          <w:highlight w:val="none"/>
        </w:rPr>
        <w:t>二、2021年度收入决算表</w:t>
      </w:r>
    </w:p>
    <w:p>
      <w:pPr>
        <w:pStyle w:val="6"/>
        <w:spacing w:line="560" w:lineRule="exact"/>
        <w:rPr>
          <w:rFonts w:hint="default" w:ascii="仿宋_GB2312" w:eastAsia="仿宋_GB2312"/>
          <w:sz w:val="32"/>
          <w:highlight w:val="none"/>
        </w:rPr>
      </w:pPr>
      <w:r>
        <w:rPr>
          <w:rFonts w:ascii="仿宋_GB2312" w:eastAsia="仿宋_GB2312"/>
          <w:sz w:val="32"/>
          <w:highlight w:val="none"/>
        </w:rPr>
        <w:t>三、2021年度支出决算表</w:t>
      </w:r>
    </w:p>
    <w:p>
      <w:pPr>
        <w:pStyle w:val="6"/>
        <w:spacing w:line="560" w:lineRule="exact"/>
        <w:rPr>
          <w:rFonts w:hint="default" w:ascii="仿宋_GB2312" w:eastAsia="仿宋_GB2312"/>
          <w:sz w:val="32"/>
          <w:highlight w:val="none"/>
        </w:rPr>
      </w:pPr>
      <w:r>
        <w:rPr>
          <w:rFonts w:ascii="仿宋_GB2312" w:eastAsia="仿宋_GB2312"/>
          <w:sz w:val="32"/>
          <w:highlight w:val="none"/>
        </w:rPr>
        <w:t>四、2021年度财政拨款收入支出决算总表</w:t>
      </w:r>
    </w:p>
    <w:p>
      <w:pPr>
        <w:pStyle w:val="6"/>
        <w:spacing w:line="560" w:lineRule="exact"/>
        <w:rPr>
          <w:rFonts w:hint="default" w:ascii="仿宋_GB2312" w:eastAsia="仿宋_GB2312"/>
          <w:sz w:val="32"/>
          <w:highlight w:val="none"/>
        </w:rPr>
      </w:pPr>
      <w:r>
        <w:rPr>
          <w:rFonts w:ascii="仿宋_GB2312" w:eastAsia="仿宋_GB2312"/>
          <w:sz w:val="32"/>
          <w:highlight w:val="none"/>
        </w:rPr>
        <w:t>五、2021年度一般公共预算财政拨款支出决算表</w:t>
      </w:r>
    </w:p>
    <w:p>
      <w:pPr>
        <w:pStyle w:val="6"/>
        <w:spacing w:line="560" w:lineRule="exact"/>
        <w:rPr>
          <w:rFonts w:hint="default" w:ascii="仿宋_GB2312" w:eastAsia="仿宋_GB2312"/>
          <w:sz w:val="32"/>
          <w:highlight w:val="none"/>
        </w:rPr>
      </w:pPr>
      <w:r>
        <w:rPr>
          <w:rFonts w:ascii="仿宋_GB2312" w:eastAsia="仿宋_GB2312"/>
          <w:sz w:val="32"/>
          <w:highlight w:val="none"/>
        </w:rPr>
        <w:t>六、2021年度一般公共预算财政拨款基本支出决算表</w:t>
      </w:r>
    </w:p>
    <w:p>
      <w:pPr>
        <w:pStyle w:val="6"/>
        <w:spacing w:line="560" w:lineRule="exact"/>
        <w:rPr>
          <w:rFonts w:hint="default" w:ascii="仿宋_GB2312" w:eastAsia="仿宋_GB2312"/>
          <w:sz w:val="32"/>
          <w:highlight w:val="none"/>
        </w:rPr>
      </w:pPr>
      <w:r>
        <w:rPr>
          <w:rFonts w:ascii="仿宋_GB2312" w:eastAsia="仿宋_GB2312"/>
          <w:sz w:val="32"/>
          <w:highlight w:val="none"/>
        </w:rPr>
        <w:t>七、2021年度政府性基金预算财政拨款收入支出决算表</w:t>
      </w:r>
    </w:p>
    <w:p>
      <w:pPr>
        <w:pStyle w:val="6"/>
        <w:spacing w:line="560" w:lineRule="exact"/>
        <w:rPr>
          <w:rFonts w:hint="default" w:ascii="仿宋_GB2312" w:eastAsia="仿宋_GB2312"/>
          <w:sz w:val="32"/>
          <w:highlight w:val="none"/>
        </w:rPr>
      </w:pPr>
      <w:r>
        <w:rPr>
          <w:rFonts w:ascii="仿宋_GB2312" w:eastAsia="仿宋_GB2312"/>
          <w:sz w:val="32"/>
          <w:highlight w:val="none"/>
        </w:rPr>
        <w:t>八、2021年度一般公共预算财政拨款“三公”经费支出决算表</w:t>
      </w:r>
    </w:p>
    <w:p>
      <w:pPr>
        <w:pStyle w:val="6"/>
        <w:spacing w:line="560" w:lineRule="exact"/>
        <w:rPr>
          <w:rFonts w:hint="default" w:ascii="仿宋_GB2312" w:eastAsia="仿宋_GB2312"/>
          <w:sz w:val="32"/>
          <w:highlight w:val="none"/>
        </w:rPr>
      </w:pPr>
      <w:r>
        <w:rPr>
          <w:rFonts w:ascii="仿宋_GB2312" w:eastAsia="仿宋_GB2312"/>
          <w:sz w:val="32"/>
          <w:highlight w:val="none"/>
        </w:rPr>
        <w:t>九、2021年度国有资本经营预算财政拨款支出决算表</w:t>
      </w:r>
    </w:p>
    <w:p>
      <w:pPr>
        <w:pStyle w:val="6"/>
        <w:spacing w:line="560" w:lineRule="exact"/>
        <w:jc w:val="center"/>
        <w:rPr>
          <w:rFonts w:hint="default"/>
          <w:b/>
          <w:sz w:val="36"/>
          <w:highlight w:val="none"/>
        </w:rPr>
      </w:pPr>
    </w:p>
    <w:p>
      <w:pPr>
        <w:pStyle w:val="6"/>
        <w:spacing w:line="560" w:lineRule="exact"/>
        <w:jc w:val="center"/>
        <w:rPr>
          <w:rFonts w:hint="default"/>
          <w:b/>
          <w:sz w:val="36"/>
          <w:highlight w:val="none"/>
        </w:rPr>
      </w:pPr>
      <w:r>
        <w:rPr>
          <w:b/>
          <w:sz w:val="36"/>
          <w:highlight w:val="none"/>
        </w:rPr>
        <w:t xml:space="preserve">第一部分 </w:t>
      </w:r>
      <w:r>
        <w:rPr>
          <w:rFonts w:hint="eastAsia"/>
          <w:b/>
          <w:sz w:val="36"/>
          <w:highlight w:val="none"/>
          <w:lang w:val="en-US" w:eastAsia="zh-CN"/>
        </w:rPr>
        <w:t>沈阳市浑南区农业发展服务中心</w:t>
      </w:r>
      <w:r>
        <w:rPr>
          <w:b/>
          <w:sz w:val="36"/>
          <w:highlight w:val="none"/>
        </w:rPr>
        <w:t>概况</w:t>
      </w:r>
    </w:p>
    <w:p>
      <w:pPr>
        <w:pStyle w:val="6"/>
        <w:spacing w:line="560" w:lineRule="exact"/>
        <w:ind w:firstLine="640"/>
        <w:rPr>
          <w:rFonts w:hint="default" w:ascii="黑体" w:eastAsia="黑体"/>
          <w:sz w:val="32"/>
          <w:highlight w:val="none"/>
        </w:rPr>
      </w:pPr>
    </w:p>
    <w:p>
      <w:pPr>
        <w:pStyle w:val="6"/>
        <w:spacing w:line="560" w:lineRule="exact"/>
        <w:ind w:firstLine="640"/>
        <w:rPr>
          <w:rFonts w:hint="default" w:ascii="黑体" w:eastAsia="黑体"/>
          <w:sz w:val="32"/>
          <w:highlight w:val="none"/>
        </w:rPr>
      </w:pPr>
      <w:r>
        <w:rPr>
          <w:rFonts w:ascii="黑体" w:eastAsia="黑体"/>
          <w:sz w:val="32"/>
          <w:highlight w:val="none"/>
        </w:rPr>
        <w:t>一、主要职责</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（一）围绕国家“乡村振兴”战略实施和农业供给侧改革要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求，整合全区农业科技资源职能，推进我区农业科技资源共享服务，建立健全我区农业科技推广体系，为加快我区现代农业发展 提供技术支撑。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（二）承担种植业、畜牧兽医、水产渔业、粮油食品、农业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机械化、新能源利用、果树、水利技术等领域技术推广服务，促 进先进适用技术和名优新品种示范推广，开展土肥技术推广，为推动全区农业农村经济发展提供科技支撑。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（三）组织开展上级农业主管部门实施的农村实用人才培训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项目，大力培育新型农民；负责农业技术推广体系建设和队伍管 理，培训基层农技推广人员，指导农民及农民专业组织应用新品种、新技术，帮助农民提高专业知识水平和操作技能。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（四）负责全区农产品、粮油检测工作。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（五）负责全区果树及果树苗木、种子的技术指导、实验示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范、成果转化和推广，组织果树技术培训，提供技术、信息、服 务等。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（六）在水行政主管部门指导下，负责水系供水及站点管理；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负责水利科学新技术试验和推广工作；负责水利站管理工作。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（七）负责对全区高标准农田建设项目的管理及统计报表工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（八）负责棋盘山水库枢纽工程及附属设施运行管理、维修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养护、看护工作；防汛及调度工作；水质动态监测以及预防水害 工作；渔业病虫害预防治理工作；水政、渔政监察工作；水资源、 渔业资源、船只管理工作。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（九）负责棋盘山景区内水土保持和水土流失治理工作。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（十）负责承担全区森林防灭火宣传培训、专业监测、预报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预警和森林火灾扑救指挥调度工作。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（十一）负责开展林业行政执法工作，指导管理全区护林员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队伍；负责林业案件鉴定工作。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（十二）负责实施森林病虫害防治、野生动植物保护、林木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种苗管理工作；负责实施森林资源监测、退耕还林、造林绿化具 体工作。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（十三）贯彻国家各项农村综合改革政策及省、市、区相关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 xml:space="preserve">要求。 </w:t>
      </w:r>
    </w:p>
    <w:p>
      <w:pPr>
        <w:keepNext w:val="0"/>
        <w:keepLines w:val="0"/>
        <w:widowControl/>
        <w:suppressLineNumbers w:val="0"/>
        <w:jc w:val="left"/>
        <w:rPr>
          <w:highlight w:val="none"/>
        </w:rPr>
      </w:pPr>
      <w:r>
        <w:rPr>
          <w:rFonts w:hint="eastAsia" w:ascii="仿宋_GB2312" w:hAnsi="仿宋_GB2312" w:eastAsia="仿宋_GB2312" w:cs="仿宋_GB2312"/>
          <w:color w:val="000000"/>
          <w:kern w:val="0"/>
          <w:sz w:val="31"/>
          <w:szCs w:val="31"/>
          <w:highlight w:val="none"/>
          <w:lang w:val="en-US" w:eastAsia="zh-CN" w:bidi="ar"/>
        </w:rPr>
        <w:t>（十四）完成区委、区政府交办的其他任务。</w:t>
      </w:r>
    </w:p>
    <w:p>
      <w:pPr>
        <w:pStyle w:val="6"/>
        <w:spacing w:line="560" w:lineRule="exact"/>
        <w:ind w:firstLine="640"/>
        <w:rPr>
          <w:rFonts w:ascii="黑体" w:eastAsia="黑体"/>
          <w:sz w:val="32"/>
          <w:highlight w:val="none"/>
        </w:rPr>
      </w:pPr>
      <w:r>
        <w:rPr>
          <w:rFonts w:ascii="黑体" w:eastAsia="黑体"/>
          <w:sz w:val="32"/>
          <w:highlight w:val="none"/>
        </w:rPr>
        <w:t>二、决算单位构成</w:t>
      </w:r>
    </w:p>
    <w:p>
      <w:pPr>
        <w:pStyle w:val="6"/>
        <w:spacing w:line="560" w:lineRule="exact"/>
        <w:ind w:firstLine="640"/>
        <w:rPr>
          <w:rFonts w:hint="default" w:ascii="仿宋_GB2312" w:hAnsi="仿宋_GB2312" w:eastAsia="仿宋_GB2312" w:cs="仿宋_GB2312"/>
          <w:b w:val="0"/>
          <w:bCs w:val="0"/>
          <w:color w:val="auto"/>
          <w:sz w:val="32"/>
          <w:szCs w:val="32"/>
          <w:highlight w:val="none"/>
          <w:lang w:eastAsia="zh-CN"/>
        </w:rPr>
      </w:pPr>
      <w:r>
        <w:rPr>
          <w:rFonts w:ascii="仿宋_GB2312" w:eastAsia="仿宋_GB2312"/>
          <w:b w:val="0"/>
          <w:bCs w:val="0"/>
          <w:color w:val="auto"/>
          <w:sz w:val="32"/>
          <w:szCs w:val="32"/>
          <w:highlight w:val="none"/>
        </w:rPr>
        <w:t>纳入</w:t>
      </w:r>
      <w:r>
        <w:rPr>
          <w:rFonts w:hint="eastAsia" w:ascii="仿宋_GB2312" w:eastAsia="仿宋_GB2312"/>
          <w:b w:val="0"/>
          <w:bCs w:val="0"/>
          <w:color w:val="auto"/>
          <w:sz w:val="32"/>
          <w:szCs w:val="32"/>
          <w:highlight w:val="none"/>
          <w:lang w:eastAsia="zh-CN"/>
        </w:rPr>
        <w:t>本单位</w:t>
      </w: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21</w:t>
      </w:r>
      <w:r>
        <w:rPr>
          <w:rFonts w:ascii="仿宋_GB2312" w:eastAsia="仿宋_GB2312"/>
          <w:b w:val="0"/>
          <w:bCs w:val="0"/>
          <w:color w:val="auto"/>
          <w:sz w:val="32"/>
          <w:szCs w:val="32"/>
          <w:highlight w:val="none"/>
        </w:rPr>
        <w:t>年部门</w:t>
      </w:r>
      <w:r>
        <w:rPr>
          <w:rFonts w:hint="eastAsia" w:ascii="仿宋_GB2312" w:eastAsia="仿宋_GB2312"/>
          <w:b w:val="0"/>
          <w:bCs w:val="0"/>
          <w:color w:val="auto"/>
          <w:sz w:val="32"/>
          <w:szCs w:val="32"/>
          <w:highlight w:val="none"/>
          <w:lang w:eastAsia="zh-CN"/>
        </w:rPr>
        <w:t>决算</w:t>
      </w:r>
      <w:r>
        <w:rPr>
          <w:rFonts w:ascii="仿宋_GB2312" w:eastAsia="仿宋_GB2312"/>
          <w:b w:val="0"/>
          <w:bCs w:val="0"/>
          <w:color w:val="auto"/>
          <w:sz w:val="32"/>
          <w:szCs w:val="32"/>
          <w:highlight w:val="none"/>
        </w:rPr>
        <w:t>编制范围</w:t>
      </w:r>
      <w:r>
        <w:rPr>
          <w:rFonts w:hint="eastAsia" w:ascii="仿宋_GB2312" w:hAnsi="仿宋_GB2312" w:eastAsia="仿宋_GB2312" w:cs="仿宋_GB2312"/>
          <w:b w:val="0"/>
          <w:bCs w:val="0"/>
          <w:color w:val="auto"/>
          <w:sz w:val="32"/>
          <w:szCs w:val="32"/>
          <w:highlight w:val="none"/>
        </w:rPr>
        <w:t>的是</w:t>
      </w:r>
      <w:r>
        <w:rPr>
          <w:rFonts w:hint="eastAsia" w:ascii="仿宋_GB2312" w:hAnsi="仿宋_GB2312" w:eastAsia="仿宋_GB2312" w:cs="仿宋_GB2312"/>
          <w:b w:val="0"/>
          <w:bCs w:val="0"/>
          <w:color w:val="auto"/>
          <w:sz w:val="32"/>
          <w:szCs w:val="32"/>
          <w:highlight w:val="none"/>
          <w:lang w:eastAsia="zh-CN"/>
        </w:rPr>
        <w:t>浑南区</w:t>
      </w:r>
      <w:r>
        <w:rPr>
          <w:rFonts w:hint="eastAsia" w:ascii="仿宋_GB2312" w:hAnsi="仿宋_GB2312" w:eastAsia="仿宋_GB2312" w:cs="仿宋_GB2312"/>
          <w:b w:val="0"/>
          <w:bCs w:val="0"/>
          <w:sz w:val="32"/>
          <w:szCs w:val="32"/>
          <w:highlight w:val="none"/>
          <w:lang w:val="en-US" w:eastAsia="zh-CN"/>
        </w:rPr>
        <w:t>浑南区农业发展服务中心</w:t>
      </w:r>
      <w:r>
        <w:rPr>
          <w:rFonts w:hint="eastAsia" w:ascii="仿宋_GB2312" w:hAnsi="仿宋_GB2312" w:eastAsia="仿宋_GB2312" w:cs="仿宋_GB2312"/>
          <w:b w:val="0"/>
          <w:bCs w:val="0"/>
          <w:color w:val="auto"/>
          <w:sz w:val="32"/>
          <w:szCs w:val="32"/>
          <w:highlight w:val="none"/>
        </w:rPr>
        <w:t>本</w:t>
      </w:r>
      <w:r>
        <w:rPr>
          <w:rFonts w:ascii="仿宋_GB2312" w:eastAsia="仿宋_GB2312"/>
          <w:b w:val="0"/>
          <w:bCs w:val="0"/>
          <w:color w:val="auto"/>
          <w:sz w:val="32"/>
          <w:szCs w:val="32"/>
          <w:highlight w:val="none"/>
        </w:rPr>
        <w:t>级，本单位无下设机构。</w:t>
      </w:r>
    </w:p>
    <w:p>
      <w:pPr>
        <w:pStyle w:val="6"/>
        <w:spacing w:line="560" w:lineRule="exact"/>
        <w:rPr>
          <w:rFonts w:hint="default"/>
          <w:b/>
          <w:sz w:val="36"/>
          <w:highlight w:val="none"/>
        </w:rPr>
      </w:pPr>
    </w:p>
    <w:p>
      <w:pPr>
        <w:pStyle w:val="6"/>
        <w:spacing w:line="560" w:lineRule="exact"/>
        <w:jc w:val="center"/>
        <w:rPr>
          <w:rFonts w:hint="default"/>
          <w:b/>
          <w:sz w:val="36"/>
          <w:highlight w:val="none"/>
        </w:rPr>
      </w:pPr>
    </w:p>
    <w:p>
      <w:pPr>
        <w:pStyle w:val="6"/>
        <w:spacing w:line="560" w:lineRule="exact"/>
        <w:jc w:val="left"/>
        <w:rPr>
          <w:rFonts w:hint="default"/>
          <w:b/>
          <w:sz w:val="36"/>
          <w:highlight w:val="none"/>
        </w:rPr>
      </w:pPr>
      <w:r>
        <w:rPr>
          <w:b/>
          <w:sz w:val="36"/>
          <w:highlight w:val="none"/>
        </w:rPr>
        <w:t xml:space="preserve">第二部分 </w:t>
      </w:r>
      <w:r>
        <w:rPr>
          <w:rFonts w:hint="eastAsia"/>
          <w:b/>
          <w:sz w:val="36"/>
          <w:highlight w:val="none"/>
          <w:lang w:val="en-US" w:eastAsia="zh-CN"/>
        </w:rPr>
        <w:t>沈阳市浑南区农业发展服务中心</w:t>
      </w:r>
      <w:r>
        <w:rPr>
          <w:b/>
          <w:sz w:val="36"/>
          <w:highlight w:val="none"/>
        </w:rPr>
        <w:t>2021年决算情况说明</w:t>
      </w:r>
    </w:p>
    <w:p>
      <w:pPr>
        <w:pStyle w:val="6"/>
        <w:spacing w:line="560" w:lineRule="exact"/>
        <w:ind w:firstLine="640" w:firstLineChars="200"/>
        <w:rPr>
          <w:rFonts w:hint="default" w:ascii="黑体" w:eastAsia="黑体"/>
          <w:sz w:val="32"/>
          <w:highlight w:val="none"/>
        </w:rPr>
      </w:pPr>
    </w:p>
    <w:p>
      <w:pPr>
        <w:spacing w:line="540" w:lineRule="exact"/>
        <w:ind w:firstLine="627" w:firstLineChars="196"/>
        <w:rPr>
          <w:rFonts w:hint="eastAsia" w:ascii="黑体" w:hAnsi="黑体" w:eastAsia="黑体"/>
          <w:b/>
          <w:bCs/>
          <w:color w:val="FF0000"/>
          <w:sz w:val="32"/>
          <w:szCs w:val="32"/>
          <w:highlight w:val="none"/>
          <w:lang w:eastAsia="zh-CN"/>
        </w:rPr>
      </w:pPr>
      <w:r>
        <w:rPr>
          <w:rFonts w:ascii="黑体" w:eastAsia="黑体"/>
          <w:sz w:val="32"/>
          <w:highlight w:val="none"/>
        </w:rPr>
        <w:t>一、收入支出决算总体情况说明</w:t>
      </w:r>
    </w:p>
    <w:p>
      <w:pPr>
        <w:spacing w:line="540" w:lineRule="exact"/>
        <w:ind w:firstLine="630" w:firstLineChars="196"/>
        <w:rPr>
          <w:rFonts w:hint="default" w:ascii="楷体_GB2312" w:eastAsia="楷体_GB2312"/>
          <w:b/>
          <w:sz w:val="32"/>
          <w:highlight w:val="none"/>
        </w:rPr>
      </w:pPr>
      <w:r>
        <w:rPr>
          <w:rFonts w:ascii="楷体_GB2312" w:eastAsia="楷体_GB2312"/>
          <w:b/>
          <w:sz w:val="32"/>
          <w:highlight w:val="none"/>
        </w:rPr>
        <w:t>（一）收入总计</w:t>
      </w:r>
      <w:r>
        <w:rPr>
          <w:rFonts w:hint="eastAsia" w:ascii="楷体_GB2312" w:eastAsia="楷体_GB2312"/>
          <w:b/>
          <w:sz w:val="32"/>
          <w:highlight w:val="none"/>
          <w:lang w:val="en-US" w:eastAsia="zh-CN"/>
        </w:rPr>
        <w:t>10468.41</w:t>
      </w:r>
      <w:r>
        <w:rPr>
          <w:rFonts w:ascii="楷体_GB2312" w:eastAsia="楷体_GB2312"/>
          <w:b/>
          <w:sz w:val="32"/>
          <w:highlight w:val="none"/>
        </w:rPr>
        <w:t>万元，包括：</w:t>
      </w:r>
    </w:p>
    <w:p>
      <w:pPr>
        <w:pStyle w:val="6"/>
        <w:spacing w:line="560" w:lineRule="exact"/>
        <w:ind w:firstLine="660"/>
        <w:rPr>
          <w:rFonts w:hint="default" w:ascii="仿宋_GB2312" w:eastAsia="仿宋_GB2312"/>
          <w:sz w:val="32"/>
          <w:highlight w:val="none"/>
        </w:rPr>
      </w:pPr>
      <w:r>
        <w:rPr>
          <w:rFonts w:ascii="仿宋_GB2312" w:eastAsia="仿宋_GB2312"/>
          <w:sz w:val="32"/>
          <w:highlight w:val="none"/>
        </w:rPr>
        <w:t>1.财政拨款收入</w:t>
      </w:r>
      <w:r>
        <w:rPr>
          <w:rFonts w:hint="eastAsia" w:ascii="仿宋_GB2312" w:eastAsia="仿宋_GB2312"/>
          <w:sz w:val="32"/>
          <w:highlight w:val="none"/>
        </w:rPr>
        <w:t>10128.94</w:t>
      </w:r>
      <w:r>
        <w:rPr>
          <w:rFonts w:ascii="仿宋_GB2312" w:eastAsia="仿宋_GB2312"/>
          <w:sz w:val="32"/>
          <w:highlight w:val="none"/>
        </w:rPr>
        <w:t>万元，占收入总计的</w:t>
      </w:r>
      <w:r>
        <w:rPr>
          <w:rFonts w:hint="eastAsia" w:ascii="仿宋_GB2312" w:eastAsia="仿宋_GB2312"/>
          <w:sz w:val="32"/>
          <w:highlight w:val="none"/>
          <w:lang w:val="en-US" w:eastAsia="zh-CN"/>
        </w:rPr>
        <w:t>96.76</w:t>
      </w:r>
      <w:r>
        <w:rPr>
          <w:rFonts w:ascii="仿宋_GB2312" w:eastAsia="仿宋_GB2312"/>
          <w:sz w:val="32"/>
          <w:highlight w:val="none"/>
        </w:rPr>
        <w:t>%。其中：一般公共预算财政拨款收入</w:t>
      </w:r>
      <w:r>
        <w:rPr>
          <w:rFonts w:hint="eastAsia" w:ascii="仿宋_GB2312" w:eastAsia="仿宋_GB2312"/>
          <w:sz w:val="32"/>
          <w:highlight w:val="none"/>
        </w:rPr>
        <w:t>8140.44</w:t>
      </w:r>
      <w:r>
        <w:rPr>
          <w:rFonts w:ascii="仿宋_GB2312" w:eastAsia="仿宋_GB2312"/>
          <w:sz w:val="32"/>
          <w:highlight w:val="none"/>
        </w:rPr>
        <w:t>万元，政府性基金收入</w:t>
      </w:r>
      <w:r>
        <w:rPr>
          <w:rFonts w:hint="eastAsia" w:ascii="仿宋_GB2312" w:eastAsia="仿宋_GB2312"/>
          <w:sz w:val="32"/>
          <w:highlight w:val="none"/>
        </w:rPr>
        <w:t>1988.5</w:t>
      </w:r>
      <w:r>
        <w:rPr>
          <w:rFonts w:hint="eastAsia" w:ascii="仿宋_GB2312" w:eastAsia="仿宋_GB2312"/>
          <w:sz w:val="32"/>
          <w:highlight w:val="none"/>
          <w:lang w:val="en-US" w:eastAsia="zh-CN"/>
        </w:rPr>
        <w:t>0</w:t>
      </w:r>
      <w:r>
        <w:rPr>
          <w:rFonts w:ascii="仿宋_GB2312" w:eastAsia="仿宋_GB2312"/>
          <w:sz w:val="32"/>
          <w:highlight w:val="none"/>
        </w:rPr>
        <w:t>万元，国有资本经营预算财政拨款收入</w:t>
      </w:r>
      <w:r>
        <w:rPr>
          <w:rFonts w:hint="eastAsia" w:ascii="仿宋_GB2312" w:eastAsia="仿宋_GB2312"/>
          <w:sz w:val="32"/>
          <w:highlight w:val="none"/>
          <w:lang w:val="en-US" w:eastAsia="zh-CN"/>
        </w:rPr>
        <w:t>0.0</w:t>
      </w:r>
      <w:r>
        <w:rPr>
          <w:rFonts w:ascii="仿宋_GB2312" w:eastAsia="仿宋_GB2312"/>
          <w:sz w:val="32"/>
          <w:highlight w:val="none"/>
        </w:rPr>
        <w:t>万元。</w:t>
      </w:r>
    </w:p>
    <w:p>
      <w:pPr>
        <w:pStyle w:val="6"/>
        <w:spacing w:line="560" w:lineRule="exact"/>
        <w:ind w:firstLine="660"/>
        <w:rPr>
          <w:rFonts w:hint="default" w:ascii="仿宋_GB2312" w:eastAsia="仿宋_GB2312"/>
          <w:sz w:val="32"/>
          <w:highlight w:val="none"/>
        </w:rPr>
      </w:pPr>
      <w:r>
        <w:rPr>
          <w:rFonts w:hint="eastAsia" w:ascii="仿宋_GB2312" w:eastAsia="仿宋_GB2312"/>
          <w:sz w:val="32"/>
          <w:highlight w:val="none"/>
          <w:lang w:val="en-US" w:eastAsia="zh-CN"/>
        </w:rPr>
        <w:t>2</w:t>
      </w:r>
      <w:r>
        <w:rPr>
          <w:rFonts w:ascii="仿宋_GB2312" w:eastAsia="仿宋_GB2312"/>
          <w:sz w:val="32"/>
          <w:highlight w:val="none"/>
        </w:rPr>
        <w:t>.上年结转和结余</w:t>
      </w:r>
      <w:r>
        <w:rPr>
          <w:rFonts w:hint="eastAsia" w:ascii="仿宋_GB2312" w:eastAsia="仿宋_GB2312"/>
          <w:sz w:val="32"/>
          <w:highlight w:val="none"/>
        </w:rPr>
        <w:t>339.47</w:t>
      </w:r>
      <w:r>
        <w:rPr>
          <w:rFonts w:ascii="仿宋_GB2312" w:eastAsia="仿宋_GB2312"/>
          <w:sz w:val="32"/>
          <w:highlight w:val="none"/>
        </w:rPr>
        <w:t>万元，占收入总计的</w:t>
      </w:r>
      <w:r>
        <w:rPr>
          <w:rFonts w:hint="eastAsia" w:ascii="仿宋_GB2312" w:eastAsia="仿宋_GB2312"/>
          <w:sz w:val="32"/>
          <w:highlight w:val="none"/>
          <w:lang w:val="en-US" w:eastAsia="zh-CN"/>
        </w:rPr>
        <w:t>3.24</w:t>
      </w:r>
      <w:r>
        <w:rPr>
          <w:rFonts w:ascii="仿宋_GB2312" w:eastAsia="仿宋_GB2312"/>
          <w:sz w:val="32"/>
          <w:highlight w:val="none"/>
        </w:rPr>
        <w:t>%。主要是</w:t>
      </w:r>
      <w:r>
        <w:rPr>
          <w:rFonts w:hint="eastAsia" w:ascii="仿宋_GB2312" w:eastAsia="仿宋_GB2312"/>
          <w:sz w:val="32"/>
          <w:highlight w:val="none"/>
        </w:rPr>
        <w:t>秸秆打捆离田项目</w:t>
      </w:r>
      <w:r>
        <w:rPr>
          <w:rFonts w:hint="eastAsia" w:ascii="仿宋_GB2312" w:eastAsia="仿宋_GB2312"/>
          <w:sz w:val="32"/>
          <w:highlight w:val="none"/>
          <w:lang w:eastAsia="zh-CN"/>
        </w:rPr>
        <w:t>、病虫害防治费、农村饮水安全消毒费、农村饮水安全水质检测费、农村饮水安全应急预案编制费、农村饮水</w:t>
      </w:r>
      <w:r>
        <w:rPr>
          <w:rFonts w:ascii="仿宋_GB2312" w:eastAsia="仿宋_GB2312"/>
          <w:sz w:val="32"/>
          <w:highlight w:val="none"/>
        </w:rPr>
        <w:t>等</w:t>
      </w:r>
      <w:r>
        <w:rPr>
          <w:rFonts w:hint="eastAsia" w:ascii="仿宋_GB2312" w:eastAsia="仿宋_GB2312"/>
          <w:sz w:val="32"/>
          <w:highlight w:val="none"/>
          <w:lang w:val="en-US" w:eastAsia="zh-CN"/>
        </w:rPr>
        <w:t>支出</w:t>
      </w:r>
      <w:r>
        <w:rPr>
          <w:rFonts w:ascii="仿宋_GB2312" w:eastAsia="仿宋_GB2312"/>
          <w:sz w:val="32"/>
          <w:highlight w:val="none"/>
        </w:rPr>
        <w:t>。</w:t>
      </w:r>
    </w:p>
    <w:p>
      <w:pPr>
        <w:pStyle w:val="6"/>
        <w:spacing w:line="560" w:lineRule="exact"/>
        <w:ind w:firstLine="660"/>
        <w:rPr>
          <w:rFonts w:hint="eastAsia" w:ascii="仿宋_GB2312" w:eastAsia="仿宋_GB2312"/>
          <w:color w:val="auto"/>
          <w:sz w:val="32"/>
          <w:szCs w:val="32"/>
          <w:highlight w:val="none"/>
          <w:lang w:val="en-US" w:eastAsia="zh-CN"/>
        </w:rPr>
      </w:pPr>
      <w:r>
        <w:rPr>
          <w:rFonts w:ascii="仿宋_GB2312" w:eastAsia="仿宋_GB2312"/>
          <w:sz w:val="32"/>
          <w:highlight w:val="none"/>
        </w:rPr>
        <w:t>与上年相比，今年收入减少</w:t>
      </w:r>
      <w:r>
        <w:rPr>
          <w:rFonts w:hint="eastAsia" w:ascii="仿宋_GB2312" w:eastAsia="仿宋_GB2312"/>
          <w:sz w:val="32"/>
          <w:highlight w:val="none"/>
          <w:lang w:val="en-US" w:eastAsia="zh-CN"/>
        </w:rPr>
        <w:t>5348.93</w:t>
      </w:r>
      <w:r>
        <w:rPr>
          <w:rFonts w:ascii="仿宋_GB2312" w:eastAsia="仿宋_GB2312"/>
          <w:sz w:val="32"/>
          <w:highlight w:val="none"/>
        </w:rPr>
        <w:t>万元，降低</w:t>
      </w:r>
      <w:r>
        <w:rPr>
          <w:rFonts w:hint="eastAsia" w:ascii="仿宋_GB2312" w:eastAsia="仿宋_GB2312"/>
          <w:sz w:val="32"/>
          <w:highlight w:val="none"/>
          <w:lang w:val="en-US" w:eastAsia="zh-CN"/>
        </w:rPr>
        <w:t>33.82</w:t>
      </w:r>
      <w:r>
        <w:rPr>
          <w:rFonts w:ascii="仿宋_GB2312" w:eastAsia="仿宋_GB2312"/>
          <w:sz w:val="32"/>
          <w:highlight w:val="none"/>
        </w:rPr>
        <w:t>%，主要原因：</w:t>
      </w:r>
      <w:r>
        <w:rPr>
          <w:rFonts w:hint="eastAsia" w:ascii="仿宋_GB2312" w:hAnsi="宋体" w:eastAsia="仿宋_GB2312"/>
          <w:color w:val="auto"/>
          <w:sz w:val="32"/>
          <w:szCs w:val="32"/>
          <w:highlight w:val="none"/>
          <w:lang w:val="en-US" w:eastAsia="zh-CN"/>
        </w:rPr>
        <w:t>机构改革，</w:t>
      </w:r>
      <w:r>
        <w:rPr>
          <w:rFonts w:hint="eastAsia" w:ascii="仿宋_GB2312" w:eastAsia="仿宋_GB2312"/>
          <w:color w:val="auto"/>
          <w:sz w:val="32"/>
          <w:szCs w:val="32"/>
          <w:highlight w:val="none"/>
          <w:lang w:val="en-US" w:eastAsia="zh-CN"/>
        </w:rPr>
        <w:t>人员和</w:t>
      </w:r>
      <w:r>
        <w:rPr>
          <w:rFonts w:hint="eastAsia" w:ascii="仿宋_GB2312" w:hAnsi="宋体" w:eastAsia="仿宋_GB2312"/>
          <w:color w:val="auto"/>
          <w:sz w:val="32"/>
          <w:szCs w:val="32"/>
          <w:highlight w:val="none"/>
          <w:lang w:val="en-US" w:eastAsia="zh-CN"/>
        </w:rPr>
        <w:t>项</w:t>
      </w:r>
      <w:r>
        <w:rPr>
          <w:rFonts w:hint="eastAsia" w:ascii="仿宋_GB2312" w:eastAsia="仿宋_GB2312"/>
          <w:color w:val="auto"/>
          <w:sz w:val="32"/>
          <w:szCs w:val="32"/>
          <w:highlight w:val="none"/>
          <w:lang w:val="en-US" w:eastAsia="zh-CN"/>
        </w:rPr>
        <w:t>目均减少。</w:t>
      </w:r>
    </w:p>
    <w:p>
      <w:pPr>
        <w:pStyle w:val="6"/>
        <w:numPr>
          <w:ilvl w:val="0"/>
          <w:numId w:val="1"/>
        </w:numPr>
        <w:spacing w:line="560" w:lineRule="exact"/>
        <w:ind w:firstLine="660"/>
        <w:rPr>
          <w:rFonts w:ascii="楷体_GB2312" w:eastAsia="楷体_GB2312"/>
          <w:b/>
          <w:sz w:val="32"/>
          <w:highlight w:val="none"/>
        </w:rPr>
      </w:pPr>
      <w:r>
        <w:rPr>
          <w:rFonts w:ascii="楷体_GB2312" w:eastAsia="楷体_GB2312"/>
          <w:b/>
          <w:sz w:val="32"/>
          <w:highlight w:val="none"/>
        </w:rPr>
        <w:t>支出总计</w:t>
      </w:r>
      <w:r>
        <w:rPr>
          <w:rFonts w:hint="eastAsia" w:ascii="楷体_GB2312" w:eastAsia="楷体_GB2312"/>
          <w:b/>
          <w:sz w:val="32"/>
          <w:highlight w:val="none"/>
          <w:lang w:val="en-US" w:eastAsia="zh-CN"/>
        </w:rPr>
        <w:t>10432.47</w:t>
      </w:r>
      <w:r>
        <w:rPr>
          <w:rFonts w:ascii="楷体_GB2312" w:eastAsia="楷体_GB2312"/>
          <w:b/>
          <w:sz w:val="32"/>
          <w:highlight w:val="none"/>
        </w:rPr>
        <w:t>万元，包括：</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highlight w:val="none"/>
        </w:rPr>
      </w:pPr>
      <w:r>
        <w:rPr>
          <w:rFonts w:ascii="仿宋_GB2312" w:eastAsia="仿宋_GB2312"/>
          <w:sz w:val="32"/>
          <w:highlight w:val="none"/>
        </w:rPr>
        <w:t>1.基本支出</w:t>
      </w:r>
      <w:r>
        <w:rPr>
          <w:rFonts w:hint="eastAsia" w:ascii="仿宋_GB2312" w:eastAsia="仿宋_GB2312"/>
          <w:sz w:val="32"/>
          <w:highlight w:val="none"/>
          <w:lang w:val="en-US" w:eastAsia="zh-CN"/>
        </w:rPr>
        <w:t>2098.02</w:t>
      </w:r>
      <w:r>
        <w:rPr>
          <w:rFonts w:ascii="仿宋_GB2312" w:eastAsia="仿宋_GB2312"/>
          <w:sz w:val="32"/>
          <w:highlight w:val="none"/>
        </w:rPr>
        <w:t>万元，占支出总计的</w:t>
      </w:r>
      <w:r>
        <w:rPr>
          <w:rFonts w:hint="eastAsia" w:ascii="仿宋_GB2312" w:eastAsia="仿宋_GB2312"/>
          <w:sz w:val="32"/>
          <w:highlight w:val="none"/>
          <w:lang w:val="en-US" w:eastAsia="zh-CN"/>
        </w:rPr>
        <w:t>20.11</w:t>
      </w:r>
      <w:r>
        <w:rPr>
          <w:rFonts w:ascii="仿宋_GB2312" w:eastAsia="仿宋_GB2312"/>
          <w:sz w:val="32"/>
          <w:highlight w:val="none"/>
        </w:rPr>
        <w:t>%。主要是为保障机构正常运转、完成日常工作任务而发生的各项支出，其中：工资福利支出</w:t>
      </w:r>
      <w:r>
        <w:rPr>
          <w:rFonts w:hint="eastAsia" w:ascii="仿宋_GB2312" w:eastAsia="仿宋_GB2312"/>
          <w:sz w:val="32"/>
          <w:highlight w:val="none"/>
        </w:rPr>
        <w:t>1600.77</w:t>
      </w:r>
      <w:r>
        <w:rPr>
          <w:rFonts w:ascii="仿宋_GB2312" w:eastAsia="仿宋_GB2312"/>
          <w:sz w:val="32"/>
          <w:highlight w:val="none"/>
        </w:rPr>
        <w:t>万元，对个人和家庭的补助支出</w:t>
      </w:r>
      <w:r>
        <w:rPr>
          <w:rFonts w:hint="eastAsia" w:ascii="仿宋_GB2312" w:eastAsia="仿宋_GB2312"/>
          <w:sz w:val="32"/>
          <w:highlight w:val="none"/>
        </w:rPr>
        <w:t>321.44</w:t>
      </w:r>
      <w:r>
        <w:rPr>
          <w:rFonts w:ascii="仿宋_GB2312" w:eastAsia="仿宋_GB2312"/>
          <w:sz w:val="32"/>
          <w:highlight w:val="none"/>
        </w:rPr>
        <w:t>万元，商品和服务支出</w:t>
      </w:r>
      <w:r>
        <w:rPr>
          <w:rFonts w:hint="eastAsia" w:ascii="仿宋_GB2312" w:eastAsia="仿宋_GB2312"/>
          <w:sz w:val="32"/>
          <w:highlight w:val="none"/>
        </w:rPr>
        <w:t>175.64</w:t>
      </w:r>
      <w:r>
        <w:rPr>
          <w:rFonts w:ascii="仿宋_GB2312" w:eastAsia="仿宋_GB2312"/>
          <w:sz w:val="32"/>
          <w:highlight w:val="none"/>
        </w:rPr>
        <w:t>万元，</w:t>
      </w:r>
      <w:r>
        <w:rPr>
          <w:rFonts w:hint="eastAsia" w:ascii="仿宋_GB2312" w:eastAsia="仿宋_GB2312"/>
          <w:sz w:val="32"/>
          <w:highlight w:val="none"/>
        </w:rPr>
        <w:t>资本性支出</w:t>
      </w:r>
      <w:r>
        <w:rPr>
          <w:rFonts w:hint="eastAsia" w:ascii="仿宋_GB2312" w:eastAsia="仿宋_GB2312"/>
          <w:sz w:val="32"/>
          <w:highlight w:val="none"/>
          <w:lang w:val="en-US" w:eastAsia="zh-CN"/>
        </w:rPr>
        <w:t>0.17万元</w:t>
      </w:r>
      <w:r>
        <w:rPr>
          <w:rFonts w:ascii="仿宋_GB2312" w:eastAsia="仿宋_GB2312"/>
          <w:sz w:val="32"/>
          <w:highlight w:val="none"/>
        </w:rPr>
        <w:t>。</w:t>
      </w:r>
    </w:p>
    <w:p>
      <w:pPr>
        <w:pStyle w:val="6"/>
        <w:spacing w:line="560" w:lineRule="exact"/>
        <w:ind w:firstLine="660"/>
        <w:rPr>
          <w:rFonts w:hint="default" w:ascii="仿宋_GB2312" w:eastAsia="仿宋_GB2312"/>
          <w:sz w:val="32"/>
          <w:highlight w:val="none"/>
        </w:rPr>
      </w:pPr>
      <w:r>
        <w:rPr>
          <w:rFonts w:ascii="仿宋_GB2312" w:eastAsia="仿宋_GB2312"/>
          <w:sz w:val="32"/>
          <w:highlight w:val="none"/>
        </w:rPr>
        <w:t>2.项目支出</w:t>
      </w:r>
      <w:r>
        <w:rPr>
          <w:rFonts w:hint="eastAsia" w:ascii="仿宋_GB2312" w:eastAsia="仿宋_GB2312"/>
          <w:sz w:val="32"/>
          <w:highlight w:val="none"/>
        </w:rPr>
        <w:t>8334.45</w:t>
      </w:r>
      <w:r>
        <w:rPr>
          <w:rFonts w:ascii="仿宋_GB2312" w:eastAsia="仿宋_GB2312"/>
          <w:sz w:val="32"/>
          <w:highlight w:val="none"/>
        </w:rPr>
        <w:t>万元，占支出总计的</w:t>
      </w:r>
      <w:r>
        <w:rPr>
          <w:rFonts w:hint="eastAsia" w:ascii="仿宋_GB2312" w:eastAsia="仿宋_GB2312"/>
          <w:sz w:val="32"/>
          <w:highlight w:val="none"/>
          <w:lang w:val="en-US" w:eastAsia="zh-CN"/>
        </w:rPr>
        <w:t>79.89</w:t>
      </w:r>
      <w:r>
        <w:rPr>
          <w:rFonts w:ascii="仿宋_GB2312" w:eastAsia="仿宋_GB2312"/>
          <w:sz w:val="32"/>
          <w:highlight w:val="none"/>
        </w:rPr>
        <w:t>%。主要包括</w:t>
      </w:r>
      <w:r>
        <w:rPr>
          <w:rFonts w:hint="eastAsia" w:ascii="仿宋_GB2312" w:eastAsia="仿宋_GB2312"/>
          <w:sz w:val="32"/>
          <w:highlight w:val="none"/>
        </w:rPr>
        <w:t>主要包括其他城乡社区公共设施、城乡社区环境卫生、农村基础设施建设支出</w:t>
      </w:r>
      <w:r>
        <w:rPr>
          <w:rFonts w:hint="eastAsia" w:ascii="仿宋_GB2312" w:eastAsia="仿宋_GB2312"/>
          <w:sz w:val="32"/>
          <w:highlight w:val="none"/>
          <w:lang w:eastAsia="zh-CN"/>
        </w:rPr>
        <w:t>、</w:t>
      </w:r>
      <w:r>
        <w:rPr>
          <w:rFonts w:hint="eastAsia" w:ascii="仿宋_GB2312" w:eastAsia="仿宋_GB2312"/>
          <w:sz w:val="32"/>
          <w:highlight w:val="none"/>
        </w:rPr>
        <w:t>科技转化与推广服务、病虫害控制、防火救灾、其他农业农村支出</w:t>
      </w:r>
      <w:r>
        <w:rPr>
          <w:rFonts w:hint="eastAsia" w:ascii="仿宋_GB2312" w:eastAsia="仿宋_GB2312"/>
          <w:sz w:val="32"/>
          <w:highlight w:val="none"/>
          <w:lang w:eastAsia="zh-CN"/>
        </w:rPr>
        <w:t>、其他林业和草原支出、</w:t>
      </w:r>
      <w:r>
        <w:rPr>
          <w:rFonts w:hint="eastAsia" w:ascii="仿宋_GB2312" w:eastAsia="仿宋_GB2312"/>
          <w:sz w:val="32"/>
          <w:highlight w:val="none"/>
        </w:rPr>
        <w:t>其他水利支出等业务支出。</w:t>
      </w:r>
    </w:p>
    <w:p>
      <w:pPr>
        <w:pStyle w:val="6"/>
        <w:spacing w:line="560" w:lineRule="exact"/>
        <w:ind w:firstLine="660"/>
        <w:rPr>
          <w:rFonts w:hint="eastAsia" w:ascii="仿宋_GB2312" w:hAnsi="宋体" w:eastAsia="仿宋_GB2312"/>
          <w:color w:val="0000FF"/>
          <w:sz w:val="32"/>
          <w:szCs w:val="32"/>
          <w:highlight w:val="none"/>
        </w:rPr>
      </w:pPr>
      <w:r>
        <w:rPr>
          <w:rFonts w:ascii="仿宋_GB2312" w:eastAsia="仿宋_GB2312"/>
          <w:sz w:val="32"/>
          <w:highlight w:val="none"/>
        </w:rPr>
        <w:t>与上年相比，今年支出减少</w:t>
      </w:r>
      <w:r>
        <w:rPr>
          <w:rFonts w:hint="eastAsia" w:ascii="仿宋_GB2312" w:eastAsia="仿宋_GB2312"/>
          <w:sz w:val="32"/>
          <w:highlight w:val="none"/>
          <w:lang w:val="en-US" w:eastAsia="zh-CN"/>
        </w:rPr>
        <w:t>4907.11</w:t>
      </w:r>
      <w:r>
        <w:rPr>
          <w:rFonts w:ascii="仿宋_GB2312" w:eastAsia="仿宋_GB2312"/>
          <w:sz w:val="32"/>
          <w:highlight w:val="none"/>
        </w:rPr>
        <w:t>万元，降低</w:t>
      </w:r>
      <w:r>
        <w:rPr>
          <w:rFonts w:hint="eastAsia" w:ascii="仿宋_GB2312" w:eastAsia="仿宋_GB2312"/>
          <w:sz w:val="32"/>
          <w:highlight w:val="none"/>
          <w:lang w:val="en-US" w:eastAsia="zh-CN"/>
        </w:rPr>
        <w:t>31.99</w:t>
      </w:r>
      <w:r>
        <w:rPr>
          <w:rFonts w:ascii="仿宋_GB2312" w:eastAsia="仿宋_GB2312"/>
          <w:sz w:val="32"/>
          <w:highlight w:val="none"/>
        </w:rPr>
        <w:t>%，主要原因：</w:t>
      </w:r>
      <w:r>
        <w:rPr>
          <w:rFonts w:hint="eastAsia" w:ascii="仿宋_GB2312" w:eastAsia="仿宋_GB2312"/>
          <w:sz w:val="32"/>
          <w:highlight w:val="none"/>
          <w:lang w:val="en-US" w:eastAsia="zh-CN"/>
        </w:rPr>
        <w:t>业务支出减少</w:t>
      </w:r>
      <w:r>
        <w:rPr>
          <w:rFonts w:hint="eastAsia" w:ascii="仿宋_GB2312" w:eastAsia="仿宋_GB2312"/>
          <w:sz w:val="32"/>
          <w:highlight w:val="none"/>
        </w:rPr>
        <w:t>。</w:t>
      </w:r>
    </w:p>
    <w:p>
      <w:pPr>
        <w:pStyle w:val="6"/>
        <w:spacing w:line="560" w:lineRule="exact"/>
        <w:ind w:firstLine="660"/>
        <w:rPr>
          <w:rFonts w:hint="default" w:ascii="楷体_GB2312" w:eastAsia="楷体_GB2312"/>
          <w:b/>
          <w:sz w:val="32"/>
          <w:highlight w:val="none"/>
        </w:rPr>
      </w:pPr>
      <w:r>
        <w:rPr>
          <w:rFonts w:ascii="楷体_GB2312" w:eastAsia="楷体_GB2312"/>
          <w:b/>
          <w:sz w:val="32"/>
          <w:highlight w:val="none"/>
        </w:rPr>
        <w:t>（三）年末结转和结余</w:t>
      </w:r>
      <w:r>
        <w:rPr>
          <w:rFonts w:hint="eastAsia" w:ascii="楷体_GB2312" w:eastAsia="楷体_GB2312"/>
          <w:b/>
          <w:sz w:val="32"/>
          <w:highlight w:val="none"/>
        </w:rPr>
        <w:t>35.94</w:t>
      </w:r>
      <w:r>
        <w:rPr>
          <w:rFonts w:ascii="楷体_GB2312" w:eastAsia="楷体_GB2312"/>
          <w:b/>
          <w:sz w:val="32"/>
          <w:highlight w:val="none"/>
        </w:rPr>
        <w:t>万元</w:t>
      </w:r>
    </w:p>
    <w:p>
      <w:pPr>
        <w:pStyle w:val="6"/>
        <w:spacing w:line="560" w:lineRule="exact"/>
        <w:ind w:firstLine="660"/>
        <w:rPr>
          <w:rFonts w:hint="eastAsia" w:ascii="仿宋_GB2312" w:eastAsia="仿宋_GB2312"/>
          <w:sz w:val="32"/>
          <w:highlight w:val="none"/>
          <w:lang w:val="en-US" w:eastAsia="zh-CN"/>
        </w:rPr>
      </w:pPr>
      <w:r>
        <w:rPr>
          <w:rFonts w:ascii="仿宋_GB2312" w:eastAsia="仿宋_GB2312"/>
          <w:sz w:val="32"/>
          <w:highlight w:val="none"/>
        </w:rPr>
        <w:t>主要是</w:t>
      </w:r>
      <w:r>
        <w:rPr>
          <w:rFonts w:hint="eastAsia" w:ascii="仿宋_GB2312" w:eastAsia="仿宋_GB2312"/>
          <w:sz w:val="32"/>
          <w:highlight w:val="none"/>
          <w:lang w:val="en-US" w:eastAsia="zh-CN"/>
        </w:rPr>
        <w:t>历史遗留</w:t>
      </w:r>
      <w:r>
        <w:rPr>
          <w:rFonts w:ascii="仿宋_GB2312" w:eastAsia="仿宋_GB2312"/>
          <w:sz w:val="32"/>
          <w:highlight w:val="none"/>
        </w:rPr>
        <w:t>等原因形成的结余。与上年相比，今年结转结余减少</w:t>
      </w:r>
      <w:r>
        <w:rPr>
          <w:rFonts w:hint="eastAsia" w:ascii="仿宋_GB2312" w:eastAsia="仿宋_GB2312"/>
          <w:sz w:val="32"/>
          <w:highlight w:val="none"/>
          <w:lang w:val="en-US" w:eastAsia="zh-CN"/>
        </w:rPr>
        <w:t>441.82</w:t>
      </w:r>
      <w:r>
        <w:rPr>
          <w:rFonts w:ascii="仿宋_GB2312" w:eastAsia="仿宋_GB2312"/>
          <w:sz w:val="32"/>
          <w:highlight w:val="none"/>
        </w:rPr>
        <w:t>万元，降低</w:t>
      </w:r>
      <w:r>
        <w:rPr>
          <w:rFonts w:hint="eastAsia" w:ascii="仿宋_GB2312" w:eastAsia="仿宋_GB2312"/>
          <w:sz w:val="32"/>
          <w:highlight w:val="none"/>
          <w:lang w:val="en-US" w:eastAsia="zh-CN"/>
        </w:rPr>
        <w:t>92.48</w:t>
      </w:r>
      <w:r>
        <w:rPr>
          <w:rFonts w:ascii="仿宋_GB2312" w:eastAsia="仿宋_GB2312"/>
          <w:sz w:val="32"/>
          <w:highlight w:val="none"/>
        </w:rPr>
        <w:t>%，主要原因：</w:t>
      </w:r>
      <w:r>
        <w:rPr>
          <w:rFonts w:hint="eastAsia" w:ascii="仿宋_GB2312" w:eastAsia="仿宋_GB2312"/>
          <w:sz w:val="32"/>
          <w:highlight w:val="none"/>
          <w:lang w:val="en-US" w:eastAsia="zh-CN"/>
        </w:rPr>
        <w:t>本年额度减少。</w:t>
      </w:r>
    </w:p>
    <w:p>
      <w:pPr>
        <w:pStyle w:val="6"/>
        <w:spacing w:line="560" w:lineRule="exact"/>
        <w:ind w:firstLine="660"/>
        <w:rPr>
          <w:rFonts w:hint="default" w:ascii="黑体" w:eastAsia="黑体"/>
          <w:sz w:val="32"/>
          <w:highlight w:val="none"/>
        </w:rPr>
      </w:pPr>
      <w:r>
        <w:rPr>
          <w:rFonts w:ascii="黑体" w:eastAsia="黑体"/>
          <w:sz w:val="32"/>
          <w:highlight w:val="none"/>
        </w:rPr>
        <w:t>二、财政拨款收入支出决算情况说明</w:t>
      </w:r>
    </w:p>
    <w:p>
      <w:pPr>
        <w:pStyle w:val="6"/>
        <w:spacing w:line="560" w:lineRule="exact"/>
        <w:ind w:firstLine="660"/>
        <w:rPr>
          <w:rFonts w:hint="default" w:ascii="楷体_GB2312" w:eastAsia="楷体_GB2312"/>
          <w:b/>
          <w:sz w:val="32"/>
          <w:highlight w:val="none"/>
        </w:rPr>
      </w:pPr>
      <w:r>
        <w:rPr>
          <w:rFonts w:ascii="楷体_GB2312" w:eastAsia="楷体_GB2312"/>
          <w:b/>
          <w:sz w:val="32"/>
          <w:highlight w:val="none"/>
        </w:rPr>
        <w:t>（一）总体情况</w:t>
      </w:r>
    </w:p>
    <w:p>
      <w:pPr>
        <w:pStyle w:val="6"/>
        <w:spacing w:line="560" w:lineRule="exact"/>
        <w:ind w:firstLine="660"/>
        <w:rPr>
          <w:rFonts w:hint="default" w:ascii="仿宋_GB2312" w:eastAsia="仿宋_GB2312"/>
          <w:sz w:val="32"/>
          <w:highlight w:val="none"/>
        </w:rPr>
      </w:pPr>
      <w:r>
        <w:rPr>
          <w:rFonts w:ascii="仿宋_GB2312" w:eastAsia="仿宋_GB2312"/>
          <w:sz w:val="32"/>
          <w:highlight w:val="none"/>
        </w:rPr>
        <w:t>2021年度财政拨款支出</w:t>
      </w:r>
      <w:r>
        <w:rPr>
          <w:rFonts w:hint="eastAsia" w:ascii="仿宋_GB2312" w:eastAsia="仿宋_GB2312"/>
          <w:sz w:val="32"/>
          <w:highlight w:val="none"/>
        </w:rPr>
        <w:t>10432.47</w:t>
      </w:r>
      <w:r>
        <w:rPr>
          <w:rFonts w:ascii="仿宋_GB2312" w:eastAsia="仿宋_GB2312"/>
          <w:sz w:val="32"/>
          <w:highlight w:val="none"/>
        </w:rPr>
        <w:t>万元，其中：基本支出</w:t>
      </w:r>
      <w:r>
        <w:rPr>
          <w:rFonts w:hint="eastAsia" w:ascii="仿宋_GB2312" w:eastAsia="仿宋_GB2312"/>
          <w:sz w:val="32"/>
          <w:highlight w:val="none"/>
        </w:rPr>
        <w:t>2098.02</w:t>
      </w:r>
      <w:r>
        <w:rPr>
          <w:rFonts w:ascii="仿宋_GB2312" w:eastAsia="仿宋_GB2312"/>
          <w:sz w:val="32"/>
          <w:highlight w:val="none"/>
        </w:rPr>
        <w:t>万元，项目支出</w:t>
      </w:r>
      <w:r>
        <w:rPr>
          <w:rFonts w:hint="eastAsia" w:ascii="仿宋_GB2312" w:eastAsia="仿宋_GB2312"/>
          <w:sz w:val="32"/>
          <w:highlight w:val="none"/>
        </w:rPr>
        <w:t>8334.45</w:t>
      </w:r>
      <w:r>
        <w:rPr>
          <w:rFonts w:ascii="仿宋_GB2312" w:eastAsia="仿宋_GB2312"/>
          <w:sz w:val="32"/>
          <w:highlight w:val="none"/>
        </w:rPr>
        <w:t>万元。与上年相比，财政拨款支出减少</w:t>
      </w:r>
      <w:r>
        <w:rPr>
          <w:rFonts w:hint="eastAsia" w:ascii="仿宋_GB2312" w:eastAsia="仿宋_GB2312"/>
          <w:sz w:val="32"/>
          <w:highlight w:val="none"/>
          <w:lang w:val="en-US" w:eastAsia="zh-CN"/>
        </w:rPr>
        <w:t>4907.11</w:t>
      </w:r>
      <w:r>
        <w:rPr>
          <w:rFonts w:ascii="仿宋_GB2312" w:eastAsia="仿宋_GB2312"/>
          <w:sz w:val="32"/>
          <w:highlight w:val="none"/>
        </w:rPr>
        <w:t>万元，降低</w:t>
      </w:r>
      <w:r>
        <w:rPr>
          <w:rFonts w:hint="eastAsia" w:ascii="仿宋_GB2312" w:eastAsia="仿宋_GB2312"/>
          <w:sz w:val="32"/>
          <w:highlight w:val="none"/>
          <w:lang w:val="en-US" w:eastAsia="zh-CN"/>
        </w:rPr>
        <w:t>31.99</w:t>
      </w:r>
      <w:r>
        <w:rPr>
          <w:rFonts w:ascii="仿宋_GB2312" w:eastAsia="仿宋_GB2312"/>
          <w:sz w:val="32"/>
          <w:highlight w:val="none"/>
        </w:rPr>
        <w:t>%，主要原因：</w:t>
      </w:r>
      <w:r>
        <w:rPr>
          <w:rFonts w:hint="eastAsia" w:ascii="仿宋_GB2312" w:hAnsi="宋体" w:eastAsia="仿宋_GB2312"/>
          <w:sz w:val="32"/>
          <w:szCs w:val="32"/>
          <w:highlight w:val="none"/>
          <w:lang w:val="en-US" w:eastAsia="zh-CN"/>
        </w:rPr>
        <w:t>机构改革，本级支出减少。</w:t>
      </w:r>
      <w:r>
        <w:rPr>
          <w:rFonts w:ascii="仿宋_GB2312" w:eastAsia="仿宋_GB2312"/>
          <w:sz w:val="32"/>
          <w:highlight w:val="none"/>
        </w:rPr>
        <w:t>与年初预算相比，2021年度财政拨款支出完成年初预算的</w:t>
      </w:r>
      <w:r>
        <w:rPr>
          <w:rFonts w:hint="eastAsia" w:ascii="仿宋_GB2312" w:eastAsia="仿宋_GB2312"/>
          <w:sz w:val="32"/>
          <w:highlight w:val="none"/>
          <w:lang w:val="en-US" w:eastAsia="zh-CN"/>
        </w:rPr>
        <w:t>170.79</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41.59</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783.75</w:t>
      </w:r>
      <w:r>
        <w:rPr>
          <w:rFonts w:ascii="仿宋_GB2312" w:eastAsia="仿宋_GB2312"/>
          <w:sz w:val="32"/>
          <w:highlight w:val="none"/>
        </w:rPr>
        <w:t>%。</w:t>
      </w:r>
    </w:p>
    <w:p>
      <w:pPr>
        <w:numPr>
          <w:ilvl w:val="0"/>
          <w:numId w:val="2"/>
        </w:numPr>
        <w:spacing w:line="560" w:lineRule="exact"/>
        <w:ind w:left="0" w:leftChars="0" w:firstLine="660" w:firstLineChars="0"/>
        <w:rPr>
          <w:rFonts w:ascii="楷体_GB2312" w:hAnsi="宋体" w:eastAsia="楷体_GB2312"/>
          <w:b/>
          <w:sz w:val="32"/>
          <w:szCs w:val="32"/>
          <w:highlight w:val="none"/>
        </w:rPr>
      </w:pPr>
      <w:r>
        <w:rPr>
          <w:rFonts w:ascii="楷体_GB2312" w:hAnsi="宋体" w:eastAsia="楷体_GB2312"/>
          <w:b/>
          <w:sz w:val="32"/>
          <w:szCs w:val="32"/>
          <w:highlight w:val="none"/>
        </w:rPr>
        <w:t>一般公共预算财政拨款支出情况。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highlight w:val="none"/>
          <w:lang w:val="en-US" w:eastAsia="zh-CN"/>
        </w:rPr>
      </w:pPr>
      <w:r>
        <w:rPr>
          <w:rFonts w:ascii="仿宋_GB2312" w:hAnsi="宋体" w:eastAsia="仿宋_GB2312"/>
          <w:sz w:val="32"/>
          <w:szCs w:val="32"/>
          <w:highlight w:val="none"/>
        </w:rPr>
        <w:t>2021年度一般公共预算财政拨款支出</w:t>
      </w:r>
      <w:r>
        <w:rPr>
          <w:rFonts w:hint="eastAsia" w:ascii="仿宋_GB2312" w:hAnsi="宋体" w:eastAsia="仿宋_GB2312"/>
          <w:sz w:val="32"/>
          <w:szCs w:val="32"/>
          <w:highlight w:val="none"/>
        </w:rPr>
        <w:t>8443.97</w:t>
      </w:r>
      <w:r>
        <w:rPr>
          <w:rFonts w:ascii="仿宋_GB2312" w:hAnsi="宋体" w:eastAsia="仿宋_GB2312"/>
          <w:sz w:val="32"/>
          <w:szCs w:val="32"/>
          <w:highlight w:val="none"/>
        </w:rPr>
        <w:t>万元，按支出功能分类科目分，包括：</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435.09万元，占5.15%；卫生健康支出102.63万元，占1.22%；城乡社区支出2708.25万元，占32.07%；农林水支出4855.9万元，占57.51%；住房保障支出284.55万元，占3.37%；灾害防治及应急管理支出57.54万元，占0.68%。</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1.社会保障和就业支出</w:t>
      </w:r>
      <w:r>
        <w:rPr>
          <w:rFonts w:hint="eastAsia" w:ascii="仿宋_GB2312" w:hAnsi="宋体" w:eastAsia="仿宋_GB2312"/>
          <w:sz w:val="32"/>
          <w:szCs w:val="32"/>
          <w:highlight w:val="none"/>
          <w:lang w:val="en-US" w:eastAsia="zh-CN"/>
        </w:rPr>
        <w:t>435.09万元</w:t>
      </w:r>
      <w:r>
        <w:rPr>
          <w:rFonts w:hint="eastAsia" w:ascii="仿宋_GB2312" w:hAnsi="宋体" w:eastAsia="仿宋_GB2312"/>
          <w:sz w:val="32"/>
          <w:szCs w:val="32"/>
          <w:highlight w:val="none"/>
        </w:rPr>
        <w:t>，具体包括：</w:t>
      </w:r>
    </w:p>
    <w:p>
      <w:pPr>
        <w:spacing w:line="54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（1）社会保障和就业支出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类）行政事业单位养老支出（款）</w:t>
      </w:r>
      <w:r>
        <w:rPr>
          <w:rFonts w:hint="eastAsia" w:ascii="仿宋_GB2312" w:hAnsi="宋体" w:eastAsia="仿宋_GB2312"/>
          <w:sz w:val="32"/>
          <w:szCs w:val="32"/>
          <w:highlight w:val="none"/>
        </w:rPr>
        <w:t>事业单位离退休</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项）272.87万元，主要是</w:t>
      </w:r>
      <w:r>
        <w:rPr>
          <w:rFonts w:hint="eastAsia" w:ascii="仿宋_GB2312" w:hAnsi="宋体" w:eastAsia="仿宋_GB2312"/>
          <w:sz w:val="32"/>
          <w:szCs w:val="32"/>
          <w:highlight w:val="none"/>
        </w:rPr>
        <w:t>事业单位离退休</w:t>
      </w:r>
      <w:r>
        <w:rPr>
          <w:rFonts w:hint="eastAsia" w:ascii="仿宋_GB2312" w:hAnsi="宋体" w:eastAsia="仿宋_GB2312"/>
          <w:sz w:val="32"/>
          <w:szCs w:val="32"/>
          <w:highlight w:val="none"/>
          <w:lang w:eastAsia="zh-CN"/>
        </w:rPr>
        <w:t>、机关事业单位基本养老保险缴费支出</w:t>
      </w:r>
      <w:r>
        <w:rPr>
          <w:rFonts w:hint="eastAsia" w:ascii="仿宋_GB2312" w:hAnsi="宋体" w:eastAsia="仿宋_GB2312"/>
          <w:sz w:val="32"/>
          <w:szCs w:val="32"/>
          <w:highlight w:val="none"/>
          <w:lang w:val="en-US" w:eastAsia="zh-CN"/>
        </w:rPr>
        <w:t>、机关事业单位职业年金缴费支出；</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类）抚恤（款）  死亡抚恤（项）162.22万元，主要是死亡抚恤以及伤残抚恤支出，完成年初预算的85.50%，决算数小于年初预算数的原因是按实际情况支出。</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卫生健康支出102.63万元</w:t>
      </w:r>
      <w:r>
        <w:rPr>
          <w:rFonts w:hint="eastAsia" w:ascii="仿宋_GB2312" w:hAnsi="宋体" w:eastAsia="仿宋_GB2312"/>
          <w:sz w:val="32"/>
          <w:szCs w:val="32"/>
          <w:highlight w:val="none"/>
        </w:rPr>
        <w:t>，具体包括：</w:t>
      </w:r>
    </w:p>
    <w:p>
      <w:pPr>
        <w:spacing w:line="54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（1）卫生健康支出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类）行政事业单位医疗（款）</w:t>
      </w:r>
      <w:r>
        <w:rPr>
          <w:rFonts w:hint="eastAsia" w:ascii="仿宋_GB2312" w:hAnsi="宋体" w:eastAsia="仿宋_GB2312"/>
          <w:sz w:val="32"/>
          <w:szCs w:val="32"/>
          <w:highlight w:val="none"/>
        </w:rPr>
        <w:t>事业单位医疗</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项）102.63万元，主要行政事业单位医疗支出、 其他行政事业单位医疗支出，完成年初预算的64.14%，决算数小于年初预算数的原因是按实际情况支出。</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城乡社区支出2708.25万元</w:t>
      </w:r>
      <w:r>
        <w:rPr>
          <w:rFonts w:hint="eastAsia" w:ascii="仿宋_GB2312" w:hAnsi="宋体" w:eastAsia="仿宋_GB2312"/>
          <w:sz w:val="32"/>
          <w:szCs w:val="32"/>
          <w:highlight w:val="none"/>
        </w:rPr>
        <w:t>，具体包括：</w:t>
      </w:r>
    </w:p>
    <w:p>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rPr>
        <w:t>（1）城乡社区支出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类）城乡社区公共设施（款）</w:t>
      </w:r>
      <w:r>
        <w:rPr>
          <w:rFonts w:hint="eastAsia" w:ascii="仿宋_GB2312" w:hAnsi="宋体" w:eastAsia="仿宋_GB2312"/>
          <w:sz w:val="32"/>
          <w:szCs w:val="32"/>
          <w:highlight w:val="none"/>
        </w:rPr>
        <w:t>其他城乡社区公共设施支出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项）58.6万元，主要是</w:t>
      </w:r>
      <w:r>
        <w:rPr>
          <w:rFonts w:hint="eastAsia" w:ascii="仿宋_GB2312" w:hAnsi="宋体" w:eastAsia="仿宋_GB2312"/>
          <w:sz w:val="32"/>
          <w:szCs w:val="32"/>
          <w:highlight w:val="none"/>
        </w:rPr>
        <w:t>城乡社区公共设施支出</w:t>
      </w:r>
      <w:r>
        <w:rPr>
          <w:rFonts w:hint="eastAsia" w:ascii="仿宋_GB2312" w:hAnsi="宋体" w:eastAsia="仿宋_GB2312"/>
          <w:sz w:val="32"/>
          <w:szCs w:val="32"/>
          <w:highlight w:val="none"/>
          <w:lang w:val="en-US" w:eastAsia="zh-CN"/>
        </w:rPr>
        <w:t>，年初未安排，决算数大于年初预算数的原因是按实际情况追加支出；</w:t>
      </w:r>
      <w:r>
        <w:rPr>
          <w:rFonts w:hint="eastAsia" w:ascii="仿宋_GB2312" w:hAnsi="宋体" w:eastAsia="仿宋_GB2312"/>
          <w:sz w:val="32"/>
          <w:szCs w:val="32"/>
          <w:highlight w:val="none"/>
        </w:rPr>
        <w:t>城乡社区支出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类）城乡社区环境卫生（款）</w:t>
      </w:r>
      <w:r>
        <w:rPr>
          <w:rFonts w:hint="eastAsia" w:ascii="仿宋_GB2312" w:hAnsi="宋体" w:eastAsia="仿宋_GB2312"/>
          <w:sz w:val="32"/>
          <w:szCs w:val="32"/>
          <w:highlight w:val="none"/>
        </w:rPr>
        <w:t>城乡社区环境卫生</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项）2649.65万元，主要是</w:t>
      </w:r>
      <w:r>
        <w:rPr>
          <w:rFonts w:hint="eastAsia" w:ascii="仿宋_GB2312" w:hAnsi="宋体" w:eastAsia="仿宋_GB2312"/>
          <w:sz w:val="32"/>
          <w:szCs w:val="32"/>
          <w:highlight w:val="none"/>
        </w:rPr>
        <w:t>城乡社区环境卫生</w:t>
      </w:r>
      <w:r>
        <w:rPr>
          <w:rFonts w:hint="eastAsia" w:ascii="仿宋_GB2312" w:hAnsi="宋体" w:eastAsia="仿宋_GB2312"/>
          <w:sz w:val="32"/>
          <w:szCs w:val="32"/>
          <w:highlight w:val="none"/>
          <w:lang w:eastAsia="zh-CN"/>
        </w:rPr>
        <w:t>支出</w:t>
      </w:r>
      <w:r>
        <w:rPr>
          <w:rFonts w:hint="eastAsia" w:ascii="仿宋_GB2312" w:hAnsi="宋体" w:eastAsia="仿宋_GB2312"/>
          <w:sz w:val="32"/>
          <w:szCs w:val="32"/>
          <w:highlight w:val="none"/>
          <w:lang w:val="en-US" w:eastAsia="zh-CN"/>
        </w:rPr>
        <w:t>，年初未安排，决算数大于年初预算数的原因是按实际情况追加支出。</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农林水支出4855.9万元</w:t>
      </w:r>
      <w:r>
        <w:rPr>
          <w:rFonts w:hint="eastAsia" w:ascii="仿宋_GB2312" w:hAnsi="宋体" w:eastAsia="仿宋_GB2312"/>
          <w:sz w:val="32"/>
          <w:szCs w:val="32"/>
          <w:highlight w:val="none"/>
        </w:rPr>
        <w:t>，具体包括：</w:t>
      </w:r>
    </w:p>
    <w:p>
      <w:pPr>
        <w:spacing w:line="54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（1）农林水支出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类）农业农村（款）事业运行</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项）3298.13万元，主要是</w:t>
      </w:r>
      <w:r>
        <w:rPr>
          <w:rFonts w:hint="eastAsia" w:ascii="仿宋_GB2312" w:hAnsi="宋体" w:eastAsia="仿宋_GB2312"/>
          <w:sz w:val="32"/>
          <w:szCs w:val="32"/>
          <w:highlight w:val="none"/>
          <w:lang w:eastAsia="zh-CN"/>
        </w:rPr>
        <w:t>科技转化与推广服务、病虫害控制、防灾救灾、其他农业农村支出等</w:t>
      </w:r>
      <w:r>
        <w:rPr>
          <w:rFonts w:hint="eastAsia" w:ascii="仿宋_GB2312" w:hAnsi="宋体" w:eastAsia="仿宋_GB2312"/>
          <w:sz w:val="32"/>
          <w:szCs w:val="32"/>
          <w:highlight w:val="none"/>
          <w:lang w:val="en-US" w:eastAsia="zh-CN"/>
        </w:rPr>
        <w:t>，完成年初预算的722.40%，决算数大于年初预算数的原因是按实际情况给予大力支持；</w:t>
      </w:r>
      <w:r>
        <w:rPr>
          <w:rFonts w:hint="eastAsia" w:ascii="仿宋_GB2312" w:hAnsi="宋体" w:eastAsia="仿宋_GB2312"/>
          <w:sz w:val="32"/>
          <w:szCs w:val="32"/>
          <w:highlight w:val="none"/>
        </w:rPr>
        <w:t>农林水支出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类）林业和草原（款）</w:t>
      </w:r>
      <w:r>
        <w:rPr>
          <w:rFonts w:hint="eastAsia" w:ascii="仿宋_GB2312" w:hAnsi="宋体" w:eastAsia="仿宋_GB2312"/>
          <w:sz w:val="32"/>
          <w:szCs w:val="32"/>
          <w:highlight w:val="none"/>
        </w:rPr>
        <w:t>其他林业和草原支出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项）110.7万元，主要是</w:t>
      </w:r>
      <w:r>
        <w:rPr>
          <w:rFonts w:hint="eastAsia" w:ascii="仿宋_GB2312" w:hAnsi="宋体" w:eastAsia="仿宋_GB2312"/>
          <w:sz w:val="32"/>
          <w:szCs w:val="32"/>
          <w:highlight w:val="none"/>
        </w:rPr>
        <w:t>林业和草原</w:t>
      </w:r>
      <w:r>
        <w:rPr>
          <w:rFonts w:hint="eastAsia" w:ascii="仿宋_GB2312" w:hAnsi="宋体" w:eastAsia="仿宋_GB2312"/>
          <w:sz w:val="32"/>
          <w:szCs w:val="32"/>
          <w:highlight w:val="none"/>
          <w:lang w:eastAsia="zh-CN"/>
        </w:rPr>
        <w:t>支出</w:t>
      </w:r>
      <w:r>
        <w:rPr>
          <w:rFonts w:hint="eastAsia" w:ascii="仿宋_GB2312" w:hAnsi="宋体" w:eastAsia="仿宋_GB2312"/>
          <w:sz w:val="32"/>
          <w:szCs w:val="32"/>
          <w:highlight w:val="none"/>
          <w:lang w:val="en-US" w:eastAsia="zh-CN"/>
        </w:rPr>
        <w:t>，完成年初预算的85.15%，决算数小于年初预算数的原因是厉行节约，按照实际情况支出；</w:t>
      </w:r>
      <w:r>
        <w:rPr>
          <w:rFonts w:hint="eastAsia" w:ascii="仿宋_GB2312" w:hAnsi="宋体" w:eastAsia="仿宋_GB2312"/>
          <w:sz w:val="32"/>
          <w:szCs w:val="32"/>
          <w:highlight w:val="none"/>
        </w:rPr>
        <w:t>农林水支出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类）水利（款）</w:t>
      </w:r>
      <w:r>
        <w:rPr>
          <w:rFonts w:hint="eastAsia" w:ascii="仿宋_GB2312" w:hAnsi="宋体" w:eastAsia="仿宋_GB2312"/>
          <w:sz w:val="32"/>
          <w:szCs w:val="32"/>
          <w:highlight w:val="none"/>
        </w:rPr>
        <w:t>农村水利</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项）1447.07万元，主要是水利行业业务管理、</w:t>
      </w:r>
      <w:r>
        <w:rPr>
          <w:rFonts w:hint="eastAsia" w:ascii="仿宋_GB2312" w:hAnsi="宋体" w:eastAsia="仿宋_GB2312"/>
          <w:sz w:val="32"/>
          <w:szCs w:val="32"/>
          <w:highlight w:val="none"/>
        </w:rPr>
        <w:t>水利工程建设</w:t>
      </w:r>
      <w:r>
        <w:rPr>
          <w:rFonts w:hint="eastAsia" w:ascii="仿宋_GB2312" w:hAnsi="宋体" w:eastAsia="仿宋_GB2312"/>
          <w:sz w:val="32"/>
          <w:szCs w:val="32"/>
          <w:highlight w:val="none"/>
          <w:lang w:eastAsia="zh-CN"/>
        </w:rPr>
        <w:t>、农村水利、农村人畜饮水、其他水利支出等支出</w:t>
      </w:r>
      <w:r>
        <w:rPr>
          <w:rFonts w:hint="eastAsia" w:ascii="仿宋_GB2312" w:hAnsi="宋体" w:eastAsia="仿宋_GB2312"/>
          <w:sz w:val="32"/>
          <w:szCs w:val="32"/>
          <w:highlight w:val="none"/>
          <w:lang w:val="en-US" w:eastAsia="zh-CN"/>
        </w:rPr>
        <w:t>，完成年初预算的314.60%，决算数大于年初预算数的原因是按实际情况给予大力支持。</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住房保障支出284.55万元</w:t>
      </w:r>
      <w:r>
        <w:rPr>
          <w:rFonts w:hint="eastAsia" w:ascii="仿宋_GB2312" w:hAnsi="宋体" w:eastAsia="仿宋_GB2312"/>
          <w:sz w:val="32"/>
          <w:szCs w:val="32"/>
          <w:highlight w:val="none"/>
        </w:rPr>
        <w:t>，具体包括：</w:t>
      </w:r>
    </w:p>
    <w:p>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rPr>
        <w:t>（1）住房保障支出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类）住房改革支出（款）</w:t>
      </w:r>
      <w:r>
        <w:rPr>
          <w:rFonts w:hint="eastAsia" w:ascii="仿宋_GB2312" w:hAnsi="宋体" w:eastAsia="仿宋_GB2312"/>
          <w:sz w:val="32"/>
          <w:szCs w:val="32"/>
          <w:highlight w:val="none"/>
        </w:rPr>
        <w:t>住房公积金</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项）284.55万元，主要是住房公积金及购房补贴，完成年初预算的59.73%，决算数小于年初预算数的原因是按实际情况支出。</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灾害防治及应急管理支出57.54万元</w:t>
      </w:r>
      <w:r>
        <w:rPr>
          <w:rFonts w:hint="eastAsia" w:ascii="仿宋_GB2312" w:hAnsi="宋体" w:eastAsia="仿宋_GB2312"/>
          <w:sz w:val="32"/>
          <w:szCs w:val="32"/>
          <w:highlight w:val="none"/>
        </w:rPr>
        <w:t>，具体包括：</w:t>
      </w:r>
    </w:p>
    <w:p>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rPr>
        <w:t>（1）灾害防治及应急管理支出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类）应急管理事务（款）</w:t>
      </w:r>
      <w:r>
        <w:rPr>
          <w:rFonts w:hint="eastAsia" w:ascii="仿宋_GB2312" w:hAnsi="宋体" w:eastAsia="仿宋_GB2312"/>
          <w:sz w:val="32"/>
          <w:szCs w:val="32"/>
          <w:highlight w:val="none"/>
        </w:rPr>
        <w:t>其他应急管理支出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项）57.54万元，主要是</w:t>
      </w:r>
      <w:r>
        <w:rPr>
          <w:rFonts w:hint="eastAsia" w:ascii="仿宋_GB2312" w:hAnsi="宋体" w:eastAsia="仿宋_GB2312"/>
          <w:sz w:val="32"/>
          <w:szCs w:val="32"/>
          <w:highlight w:val="none"/>
        </w:rPr>
        <w:t>其他应急管理支出</w:t>
      </w:r>
      <w:r>
        <w:rPr>
          <w:rFonts w:hint="eastAsia" w:ascii="仿宋_GB2312" w:hAnsi="宋体" w:eastAsia="仿宋_GB2312"/>
          <w:sz w:val="32"/>
          <w:szCs w:val="32"/>
          <w:highlight w:val="none"/>
          <w:lang w:val="en-US" w:eastAsia="zh-CN"/>
        </w:rPr>
        <w:t>，完成年初预算的44.95%，决算数小于年初预算数的原因是按实际情况支出。</w:t>
      </w:r>
    </w:p>
    <w:p>
      <w:pPr>
        <w:spacing w:line="540" w:lineRule="exact"/>
        <w:ind w:firstLine="660"/>
        <w:rPr>
          <w:rFonts w:hint="eastAsia" w:ascii="黑体" w:hAnsi="黑体" w:eastAsia="黑体" w:cs="黑体"/>
          <w:b/>
          <w:color w:val="FF0000"/>
          <w:sz w:val="32"/>
          <w:szCs w:val="32"/>
          <w:highlight w:val="none"/>
          <w:lang w:val="en-US" w:eastAsia="zh-CN"/>
        </w:rPr>
      </w:pPr>
      <w:r>
        <w:rPr>
          <w:rFonts w:ascii="楷体_GB2312" w:hAnsi="宋体" w:eastAsia="楷体_GB2312"/>
          <w:b/>
          <w:sz w:val="32"/>
          <w:szCs w:val="32"/>
          <w:highlight w:val="none"/>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1988.50</w:t>
      </w:r>
      <w:r>
        <w:rPr>
          <w:rFonts w:hint="eastAsia" w:ascii="仿宋_GB2312" w:hAnsi="宋体" w:eastAsia="仿宋_GB2312"/>
          <w:sz w:val="32"/>
          <w:szCs w:val="32"/>
          <w:highlight w:val="none"/>
        </w:rPr>
        <w:t>万元，按支出功能分类科目分，包括：</w:t>
      </w:r>
      <w:r>
        <w:rPr>
          <w:rFonts w:hint="eastAsia" w:ascii="仿宋_GB2312" w:hAnsi="宋体" w:eastAsia="仿宋_GB2312"/>
          <w:sz w:val="32"/>
          <w:szCs w:val="32"/>
          <w:highlight w:val="none"/>
          <w:lang w:val="en-US" w:eastAsia="zh-CN"/>
        </w:rPr>
        <w:t>城乡社区支出1988.50万元，占100%。</w:t>
      </w:r>
    </w:p>
    <w:p>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1.城乡社区支出1988.5万元，具体包括：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国有土地使用权出让收入安排的支出1988.50万元，主要是城市建设支出、农村基础设施建设支出的支出。完成年初预算的100%，决算数等于年初预算数的原因是按实际情况支出。</w:t>
      </w:r>
    </w:p>
    <w:p>
      <w:pPr>
        <w:spacing w:line="560" w:lineRule="exact"/>
        <w:ind w:firstLine="660"/>
        <w:rPr>
          <w:rFonts w:hint="default" w:ascii="楷体_GB2312" w:hAnsi="宋体" w:eastAsia="楷体_GB2312"/>
          <w:b/>
          <w:sz w:val="32"/>
          <w:szCs w:val="32"/>
          <w:highlight w:val="none"/>
        </w:rPr>
      </w:pPr>
      <w:r>
        <w:rPr>
          <w:rFonts w:ascii="楷体_GB2312" w:hAnsi="宋体" w:eastAsia="楷体_GB2312"/>
          <w:b/>
          <w:sz w:val="32"/>
          <w:szCs w:val="32"/>
          <w:highlight w:val="none"/>
        </w:rPr>
        <w:t>（四）国有资本经营预算财政拨款支出情况。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本年未发生此项资金。</w:t>
      </w:r>
    </w:p>
    <w:p>
      <w:pPr>
        <w:pStyle w:val="6"/>
        <w:spacing w:line="560" w:lineRule="exact"/>
        <w:ind w:firstLine="660"/>
        <w:rPr>
          <w:rFonts w:hint="default" w:ascii="黑体" w:eastAsia="黑体"/>
          <w:sz w:val="32"/>
          <w:highlight w:val="none"/>
        </w:rPr>
      </w:pPr>
      <w:r>
        <w:rPr>
          <w:rFonts w:ascii="黑体" w:eastAsia="黑体"/>
          <w:sz w:val="32"/>
          <w:highlight w:val="none"/>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hAnsi="宋体" w:eastAsia="仿宋_GB2312"/>
          <w:color w:val="000000"/>
          <w:sz w:val="32"/>
          <w:szCs w:val="32"/>
          <w:highlight w:val="none"/>
          <w:lang w:val="en-US"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highlight w:val="none"/>
        </w:rPr>
        <w:t>。</w:t>
      </w:r>
    </w:p>
    <w:p>
      <w:pPr>
        <w:pStyle w:val="6"/>
        <w:spacing w:line="560" w:lineRule="exact"/>
        <w:ind w:firstLine="645"/>
        <w:rPr>
          <w:rFonts w:hint="default" w:ascii="黑体" w:eastAsia="黑体"/>
          <w:sz w:val="32"/>
          <w:highlight w:val="none"/>
        </w:rPr>
      </w:pPr>
      <w:r>
        <w:rPr>
          <w:rFonts w:ascii="黑体" w:eastAsia="黑体"/>
          <w:sz w:val="32"/>
          <w:highlight w:val="none"/>
        </w:rPr>
        <w:t>四、一般公共预算财政拨款基本支出决算情况说明</w:t>
      </w:r>
    </w:p>
    <w:p>
      <w:pPr>
        <w:pStyle w:val="6"/>
        <w:spacing w:line="560" w:lineRule="exact"/>
        <w:ind w:firstLine="645"/>
        <w:rPr>
          <w:rFonts w:hint="default" w:ascii="仿宋_GB2312" w:eastAsia="仿宋_GB2312"/>
          <w:sz w:val="32"/>
          <w:highlight w:val="none"/>
        </w:rPr>
      </w:pPr>
      <w:r>
        <w:rPr>
          <w:rFonts w:ascii="仿宋_GB2312" w:eastAsia="仿宋_GB2312"/>
          <w:sz w:val="32"/>
          <w:highlight w:val="none"/>
        </w:rPr>
        <w:t>2021年度一般公共预算财政拨款基本支出</w:t>
      </w:r>
      <w:r>
        <w:rPr>
          <w:rFonts w:hint="eastAsia" w:ascii="仿宋_GB2312" w:eastAsia="仿宋_GB2312"/>
          <w:sz w:val="32"/>
          <w:highlight w:val="none"/>
        </w:rPr>
        <w:t>2098.02</w:t>
      </w:r>
      <w:r>
        <w:rPr>
          <w:rFonts w:ascii="仿宋_GB2312" w:eastAsia="仿宋_GB2312"/>
          <w:sz w:val="32"/>
          <w:highlight w:val="none"/>
        </w:rPr>
        <w:t>万元，其中：人员经费</w:t>
      </w:r>
      <w:r>
        <w:rPr>
          <w:rFonts w:hint="eastAsia" w:ascii="仿宋_GB2312" w:eastAsia="仿宋_GB2312"/>
          <w:sz w:val="32"/>
          <w:highlight w:val="none"/>
        </w:rPr>
        <w:t>1922.2</w:t>
      </w:r>
      <w:r>
        <w:rPr>
          <w:rFonts w:hint="eastAsia" w:ascii="仿宋_GB2312" w:eastAsia="仿宋_GB2312"/>
          <w:sz w:val="32"/>
          <w:highlight w:val="none"/>
          <w:lang w:val="en-US" w:eastAsia="zh-CN"/>
        </w:rPr>
        <w:t>2</w:t>
      </w:r>
      <w:r>
        <w:rPr>
          <w:rFonts w:ascii="仿宋_GB2312" w:eastAsia="仿宋_GB2312"/>
          <w:sz w:val="32"/>
          <w:highlight w:val="none"/>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highlight w:val="none"/>
        </w:rPr>
        <w:t>175.81</w:t>
      </w:r>
      <w:r>
        <w:rPr>
          <w:rFonts w:ascii="仿宋_GB2312" w:eastAsia="仿宋_GB2312"/>
          <w:sz w:val="32"/>
          <w:highlight w:val="none"/>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highlight w:val="none"/>
        </w:rPr>
      </w:pPr>
      <w:r>
        <w:rPr>
          <w:rFonts w:ascii="黑体" w:eastAsia="黑体"/>
          <w:sz w:val="32"/>
          <w:highlight w:val="none"/>
        </w:rPr>
        <w:t>五、其他重要事项的情况说明</w:t>
      </w:r>
    </w:p>
    <w:p>
      <w:pPr>
        <w:pStyle w:val="6"/>
        <w:spacing w:line="560" w:lineRule="exact"/>
        <w:ind w:firstLine="640"/>
        <w:rPr>
          <w:rFonts w:hint="default" w:ascii="楷体_GB2312" w:eastAsia="楷体_GB2312"/>
          <w:b/>
          <w:sz w:val="32"/>
          <w:highlight w:val="none"/>
        </w:rPr>
      </w:pPr>
      <w:r>
        <w:rPr>
          <w:rFonts w:ascii="楷体_GB2312" w:eastAsia="楷体_GB2312"/>
          <w:b/>
          <w:sz w:val="32"/>
          <w:highlight w:val="none"/>
        </w:rPr>
        <w:t>（一）机关运行经费支出情况。</w:t>
      </w:r>
    </w:p>
    <w:p>
      <w:pPr>
        <w:pStyle w:val="6"/>
        <w:spacing w:line="560" w:lineRule="exact"/>
        <w:ind w:firstLine="645"/>
        <w:rPr>
          <w:rFonts w:hint="eastAsia" w:ascii="仿宋_GB2312" w:eastAsia="仿宋_GB2312"/>
          <w:sz w:val="32"/>
          <w:highlight w:val="none"/>
        </w:rPr>
      </w:pPr>
      <w:r>
        <w:rPr>
          <w:rFonts w:hint="eastAsia" w:ascii="仿宋_GB2312" w:eastAsia="仿宋_GB2312"/>
          <w:sz w:val="32"/>
          <w:highlight w:val="none"/>
          <w:lang w:eastAsia="zh-CN"/>
        </w:rPr>
        <w:t>202</w:t>
      </w:r>
      <w:r>
        <w:rPr>
          <w:rFonts w:hint="eastAsia" w:ascii="仿宋_GB2312" w:eastAsia="仿宋_GB2312"/>
          <w:sz w:val="32"/>
          <w:highlight w:val="none"/>
          <w:lang w:val="en-US" w:eastAsia="zh-CN"/>
        </w:rPr>
        <w:t>1</w:t>
      </w:r>
      <w:r>
        <w:rPr>
          <w:rFonts w:hint="eastAsia" w:ascii="仿宋_GB2312" w:eastAsia="仿宋_GB2312"/>
          <w:sz w:val="32"/>
          <w:highlight w:val="none"/>
          <w:lang w:eastAsia="zh-CN"/>
        </w:rPr>
        <w:t>年机关运行经费支出0万元，与上年持平，主要原因是</w:t>
      </w:r>
      <w:r>
        <w:rPr>
          <w:rFonts w:hint="eastAsia" w:ascii="仿宋_GB2312" w:eastAsia="仿宋_GB2312"/>
          <w:sz w:val="32"/>
          <w:highlight w:val="none"/>
          <w:lang w:val="en-US" w:eastAsia="zh-CN"/>
        </w:rPr>
        <w:t>我单位</w:t>
      </w:r>
      <w:r>
        <w:rPr>
          <w:rFonts w:hint="eastAsia" w:ascii="仿宋_GB2312" w:eastAsia="仿宋_GB2312"/>
          <w:sz w:val="32"/>
          <w:highlight w:val="none"/>
          <w:lang w:eastAsia="zh-CN"/>
        </w:rPr>
        <w:t>属于事业单位，无机关运行经费</w:t>
      </w:r>
      <w:r>
        <w:rPr>
          <w:rFonts w:hint="eastAsia" w:ascii="仿宋_GB2312" w:eastAsia="仿宋_GB2312"/>
          <w:sz w:val="32"/>
          <w:highlight w:val="none"/>
        </w:rPr>
        <w:t>。</w:t>
      </w:r>
    </w:p>
    <w:p>
      <w:pPr>
        <w:pStyle w:val="6"/>
        <w:spacing w:line="560" w:lineRule="exact"/>
        <w:ind w:firstLine="640"/>
        <w:rPr>
          <w:rFonts w:hint="default" w:ascii="楷体_GB2312" w:eastAsia="楷体_GB2312"/>
          <w:b/>
          <w:sz w:val="32"/>
          <w:highlight w:val="none"/>
        </w:rPr>
      </w:pPr>
      <w:r>
        <w:rPr>
          <w:rFonts w:ascii="楷体_GB2312" w:eastAsia="楷体_GB2312"/>
          <w:b/>
          <w:sz w:val="32"/>
          <w:highlight w:val="none"/>
        </w:rPr>
        <w:t>（二）政府采购支出情况。</w:t>
      </w:r>
    </w:p>
    <w:p>
      <w:pPr>
        <w:pStyle w:val="6"/>
        <w:spacing w:line="560" w:lineRule="exact"/>
        <w:ind w:firstLine="640"/>
        <w:rPr>
          <w:rFonts w:hint="default" w:ascii="仿宋_GB2312" w:eastAsia="仿宋_GB2312"/>
          <w:sz w:val="32"/>
          <w:highlight w:val="none"/>
        </w:rPr>
      </w:pPr>
      <w:r>
        <w:rPr>
          <w:rFonts w:ascii="仿宋_GB2312" w:eastAsia="仿宋_GB2312"/>
          <w:sz w:val="32"/>
          <w:highlight w:val="none"/>
        </w:rPr>
        <w:t>2021年政府采购支出总额</w:t>
      </w:r>
      <w:r>
        <w:rPr>
          <w:rFonts w:hint="eastAsia" w:ascii="仿宋_GB2312" w:eastAsia="仿宋_GB2312"/>
          <w:sz w:val="32"/>
          <w:highlight w:val="none"/>
          <w:lang w:val="en-US" w:eastAsia="zh-CN"/>
        </w:rPr>
        <w:t>721.97</w:t>
      </w:r>
      <w:r>
        <w:rPr>
          <w:rFonts w:ascii="仿宋_GB2312" w:eastAsia="仿宋_GB2312"/>
          <w:sz w:val="32"/>
          <w:highlight w:val="none"/>
        </w:rPr>
        <w:t>万元，其中：政府采购货物支出</w:t>
      </w:r>
      <w:r>
        <w:rPr>
          <w:rFonts w:hint="eastAsia" w:ascii="仿宋_GB2312" w:eastAsia="仿宋_GB2312"/>
          <w:sz w:val="32"/>
          <w:highlight w:val="none"/>
          <w:lang w:val="en-US" w:eastAsia="zh-CN"/>
        </w:rPr>
        <w:t>0</w:t>
      </w:r>
      <w:r>
        <w:rPr>
          <w:rFonts w:ascii="仿宋_GB2312" w:eastAsia="仿宋_GB2312"/>
          <w:sz w:val="32"/>
          <w:highlight w:val="none"/>
        </w:rPr>
        <w:t>万元，政府采购工程支出</w:t>
      </w:r>
      <w:r>
        <w:rPr>
          <w:rFonts w:hint="eastAsia" w:ascii="仿宋_GB2312" w:eastAsia="仿宋_GB2312"/>
          <w:sz w:val="32"/>
          <w:highlight w:val="none"/>
          <w:lang w:val="en-US" w:eastAsia="zh-CN"/>
        </w:rPr>
        <w:t>0</w:t>
      </w:r>
      <w:r>
        <w:rPr>
          <w:rFonts w:ascii="仿宋_GB2312" w:eastAsia="仿宋_GB2312"/>
          <w:sz w:val="32"/>
          <w:highlight w:val="none"/>
        </w:rPr>
        <w:t>万元，政府采购服务支出</w:t>
      </w:r>
      <w:r>
        <w:rPr>
          <w:rFonts w:hint="eastAsia" w:ascii="仿宋_GB2312" w:eastAsia="仿宋_GB2312"/>
          <w:sz w:val="32"/>
          <w:highlight w:val="none"/>
          <w:lang w:val="en-US" w:eastAsia="zh-CN"/>
        </w:rPr>
        <w:t>721.97</w:t>
      </w:r>
      <w:r>
        <w:rPr>
          <w:rFonts w:ascii="仿宋_GB2312" w:eastAsia="仿宋_GB2312"/>
          <w:sz w:val="32"/>
          <w:highlight w:val="none"/>
        </w:rPr>
        <w:t>万元。授予中小企业合同金额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%，其中：授予小微企业合同金额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%；货物采购授予中小企业合同金额占货物支出金额的</w:t>
      </w:r>
      <w:r>
        <w:rPr>
          <w:rFonts w:hint="eastAsia" w:ascii="仿宋_GB2312" w:eastAsia="仿宋_GB2312"/>
          <w:sz w:val="32"/>
          <w:highlight w:val="none"/>
          <w:lang w:val="en-US" w:eastAsia="zh-CN"/>
        </w:rPr>
        <w:t>0</w:t>
      </w:r>
      <w:r>
        <w:rPr>
          <w:rFonts w:ascii="仿宋_GB2312" w:eastAsia="仿宋_GB2312"/>
          <w:sz w:val="32"/>
          <w:highlight w:val="none"/>
        </w:rPr>
        <w:t>%；工程采购授予中小企业合同金额占工程支出金额的</w:t>
      </w:r>
      <w:r>
        <w:rPr>
          <w:rFonts w:hint="eastAsia" w:ascii="仿宋_GB2312" w:eastAsia="仿宋_GB2312"/>
          <w:sz w:val="32"/>
          <w:highlight w:val="none"/>
          <w:lang w:val="en-US" w:eastAsia="zh-CN"/>
        </w:rPr>
        <w:t>0</w:t>
      </w:r>
      <w:r>
        <w:rPr>
          <w:rFonts w:ascii="仿宋_GB2312" w:eastAsia="仿宋_GB2312"/>
          <w:sz w:val="32"/>
          <w:highlight w:val="none"/>
        </w:rPr>
        <w:t>%；服务采购授予中小企业合同金额占服务支出金额的</w:t>
      </w:r>
      <w:r>
        <w:rPr>
          <w:rFonts w:hint="eastAsia" w:ascii="仿宋_GB2312" w:eastAsia="仿宋_GB2312"/>
          <w:sz w:val="32"/>
          <w:highlight w:val="none"/>
          <w:lang w:val="en-US" w:eastAsia="zh-CN"/>
        </w:rPr>
        <w:t>0</w:t>
      </w:r>
      <w:r>
        <w:rPr>
          <w:rFonts w:ascii="仿宋_GB2312" w:eastAsia="仿宋_GB2312"/>
          <w:sz w:val="32"/>
          <w:highlight w:val="none"/>
        </w:rPr>
        <w:t>%。</w:t>
      </w:r>
    </w:p>
    <w:p>
      <w:pPr>
        <w:pStyle w:val="6"/>
        <w:numPr>
          <w:ilvl w:val="0"/>
          <w:numId w:val="3"/>
        </w:numPr>
        <w:spacing w:line="560" w:lineRule="exact"/>
        <w:ind w:left="0" w:leftChars="0" w:firstLine="660" w:firstLineChars="0"/>
        <w:rPr>
          <w:rFonts w:ascii="楷体_GB2312" w:eastAsia="楷体_GB2312"/>
          <w:b/>
          <w:sz w:val="32"/>
          <w:highlight w:val="none"/>
        </w:rPr>
      </w:pPr>
      <w:r>
        <w:rPr>
          <w:rFonts w:ascii="楷体_GB2312" w:eastAsia="楷体_GB2312"/>
          <w:b/>
          <w:sz w:val="32"/>
          <w:highlight w:val="none"/>
        </w:rPr>
        <w:t>国有资产占用情况。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highlight w:val="none"/>
        </w:rPr>
      </w:pPr>
      <w:r>
        <w:rPr>
          <w:rFonts w:ascii="仿宋_GB2312" w:eastAsia="仿宋_GB2312"/>
          <w:sz w:val="32"/>
          <w:highlight w:val="none"/>
        </w:rPr>
        <w:t>截至2021年12月31日，共有车辆</w:t>
      </w:r>
      <w:r>
        <w:rPr>
          <w:rFonts w:hint="eastAsia" w:ascii="仿宋_GB2312" w:eastAsia="仿宋_GB2312"/>
          <w:sz w:val="32"/>
          <w:highlight w:val="none"/>
          <w:lang w:val="en-US" w:eastAsia="zh-CN"/>
        </w:rPr>
        <w:t>0</w:t>
      </w:r>
      <w:r>
        <w:rPr>
          <w:rFonts w:ascii="仿宋_GB2312" w:eastAsia="仿宋_GB2312"/>
          <w:sz w:val="32"/>
          <w:highlight w:val="none"/>
        </w:rPr>
        <w:t>辆，其中：副省级以上领导干部用车</w:t>
      </w:r>
      <w:r>
        <w:rPr>
          <w:rFonts w:hint="eastAsia" w:ascii="仿宋_GB2312" w:eastAsia="仿宋_GB2312"/>
          <w:sz w:val="32"/>
          <w:highlight w:val="none"/>
          <w:lang w:val="en-US" w:eastAsia="zh-CN"/>
        </w:rPr>
        <w:t>0</w:t>
      </w:r>
      <w:r>
        <w:rPr>
          <w:rFonts w:ascii="仿宋_GB2312" w:eastAsia="仿宋_GB2312"/>
          <w:sz w:val="32"/>
          <w:highlight w:val="none"/>
        </w:rPr>
        <w:t>辆，主要领导干部用车</w:t>
      </w:r>
      <w:r>
        <w:rPr>
          <w:rFonts w:hint="eastAsia" w:ascii="仿宋_GB2312" w:eastAsia="仿宋_GB2312"/>
          <w:sz w:val="32"/>
          <w:highlight w:val="none"/>
          <w:lang w:val="en-US" w:eastAsia="zh-CN"/>
        </w:rPr>
        <w:t>0</w:t>
      </w:r>
      <w:r>
        <w:rPr>
          <w:rFonts w:ascii="仿宋_GB2312" w:eastAsia="仿宋_GB2312"/>
          <w:sz w:val="32"/>
          <w:highlight w:val="none"/>
        </w:rPr>
        <w:t>辆，机要通讯用车</w:t>
      </w:r>
      <w:r>
        <w:rPr>
          <w:rFonts w:hint="eastAsia" w:ascii="仿宋_GB2312" w:eastAsia="仿宋_GB2312"/>
          <w:sz w:val="32"/>
          <w:highlight w:val="none"/>
          <w:lang w:val="en-US" w:eastAsia="zh-CN"/>
        </w:rPr>
        <w:t>0</w:t>
      </w:r>
      <w:r>
        <w:rPr>
          <w:rFonts w:ascii="仿宋_GB2312" w:eastAsia="仿宋_GB2312"/>
          <w:sz w:val="32"/>
          <w:highlight w:val="none"/>
        </w:rPr>
        <w:t>辆，应急保障用车</w:t>
      </w:r>
      <w:r>
        <w:rPr>
          <w:rFonts w:hint="eastAsia" w:ascii="仿宋_GB2312" w:eastAsia="仿宋_GB2312"/>
          <w:sz w:val="32"/>
          <w:highlight w:val="none"/>
          <w:lang w:val="en-US" w:eastAsia="zh-CN"/>
        </w:rPr>
        <w:t>0</w:t>
      </w:r>
      <w:r>
        <w:rPr>
          <w:rFonts w:ascii="仿宋_GB2312" w:eastAsia="仿宋_GB2312"/>
          <w:sz w:val="32"/>
          <w:highlight w:val="none"/>
        </w:rPr>
        <w:t>辆，执法执勤用车</w:t>
      </w:r>
      <w:r>
        <w:rPr>
          <w:rFonts w:hint="eastAsia" w:ascii="仿宋_GB2312" w:eastAsia="仿宋_GB2312"/>
          <w:sz w:val="32"/>
          <w:highlight w:val="none"/>
          <w:lang w:val="en-US" w:eastAsia="zh-CN"/>
        </w:rPr>
        <w:t>0</w:t>
      </w:r>
      <w:r>
        <w:rPr>
          <w:rFonts w:ascii="仿宋_GB2312" w:eastAsia="仿宋_GB2312"/>
          <w:sz w:val="32"/>
          <w:highlight w:val="none"/>
        </w:rPr>
        <w:t>辆，特种专业技术用车</w:t>
      </w:r>
      <w:r>
        <w:rPr>
          <w:rFonts w:hint="eastAsia" w:ascii="仿宋_GB2312" w:eastAsia="仿宋_GB2312"/>
          <w:sz w:val="32"/>
          <w:highlight w:val="none"/>
          <w:lang w:val="en-US" w:eastAsia="zh-CN"/>
        </w:rPr>
        <w:t>0</w:t>
      </w:r>
      <w:r>
        <w:rPr>
          <w:rFonts w:ascii="仿宋_GB2312" w:eastAsia="仿宋_GB2312"/>
          <w:sz w:val="32"/>
          <w:highlight w:val="none"/>
        </w:rPr>
        <w:t>辆，离退休干部用车</w:t>
      </w:r>
      <w:r>
        <w:rPr>
          <w:rFonts w:hint="eastAsia" w:ascii="仿宋_GB2312" w:eastAsia="仿宋_GB2312"/>
          <w:sz w:val="32"/>
          <w:highlight w:val="none"/>
          <w:lang w:val="en-US" w:eastAsia="zh-CN"/>
        </w:rPr>
        <w:t>0</w:t>
      </w:r>
      <w:r>
        <w:rPr>
          <w:rFonts w:ascii="仿宋_GB2312" w:eastAsia="仿宋_GB2312"/>
          <w:sz w:val="32"/>
          <w:highlight w:val="none"/>
        </w:rPr>
        <w:t>辆，其他用车</w:t>
      </w:r>
      <w:r>
        <w:rPr>
          <w:rFonts w:hint="eastAsia" w:ascii="仿宋_GB2312" w:eastAsia="仿宋_GB2312"/>
          <w:sz w:val="32"/>
          <w:highlight w:val="none"/>
          <w:lang w:val="en-US" w:eastAsia="zh-CN"/>
        </w:rPr>
        <w:t>0</w:t>
      </w:r>
      <w:r>
        <w:rPr>
          <w:rFonts w:ascii="仿宋_GB2312" w:eastAsia="仿宋_GB2312"/>
          <w:sz w:val="32"/>
          <w:highlight w:val="none"/>
        </w:rPr>
        <w:t>辆，；单位价值50万元以上通用设备</w:t>
      </w:r>
      <w:r>
        <w:rPr>
          <w:rFonts w:hint="eastAsia" w:ascii="仿宋_GB2312" w:eastAsia="仿宋_GB2312"/>
          <w:sz w:val="32"/>
          <w:highlight w:val="none"/>
          <w:lang w:val="en-US" w:eastAsia="zh-CN"/>
        </w:rPr>
        <w:t>0</w:t>
      </w:r>
      <w:r>
        <w:rPr>
          <w:rFonts w:ascii="仿宋_GB2312" w:eastAsia="仿宋_GB2312"/>
          <w:sz w:val="32"/>
          <w:highlight w:val="none"/>
        </w:rPr>
        <w:t>台（套），单价100万元以上专用设备</w:t>
      </w:r>
      <w:r>
        <w:rPr>
          <w:rFonts w:hint="eastAsia" w:ascii="仿宋_GB2312" w:eastAsia="仿宋_GB2312"/>
          <w:sz w:val="32"/>
          <w:highlight w:val="none"/>
          <w:lang w:val="en-US" w:eastAsia="zh-CN"/>
        </w:rPr>
        <w:t>0</w:t>
      </w:r>
      <w:r>
        <w:rPr>
          <w:rFonts w:ascii="仿宋_GB2312" w:eastAsia="仿宋_GB2312"/>
          <w:sz w:val="32"/>
          <w:highlight w:val="none"/>
        </w:rPr>
        <w:t>台（套）。</w:t>
      </w:r>
    </w:p>
    <w:p>
      <w:pPr>
        <w:keepNext w:val="0"/>
        <w:keepLines w:val="0"/>
        <w:widowControl/>
        <w:numPr>
          <w:ilvl w:val="0"/>
          <w:numId w:val="3"/>
        </w:numPr>
        <w:suppressLineNumbers w:val="0"/>
        <w:spacing w:before="0" w:beforeAutospacing="0" w:after="0" w:afterAutospacing="0" w:line="540" w:lineRule="exact"/>
        <w:ind w:left="0" w:leftChars="0" w:right="0" w:firstLine="660" w:firstLineChars="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r>
        <w:rPr>
          <w:rFonts w:ascii="楷体_GB2312" w:eastAsia="楷体_GB2312"/>
          <w:b/>
          <w:sz w:val="32"/>
          <w:highlight w:val="none"/>
        </w:rPr>
        <w:t>预算绩效管理工作开展情况。</w:t>
      </w:r>
    </w:p>
    <w:p>
      <w:pPr>
        <w:keepNext w:val="0"/>
        <w:keepLines w:val="0"/>
        <w:widowControl/>
        <w:numPr>
          <w:ilvl w:val="0"/>
          <w:numId w:val="0"/>
        </w:numPr>
        <w:suppressLineNumbers w:val="0"/>
        <w:spacing w:before="0" w:beforeAutospacing="0" w:after="0" w:afterAutospacing="0" w:line="540" w:lineRule="exact"/>
        <w:ind w:left="660" w:leftChars="0" w:right="0" w:rightChars="0"/>
        <w:jc w:val="left"/>
        <w:rPr>
          <w:rFonts w:hint="default" w:ascii="仿宋_GB2312" w:hAnsi="宋体" w:eastAsia="仿宋_GB2312" w:cstheme="minorBidi"/>
          <w:kern w:val="2"/>
          <w:sz w:val="32"/>
          <w:szCs w:val="22"/>
          <w:highlight w:val="none"/>
          <w:lang w:val="en-US" w:eastAsia="zh-CN" w:bidi="ar-SA"/>
        </w:rPr>
      </w:pPr>
      <w:r>
        <w:rPr>
          <w:rFonts w:hint="eastAsia" w:ascii="仿宋_GB2312" w:hAnsi="宋体" w:eastAsia="仿宋_GB2312" w:cstheme="minorBidi"/>
          <w:kern w:val="2"/>
          <w:sz w:val="32"/>
          <w:szCs w:val="22"/>
          <w:highlight w:val="none"/>
          <w:lang w:val="en-US" w:eastAsia="zh-CN" w:bidi="ar-SA"/>
        </w:rPr>
        <w:t>我单位未进行绩效自评。</w:t>
      </w:r>
    </w:p>
    <w:p>
      <w:pPr>
        <w:pStyle w:val="9"/>
        <w:autoSpaceDN w:val="0"/>
        <w:spacing w:line="560" w:lineRule="exact"/>
        <w:rPr>
          <w:b/>
          <w:bCs/>
          <w:sz w:val="36"/>
          <w:szCs w:val="36"/>
          <w:highlight w:val="none"/>
        </w:rPr>
      </w:pPr>
      <w:r>
        <w:rPr>
          <w:rFonts w:hint="eastAsia"/>
          <w:b/>
          <w:bCs/>
          <w:sz w:val="36"/>
          <w:szCs w:val="36"/>
          <w:highlight w:val="none"/>
        </w:rPr>
        <w:t>第三部分 名词解释</w:t>
      </w:r>
    </w:p>
    <w:p>
      <w:pPr>
        <w:pStyle w:val="6"/>
        <w:spacing w:line="560" w:lineRule="exact"/>
        <w:ind w:firstLine="627"/>
        <w:rPr>
          <w:rFonts w:hint="default" w:ascii="仿宋_GB2312" w:eastAsia="仿宋_GB2312"/>
          <w:b/>
          <w:sz w:val="32"/>
          <w:highlight w:val="none"/>
        </w:rPr>
      </w:pPr>
      <w:r>
        <w:rPr>
          <w:rFonts w:ascii="仿宋_GB2312" w:eastAsia="仿宋_GB2312"/>
          <w:b/>
          <w:sz w:val="32"/>
          <w:highlight w:val="none"/>
        </w:rPr>
        <w:t>1.财政拨款收入：</w:t>
      </w:r>
      <w:r>
        <w:rPr>
          <w:rFonts w:ascii="仿宋_GB2312" w:eastAsia="仿宋_GB2312"/>
          <w:sz w:val="32"/>
          <w:highlight w:val="none"/>
        </w:rPr>
        <w:t>指单位从同级财政部门取得的财政预算资金。</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2.上级补助收入：</w:t>
      </w:r>
      <w:r>
        <w:rPr>
          <w:rFonts w:ascii="仿宋_GB2312" w:eastAsia="仿宋_GB2312"/>
          <w:sz w:val="32"/>
          <w:highlight w:val="none"/>
        </w:rPr>
        <w:t>指单位从主管部门和上级单位取得的非财政性补助收入。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3.事业收入：</w:t>
      </w:r>
      <w:r>
        <w:rPr>
          <w:rFonts w:ascii="仿宋_GB2312" w:eastAsia="仿宋_GB2312"/>
          <w:sz w:val="32"/>
          <w:highlight w:val="none"/>
        </w:rPr>
        <w:t>指事业单位开展专业业务活动及辅助活动所取得的收入。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4.经营收入：</w:t>
      </w:r>
      <w:r>
        <w:rPr>
          <w:rFonts w:ascii="仿宋_GB2312" w:eastAsia="仿宋_GB2312"/>
          <w:sz w:val="32"/>
          <w:highlight w:val="none"/>
        </w:rPr>
        <w:t>指事业单位在专业业务活动及辅助活动之外开展非独立核算经营活动取得的收入。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5.附属单位上缴收入：</w:t>
      </w:r>
      <w:r>
        <w:rPr>
          <w:rFonts w:ascii="仿宋_GB2312" w:eastAsia="仿宋_GB2312"/>
          <w:sz w:val="32"/>
          <w:highlight w:val="none"/>
        </w:rPr>
        <w:t>指单位附属的独立核算单位按照规定上缴的收入。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6.其他收入：</w:t>
      </w:r>
      <w:r>
        <w:rPr>
          <w:rFonts w:ascii="仿宋_GB2312" w:eastAsia="仿宋_GB2312"/>
          <w:sz w:val="32"/>
          <w:highlight w:val="none"/>
        </w:rPr>
        <w:t>指除上述“财政拨款收入”、</w:t>
      </w:r>
      <w:r>
        <w:rPr>
          <w:rFonts w:ascii="仿宋_GB2312" w:eastAsia="仿宋_GB2312"/>
          <w:b/>
          <w:sz w:val="32"/>
          <w:highlight w:val="none"/>
        </w:rPr>
        <w:t xml:space="preserve"> </w:t>
      </w:r>
      <w:r>
        <w:rPr>
          <w:rFonts w:ascii="仿宋_GB2312" w:eastAsia="仿宋_GB2312"/>
          <w:sz w:val="32"/>
          <w:highlight w:val="none"/>
        </w:rPr>
        <w:t>“上级补助收入”、“事业收入”、“经营收入”、“附属单位上缴收入”等以外的收入。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7.使用非财政拨款结余：</w:t>
      </w:r>
      <w:r>
        <w:rPr>
          <w:rFonts w:ascii="仿宋_GB2312" w:eastAsia="仿宋_GB2312"/>
          <w:sz w:val="32"/>
          <w:highlight w:val="none"/>
        </w:rPr>
        <w:t>指事业单位按照预算管理要求使用非财政拨款结余弥补收支差额的金额。。</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8.上年结转和结余：</w:t>
      </w:r>
      <w:r>
        <w:rPr>
          <w:rFonts w:ascii="仿宋_GB2312" w:eastAsia="仿宋_GB2312"/>
          <w:sz w:val="32"/>
          <w:highlight w:val="none"/>
        </w:rPr>
        <w:t>指以前年度尚未完成、结转到本年按有关规定继续使用的资金。</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9.基本支出：</w:t>
      </w:r>
      <w:r>
        <w:rPr>
          <w:rFonts w:ascii="仿宋_GB2312" w:eastAsia="仿宋_GB2312"/>
          <w:sz w:val="32"/>
          <w:highlight w:val="none"/>
        </w:rPr>
        <w:t>指保障机构正常运转、完成日常工作任务而发生的人员支出和公用支出。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10.项目支出：</w:t>
      </w:r>
      <w:r>
        <w:rPr>
          <w:rFonts w:ascii="仿宋_GB2312" w:eastAsia="仿宋_GB2312"/>
          <w:sz w:val="32"/>
          <w:highlight w:val="none"/>
        </w:rPr>
        <w:t>指在基本支出之外为完成特定行政任务和事业发展目标所发生的支出。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11.上缴上级支出：</w:t>
      </w:r>
      <w:r>
        <w:rPr>
          <w:rFonts w:ascii="仿宋_GB2312" w:eastAsia="仿宋_GB2312"/>
          <w:sz w:val="32"/>
          <w:highlight w:val="none"/>
        </w:rPr>
        <w:t>指事业单位按照财政部门和主管部门的规定上缴上级单位的支出。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12.经营支出：</w:t>
      </w:r>
      <w:r>
        <w:rPr>
          <w:rFonts w:ascii="仿宋_GB2312" w:eastAsia="仿宋_GB2312"/>
          <w:sz w:val="32"/>
          <w:highlight w:val="none"/>
        </w:rPr>
        <w:t>指事业单位在专业活动及辅助活动之外开展非独立核算经营活动发生的支出。</w:t>
      </w:r>
    </w:p>
    <w:p>
      <w:pPr>
        <w:pStyle w:val="6"/>
        <w:spacing w:line="560" w:lineRule="exact"/>
        <w:ind w:firstLine="640"/>
        <w:rPr>
          <w:rFonts w:hint="default" w:ascii="仿宋_GB2312" w:eastAsia="仿宋_GB2312"/>
          <w:b/>
          <w:sz w:val="32"/>
          <w:highlight w:val="none"/>
        </w:rPr>
      </w:pPr>
      <w:r>
        <w:rPr>
          <w:rFonts w:ascii="仿宋_GB2312" w:eastAsia="仿宋_GB2312"/>
          <w:b/>
          <w:sz w:val="32"/>
          <w:highlight w:val="none"/>
        </w:rPr>
        <w:t>13.对附属单位补助支出：</w:t>
      </w:r>
      <w:r>
        <w:rPr>
          <w:rFonts w:ascii="仿宋_GB2312" w:eastAsia="仿宋_GB2312"/>
          <w:sz w:val="32"/>
          <w:highlight w:val="none"/>
        </w:rPr>
        <w:t>指事业单位用财政补助收入之外的收入对附属单位补助发生的支出。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14.“三公”经费：</w:t>
      </w:r>
      <w:r>
        <w:rPr>
          <w:rFonts w:ascii="仿宋_GB2312" w:eastAsia="仿宋_GB2312"/>
          <w:sz w:val="32"/>
          <w:highlight w:val="none"/>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highlight w:val="none"/>
        </w:rPr>
      </w:pPr>
      <w:r>
        <w:rPr>
          <w:rFonts w:ascii="仿宋_GB2312" w:eastAsia="仿宋_GB2312"/>
          <w:b/>
          <w:bCs/>
          <w:sz w:val="32"/>
          <w:highlight w:val="none"/>
        </w:rPr>
        <w:t>15.机关运行经费：</w:t>
      </w:r>
      <w:r>
        <w:rPr>
          <w:rFonts w:ascii="仿宋_GB2312" w:eastAsia="仿宋_GB2312"/>
          <w:sz w:val="32"/>
          <w:szCs w:val="32"/>
          <w:highlight w:val="none"/>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highlight w:val="none"/>
        </w:rPr>
      </w:pPr>
      <w:r>
        <w:rPr>
          <w:rFonts w:ascii="仿宋_GB2312" w:eastAsia="仿宋_GB2312"/>
          <w:b/>
          <w:sz w:val="32"/>
          <w:highlight w:val="none"/>
        </w:rPr>
        <w:t>16.一般公共服务（类）财政事务（款）行政运行（项）：</w:t>
      </w:r>
      <w:r>
        <w:rPr>
          <w:rFonts w:ascii="仿宋_GB2312" w:eastAsia="仿宋_GB2312"/>
          <w:sz w:val="32"/>
          <w:highlight w:val="none"/>
        </w:rPr>
        <w:t>反映行政单位（包括实行公务员管理的事业单位）的基本支出。</w:t>
      </w:r>
    </w:p>
    <w:p>
      <w:pPr>
        <w:pStyle w:val="6"/>
        <w:spacing w:line="560" w:lineRule="exact"/>
        <w:ind w:firstLine="640"/>
        <w:rPr>
          <w:rFonts w:hint="default" w:ascii="仿宋_GB2312" w:eastAsia="仿宋_GB2312"/>
          <w:i/>
          <w:sz w:val="32"/>
          <w:highlight w:val="none"/>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highlight w:val="none"/>
          <w:u w:val="single"/>
        </w:rPr>
      </w:pPr>
    </w:p>
    <w:p>
      <w:pPr>
        <w:pStyle w:val="6"/>
        <w:spacing w:line="560" w:lineRule="atLeast"/>
        <w:jc w:val="left"/>
        <w:rPr>
          <w:rFonts w:hint="default" w:ascii="仿宋_GB2312" w:hAnsi="仿宋_GB2312" w:eastAsia="仿宋_GB2312" w:cs="仿宋_GB2312"/>
          <w:b/>
          <w:sz w:val="52"/>
          <w:szCs w:val="52"/>
          <w:highlight w:val="none"/>
        </w:rPr>
      </w:pPr>
    </w:p>
    <w:p>
      <w:pPr>
        <w:pStyle w:val="6"/>
        <w:spacing w:line="560" w:lineRule="atLeast"/>
        <w:jc w:val="left"/>
        <w:rPr>
          <w:rFonts w:hint="default" w:ascii="仿宋_GB2312" w:hAnsi="仿宋_GB2312" w:eastAsia="仿宋_GB2312" w:cs="仿宋_GB2312"/>
          <w:b/>
          <w:sz w:val="52"/>
          <w:szCs w:val="52"/>
          <w:highlight w:val="none"/>
        </w:rPr>
      </w:pPr>
    </w:p>
    <w:p>
      <w:pPr>
        <w:pStyle w:val="6"/>
        <w:spacing w:line="560" w:lineRule="atLeast"/>
        <w:jc w:val="left"/>
        <w:rPr>
          <w:rFonts w:hint="default" w:ascii="仿宋_GB2312" w:hAnsi="仿宋_GB2312" w:eastAsia="仿宋_GB2312" w:cs="仿宋_GB2312"/>
          <w:b/>
          <w:sz w:val="52"/>
          <w:szCs w:val="52"/>
          <w:highlight w:val="none"/>
        </w:rPr>
      </w:pPr>
    </w:p>
    <w:p>
      <w:pPr>
        <w:pStyle w:val="6"/>
        <w:spacing w:line="560" w:lineRule="atLeast"/>
        <w:jc w:val="center"/>
        <w:rPr>
          <w:rFonts w:hint="default"/>
          <w:b/>
          <w:sz w:val="36"/>
          <w:highlight w:val="none"/>
        </w:rPr>
      </w:pPr>
      <w:r>
        <w:rPr>
          <w:rFonts w:ascii="仿宋_GB2312" w:hAnsi="仿宋_GB2312" w:eastAsia="仿宋_GB2312" w:cs="仿宋_GB2312"/>
          <w:b/>
          <w:sz w:val="52"/>
          <w:szCs w:val="52"/>
          <w:highlight w:val="none"/>
        </w:rPr>
        <w:t xml:space="preserve">第四部分 </w:t>
      </w:r>
      <w:r>
        <w:rPr>
          <w:rFonts w:hint="eastAsia" w:ascii="仿宋_GB2312" w:hAnsi="仿宋_GB2312" w:eastAsia="仿宋_GB2312" w:cs="仿宋_GB2312"/>
          <w:b/>
          <w:sz w:val="52"/>
          <w:szCs w:val="52"/>
          <w:highlight w:val="none"/>
          <w:lang w:val="en-US" w:eastAsia="zh-CN"/>
        </w:rPr>
        <w:t>沈阳市浑南区农业发展服务中心</w:t>
      </w:r>
      <w:r>
        <w:rPr>
          <w:rFonts w:ascii="仿宋_GB2312" w:hAnsi="仿宋_GB2312" w:eastAsia="仿宋_GB2312" w:cs="仿宋_GB2312"/>
          <w:b/>
          <w:sz w:val="52"/>
          <w:szCs w:val="52"/>
          <w:highlight w:val="none"/>
        </w:rPr>
        <w:t>2021年度决算表</w:t>
      </w:r>
    </w:p>
    <w:p>
      <w:pPr>
        <w:rPr>
          <w:rFonts w:hint="default" w:ascii="仿宋_GB2312" w:hAnsi="宋体" w:eastAsia="仿宋_GB2312"/>
          <w:kern w:val="0"/>
          <w:sz w:val="32"/>
          <w:highlight w:val="none"/>
        </w:rPr>
      </w:pPr>
    </w:p>
    <w:p>
      <w:pPr>
        <w:rPr>
          <w:rFonts w:hint="default" w:ascii="仿宋_GB2312" w:hAnsi="宋体" w:eastAsia="仿宋_GB2312"/>
          <w:kern w:val="0"/>
          <w:sz w:val="32"/>
          <w:highlight w:val="none"/>
        </w:rPr>
      </w:pPr>
    </w:p>
    <w:p>
      <w:pPr>
        <w:rPr>
          <w:rFonts w:hint="default" w:ascii="仿宋_GB2312" w:hAnsi="宋体" w:eastAsia="仿宋_GB2312"/>
          <w:kern w:val="0"/>
          <w:sz w:val="32"/>
          <w:highlight w:val="none"/>
        </w:rPr>
      </w:pPr>
    </w:p>
    <w:p>
      <w:pPr>
        <w:rPr>
          <w:rFonts w:hint="default" w:ascii="仿宋_GB2312" w:hAnsi="宋体" w:eastAsia="仿宋_GB2312"/>
          <w:kern w:val="0"/>
          <w:sz w:val="32"/>
          <w:highlight w:val="none"/>
        </w:rPr>
      </w:pPr>
    </w:p>
    <w:p>
      <w:pPr>
        <w:rPr>
          <w:rFonts w:hint="default" w:ascii="仿宋_GB2312" w:hAnsi="宋体" w:eastAsia="仿宋_GB2312"/>
          <w:kern w:val="0"/>
          <w:sz w:val="32"/>
          <w:highlight w:val="non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042E4"/>
    <w:multiLevelType w:val="singleLevel"/>
    <w:tmpl w:val="9F9042E4"/>
    <w:lvl w:ilvl="0" w:tentative="0">
      <w:start w:val="3"/>
      <w:numFmt w:val="chineseCounting"/>
      <w:suff w:val="nothing"/>
      <w:lvlText w:val="（%1）"/>
      <w:lvlJc w:val="left"/>
      <w:rPr>
        <w:rFonts w:hint="eastAsia"/>
        <w:color w:val="auto"/>
      </w:rPr>
    </w:lvl>
  </w:abstractNum>
  <w:abstractNum w:abstractNumId="1">
    <w:nsid w:val="BEB54F01"/>
    <w:multiLevelType w:val="singleLevel"/>
    <w:tmpl w:val="BEB54F01"/>
    <w:lvl w:ilvl="0" w:tentative="0">
      <w:start w:val="2"/>
      <w:numFmt w:val="chineseCounting"/>
      <w:suff w:val="nothing"/>
      <w:lvlText w:val="（%1）"/>
      <w:lvlJc w:val="left"/>
      <w:rPr>
        <w:rFonts w:hint="eastAsia"/>
      </w:rPr>
    </w:lvl>
  </w:abstractNum>
  <w:abstractNum w:abstractNumId="2">
    <w:nsid w:val="E1EEC3C5"/>
    <w:multiLevelType w:val="singleLevel"/>
    <w:tmpl w:val="E1EEC3C5"/>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6375D"/>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27A6B16"/>
    <w:rsid w:val="057448C8"/>
    <w:rsid w:val="05DE1D42"/>
    <w:rsid w:val="09C4782E"/>
    <w:rsid w:val="0B181232"/>
    <w:rsid w:val="0C41127C"/>
    <w:rsid w:val="0C6D2071"/>
    <w:rsid w:val="0ECB7368"/>
    <w:rsid w:val="0F1C78EB"/>
    <w:rsid w:val="11612EA5"/>
    <w:rsid w:val="11F37104"/>
    <w:rsid w:val="122356AC"/>
    <w:rsid w:val="125F1319"/>
    <w:rsid w:val="13051255"/>
    <w:rsid w:val="157F52EF"/>
    <w:rsid w:val="16AD7C3A"/>
    <w:rsid w:val="16E64EFA"/>
    <w:rsid w:val="192341E3"/>
    <w:rsid w:val="19C808E7"/>
    <w:rsid w:val="1B723200"/>
    <w:rsid w:val="1C635C29"/>
    <w:rsid w:val="1E0F11DA"/>
    <w:rsid w:val="1E4E1D03"/>
    <w:rsid w:val="1EB22DCF"/>
    <w:rsid w:val="1F7076AA"/>
    <w:rsid w:val="1F8E6CA7"/>
    <w:rsid w:val="20740CF9"/>
    <w:rsid w:val="20B4502D"/>
    <w:rsid w:val="20D82E2A"/>
    <w:rsid w:val="21090163"/>
    <w:rsid w:val="21E970DB"/>
    <w:rsid w:val="24402403"/>
    <w:rsid w:val="24E231A5"/>
    <w:rsid w:val="261D23F6"/>
    <w:rsid w:val="2641214D"/>
    <w:rsid w:val="27147861"/>
    <w:rsid w:val="293B500D"/>
    <w:rsid w:val="295E3016"/>
    <w:rsid w:val="2A3F0751"/>
    <w:rsid w:val="2A8037A7"/>
    <w:rsid w:val="2C720871"/>
    <w:rsid w:val="2D3C47AB"/>
    <w:rsid w:val="2E4F6256"/>
    <w:rsid w:val="30D140CD"/>
    <w:rsid w:val="30E83917"/>
    <w:rsid w:val="322C1F03"/>
    <w:rsid w:val="326E42CA"/>
    <w:rsid w:val="33ED0726"/>
    <w:rsid w:val="34931AC9"/>
    <w:rsid w:val="355C6968"/>
    <w:rsid w:val="35C3492C"/>
    <w:rsid w:val="36230505"/>
    <w:rsid w:val="36783969"/>
    <w:rsid w:val="36D02B02"/>
    <w:rsid w:val="37BC7885"/>
    <w:rsid w:val="39987E7E"/>
    <w:rsid w:val="3C3E4D0D"/>
    <w:rsid w:val="3D4E5423"/>
    <w:rsid w:val="3EF8303E"/>
    <w:rsid w:val="40776A3F"/>
    <w:rsid w:val="40936AFD"/>
    <w:rsid w:val="41C537DA"/>
    <w:rsid w:val="42497F67"/>
    <w:rsid w:val="42F8373B"/>
    <w:rsid w:val="45252F0E"/>
    <w:rsid w:val="454A4722"/>
    <w:rsid w:val="45837C34"/>
    <w:rsid w:val="48853CC3"/>
    <w:rsid w:val="48DD0F5D"/>
    <w:rsid w:val="499C12C5"/>
    <w:rsid w:val="4AFD2237"/>
    <w:rsid w:val="4CC437C8"/>
    <w:rsid w:val="4CF773C7"/>
    <w:rsid w:val="4E2B0E50"/>
    <w:rsid w:val="50F43794"/>
    <w:rsid w:val="5144296E"/>
    <w:rsid w:val="5234250F"/>
    <w:rsid w:val="54F4499B"/>
    <w:rsid w:val="54F6469B"/>
    <w:rsid w:val="58B419BB"/>
    <w:rsid w:val="5A042DDD"/>
    <w:rsid w:val="5A1C5E28"/>
    <w:rsid w:val="5AAC3332"/>
    <w:rsid w:val="5B697371"/>
    <w:rsid w:val="5C164C88"/>
    <w:rsid w:val="5C747D49"/>
    <w:rsid w:val="5D3C6BEF"/>
    <w:rsid w:val="5EA92062"/>
    <w:rsid w:val="5FCC24FB"/>
    <w:rsid w:val="5FD41360"/>
    <w:rsid w:val="60381DDD"/>
    <w:rsid w:val="60A91E48"/>
    <w:rsid w:val="61CE1601"/>
    <w:rsid w:val="61E57855"/>
    <w:rsid w:val="61FB0E26"/>
    <w:rsid w:val="62913539"/>
    <w:rsid w:val="62986C88"/>
    <w:rsid w:val="630D3367"/>
    <w:rsid w:val="65453C99"/>
    <w:rsid w:val="65501489"/>
    <w:rsid w:val="657F1725"/>
    <w:rsid w:val="65823F31"/>
    <w:rsid w:val="65C31A32"/>
    <w:rsid w:val="673C6F2C"/>
    <w:rsid w:val="67752FBF"/>
    <w:rsid w:val="68386BA0"/>
    <w:rsid w:val="69B049B6"/>
    <w:rsid w:val="6B916358"/>
    <w:rsid w:val="6C180827"/>
    <w:rsid w:val="6DDB3E6C"/>
    <w:rsid w:val="6DE2733E"/>
    <w:rsid w:val="6F2D41DE"/>
    <w:rsid w:val="71BE3C1E"/>
    <w:rsid w:val="724179B2"/>
    <w:rsid w:val="737A1DC7"/>
    <w:rsid w:val="73DB5EE4"/>
    <w:rsid w:val="766F7295"/>
    <w:rsid w:val="76A4069C"/>
    <w:rsid w:val="76B455F0"/>
    <w:rsid w:val="789E3E62"/>
    <w:rsid w:val="79697E19"/>
    <w:rsid w:val="79EE0E19"/>
    <w:rsid w:val="7A682979"/>
    <w:rsid w:val="7A7632E8"/>
    <w:rsid w:val="7AE2272C"/>
    <w:rsid w:val="7B7535A0"/>
    <w:rsid w:val="7D024843"/>
    <w:rsid w:val="7E7E6C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5394</Words>
  <Characters>5975</Characters>
  <Lines>37</Lines>
  <Paragraphs>10</Paragraphs>
  <TotalTime>1</TotalTime>
  <ScaleCrop>false</ScaleCrop>
  <LinksUpToDate>false</LinksUpToDate>
  <CharactersWithSpaces>6032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2023-06-15T02:21:37Z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9AA46EAEE03B46409339353BD32E28DD_13</vt:lpwstr>
  </property>
</Properties>
</file>