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辽宁省沈阳市浑南区商务局</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w:t>
      </w:r>
      <w:bookmarkStart w:id="0" w:name="_GoBack"/>
      <w:bookmarkEnd w:id="0"/>
      <w:r>
        <w:rPr>
          <w:rFonts w:hint="eastAsia" w:ascii="宋体" w:hAnsi="宋体"/>
          <w:b/>
          <w:sz w:val="52"/>
          <w:szCs w:val="52"/>
        </w:rPr>
        <w:t>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商务局</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rPr>
        <w:t>商务局</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商务局</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商务局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rPr>
      </w:pPr>
      <w:r>
        <w:rPr>
          <w:rFonts w:hint="eastAsia" w:ascii="仿宋_GB2312" w:eastAsia="仿宋_GB2312"/>
          <w:sz w:val="32"/>
        </w:rPr>
        <w:t>(一)贯彻执行国家关于国内外贸易和国际经济合作的方针政策和法律法规及省、市有关要求，对对外经济合作、现代流通方式的发展提出建议。</w:t>
      </w:r>
    </w:p>
    <w:p>
      <w:pPr>
        <w:pStyle w:val="6"/>
        <w:spacing w:line="560" w:lineRule="exact"/>
        <w:ind w:firstLine="640"/>
        <w:rPr>
          <w:rFonts w:hint="eastAsia" w:ascii="仿宋_GB2312" w:eastAsia="仿宋_GB2312"/>
          <w:sz w:val="32"/>
        </w:rPr>
      </w:pPr>
      <w:r>
        <w:rPr>
          <w:rFonts w:hint="eastAsia" w:ascii="仿宋_GB2312" w:eastAsia="仿宋_GB2312"/>
          <w:sz w:val="32"/>
        </w:rPr>
        <w:t>(二)组织贯彻实施省、市商贸发展的政策措施。负责全区服务业产业发展相关工作。</w:t>
      </w:r>
    </w:p>
    <w:p>
      <w:pPr>
        <w:pStyle w:val="6"/>
        <w:spacing w:line="560" w:lineRule="exact"/>
        <w:ind w:firstLine="640"/>
        <w:rPr>
          <w:rFonts w:hint="eastAsia" w:ascii="仿宋_GB2312" w:eastAsia="仿宋_GB2312"/>
          <w:sz w:val="32"/>
        </w:rPr>
      </w:pPr>
      <w:r>
        <w:rPr>
          <w:rFonts w:hint="eastAsia" w:ascii="仿宋_GB2312" w:eastAsia="仿宋_GB2312"/>
          <w:sz w:val="32"/>
        </w:rPr>
        <w:t>(三)组织协调解决商贸流通业发展重大问题，指导商贸流通业和社区商业发展，提出促进商贸中小企业发展的政策建议，推动流通标准化和连锁经营、商业特许经营、物流配送、电子商务等现代流通方式的发展。</w:t>
      </w:r>
    </w:p>
    <w:p>
      <w:pPr>
        <w:pStyle w:val="6"/>
        <w:spacing w:line="560" w:lineRule="exact"/>
        <w:ind w:firstLine="640"/>
        <w:rPr>
          <w:rFonts w:hint="eastAsia" w:ascii="仿宋_GB2312" w:eastAsia="仿宋_GB2312"/>
          <w:sz w:val="32"/>
        </w:rPr>
      </w:pPr>
      <w:r>
        <w:rPr>
          <w:rFonts w:hint="eastAsia" w:ascii="仿宋_GB2312" w:eastAsia="仿宋_GB2312"/>
          <w:sz w:val="32"/>
        </w:rPr>
        <w:t>(四)拟订全区商贸流通产业发展规划，促进城乡市场发展，贯彻落实上级引导资金投向市场体系建设的政策，指导商品市场规划和商业网点规划、商业体系建设工作，按照上级部门指导意人见推进农村市场和农产品流通体系建设和日用消费品、生产资料市场转型升级。</w:t>
      </w:r>
    </w:p>
    <w:p>
      <w:pPr>
        <w:pStyle w:val="6"/>
        <w:spacing w:line="560" w:lineRule="exact"/>
        <w:ind w:firstLine="640"/>
        <w:rPr>
          <w:rFonts w:hint="eastAsia" w:ascii="仿宋_GB2312" w:eastAsia="仿宋_GB2312"/>
          <w:sz w:val="32"/>
        </w:rPr>
      </w:pPr>
      <w:r>
        <w:rPr>
          <w:rFonts w:hint="eastAsia" w:ascii="仿宋_GB2312" w:eastAsia="仿宋_GB2312"/>
          <w:sz w:val="32"/>
        </w:rPr>
        <w:t>(五)协调整顿和规范市场经济秩序工作，贯彻落实规范市场运行、流通秩序的政策，推动商务领域信用建设，指导商业信用销售，推动市场诚信公共服务工作，按照上级部门指导意见规范零售商促销、零售商与供应商公平交易行为。推动流通领域食品安全追溯体系建设。按有关规定对特殊流通行业进行监督管理。</w:t>
      </w:r>
    </w:p>
    <w:p>
      <w:pPr>
        <w:pStyle w:val="6"/>
        <w:spacing w:line="560" w:lineRule="exact"/>
        <w:ind w:firstLine="640"/>
        <w:rPr>
          <w:rFonts w:hint="eastAsia" w:ascii="仿宋_GB2312" w:eastAsia="仿宋_GB2312"/>
          <w:sz w:val="32"/>
        </w:rPr>
      </w:pPr>
      <w:r>
        <w:rPr>
          <w:rFonts w:hint="eastAsia" w:ascii="仿宋_GB2312" w:eastAsia="仿宋_GB2312"/>
          <w:sz w:val="32"/>
        </w:rPr>
        <w:t>(六)按有关规定组织实施重要消费品市场调控和重要生产资料流通管理，贯彻执行生活必需品市场供应应急管理机制，监测分析市场运行、商品供求状况，调查分析商品价格信息，进行预测预警和信息引导，按分工负责重要消费品储备管理和市场调控工作，按有关规定对成品油流通进行监督管理。</w:t>
      </w:r>
    </w:p>
    <w:p>
      <w:pPr>
        <w:pStyle w:val="6"/>
        <w:spacing w:line="560" w:lineRule="exact"/>
        <w:ind w:firstLine="640"/>
        <w:rPr>
          <w:rFonts w:hint="eastAsia" w:ascii="仿宋_GB2312" w:eastAsia="仿宋_GB2312"/>
          <w:sz w:val="32"/>
        </w:rPr>
      </w:pPr>
      <w:r>
        <w:rPr>
          <w:rFonts w:hint="eastAsia" w:ascii="仿宋_GB2312" w:eastAsia="仿宋_GB2312"/>
          <w:sz w:val="32"/>
        </w:rPr>
        <w:t>(七)落实上级部门促进会展业发展的相关政策，拟定会展业发展规划、计划并组织实施，组织协调各有关部门做好大型会展活动的服务工作，推进会展业对外开放。执行上级部门年度会展专项资金政策。</w:t>
      </w:r>
    </w:p>
    <w:p>
      <w:pPr>
        <w:pStyle w:val="6"/>
        <w:spacing w:line="560" w:lineRule="exact"/>
        <w:ind w:firstLine="640"/>
        <w:rPr>
          <w:rFonts w:hint="eastAsia" w:ascii="仿宋_GB2312" w:eastAsia="仿宋_GB2312"/>
          <w:sz w:val="32"/>
        </w:rPr>
      </w:pPr>
      <w:r>
        <w:rPr>
          <w:rFonts w:hint="eastAsia" w:ascii="仿宋_GB2312" w:eastAsia="仿宋_GB2312"/>
          <w:sz w:val="32"/>
        </w:rPr>
        <w:t>(八)负责全区利用外资工作。负责全区贯彻落实国家、省、市利用外资相关法律与政策措施并组织实施。负责全区利用外资指标的调度、统计、分析及上报。组织全区外资企业参加相关业务培训，负责开展外商投资企业年度经营状况联合申报工作，受理全区外商投资企业及其外国投资者投诉。</w:t>
      </w:r>
    </w:p>
    <w:p>
      <w:pPr>
        <w:pStyle w:val="6"/>
        <w:spacing w:line="560" w:lineRule="exact"/>
        <w:ind w:firstLine="640"/>
        <w:rPr>
          <w:rFonts w:hint="eastAsia" w:ascii="仿宋_GB2312" w:eastAsia="仿宋_GB2312"/>
          <w:sz w:val="32"/>
        </w:rPr>
      </w:pPr>
      <w:r>
        <w:rPr>
          <w:rFonts w:hint="eastAsia" w:ascii="仿宋_GB2312" w:eastAsia="仿宋_GB2312"/>
          <w:sz w:val="32"/>
        </w:rPr>
        <w:t>(九)负责全区引进内资工作。定期对引进内资指标进行调度、统计及分析，组织录入省电子化系统，上报纸质认定材料。</w:t>
      </w:r>
    </w:p>
    <w:p>
      <w:pPr>
        <w:pStyle w:val="6"/>
        <w:spacing w:line="560" w:lineRule="exact"/>
        <w:ind w:firstLine="640"/>
        <w:rPr>
          <w:rFonts w:hint="eastAsia" w:ascii="仿宋_GB2312" w:eastAsia="仿宋_GB2312"/>
          <w:sz w:val="32"/>
        </w:rPr>
      </w:pPr>
      <w:r>
        <w:rPr>
          <w:rFonts w:hint="eastAsia" w:ascii="仿宋_GB2312" w:eastAsia="仿宋_GB2312"/>
          <w:sz w:val="32"/>
        </w:rPr>
        <w:t>(十)负责全区对外贸易工作。推进全区对外贸易发展，拟定全区进出口计划并组织实施。贯彻执行国家对外贸易方针政策和法律法规及省、市有关要求，负责全区对外贸易运行情况综合分析，并对进出口相关指标进行调度。推动外贸转型升级与企业开拓国际市场工作，推动加工贸易发展，落实对外贸易相关资金政策，组织企业参加境内外贸易展会。负责全区进出口工作。</w:t>
      </w:r>
    </w:p>
    <w:p>
      <w:pPr>
        <w:pStyle w:val="6"/>
        <w:spacing w:line="560" w:lineRule="exact"/>
        <w:ind w:firstLine="640"/>
        <w:rPr>
          <w:rFonts w:hint="eastAsia" w:ascii="仿宋_GB2312" w:eastAsia="仿宋_GB2312"/>
          <w:sz w:val="32"/>
        </w:rPr>
      </w:pPr>
      <w:r>
        <w:rPr>
          <w:rFonts w:hint="eastAsia" w:ascii="仿宋_GB2312" w:eastAsia="仿宋_GB2312"/>
          <w:sz w:val="32"/>
        </w:rPr>
        <w:t>(十一)负责全区服务外包及服务贸易工作。推动全区服务外包、服务贸易产业发展，组织落实国家、省、市相关政策、资金，组织开展全区服务贸易、服务外包领域开拓国际市场。负责外商投资企业投诉受理和外商投资企业的纠纷协调工作;组织外商投资企业参加企业年报工作。</w:t>
      </w:r>
    </w:p>
    <w:p>
      <w:pPr>
        <w:pStyle w:val="6"/>
        <w:spacing w:line="560" w:lineRule="exact"/>
        <w:ind w:firstLine="640"/>
        <w:rPr>
          <w:rFonts w:hint="eastAsia" w:ascii="仿宋_GB2312" w:eastAsia="仿宋_GB2312"/>
          <w:sz w:val="32"/>
        </w:rPr>
      </w:pPr>
      <w:r>
        <w:rPr>
          <w:rFonts w:hint="eastAsia" w:ascii="仿宋_GB2312" w:eastAsia="仿宋_GB2312"/>
          <w:sz w:val="32"/>
        </w:rPr>
        <w:t>(十二)负责全区对外经济合作工作。贯彻执行国家有关对外经济合作的方针、政策和规章及省、市有关要求，依法管理和监督全区对外投资、对外承包工程、对外劳务合作工作。负责对外经济合作政策指导、宣传和培训工作。落实对外经济合作相关资金、政策，组织企业参加境内外对外经济合作展会、对接会。负责外派人员保证金管理，协调处理涉外劳务纠纷。</w:t>
      </w:r>
    </w:p>
    <w:p>
      <w:pPr>
        <w:pStyle w:val="6"/>
        <w:spacing w:line="560" w:lineRule="exact"/>
        <w:ind w:firstLine="640"/>
        <w:rPr>
          <w:rFonts w:hint="eastAsia" w:ascii="仿宋_GB2312" w:eastAsia="仿宋_GB2312"/>
          <w:sz w:val="32"/>
        </w:rPr>
      </w:pPr>
      <w:r>
        <w:rPr>
          <w:rFonts w:hint="eastAsia" w:ascii="仿宋_GB2312" w:eastAsia="仿宋_GB2312"/>
          <w:sz w:val="32"/>
        </w:rPr>
        <w:t>(十三)协调配合区电商办开展电子商务工作。参与制定全区电子商务产业规划、政策措施，推进电子商务产业发展，推进跨境电子商务合作。</w:t>
      </w:r>
    </w:p>
    <w:p>
      <w:pPr>
        <w:pStyle w:val="6"/>
        <w:spacing w:line="560" w:lineRule="exact"/>
        <w:ind w:firstLine="640"/>
        <w:rPr>
          <w:rFonts w:hint="eastAsia" w:ascii="仿宋_GB2312" w:eastAsia="仿宋_GB2312"/>
          <w:sz w:val="32"/>
        </w:rPr>
      </w:pPr>
      <w:r>
        <w:rPr>
          <w:rFonts w:hint="eastAsia" w:ascii="仿宋_GB2312" w:eastAsia="仿宋_GB2312"/>
          <w:sz w:val="32"/>
        </w:rPr>
        <w:t>(十四)贯彻执行国家关于外事工作的方针政策和法律法规及省、市有关要求，协调处理我区外事工作和涉外活动事务;负责我区因公出国、赴港澳任务工作事宜。</w:t>
      </w:r>
    </w:p>
    <w:p>
      <w:pPr>
        <w:pStyle w:val="6"/>
        <w:spacing w:line="560" w:lineRule="exact"/>
        <w:ind w:firstLine="640"/>
        <w:rPr>
          <w:rFonts w:hint="eastAsia" w:ascii="仿宋_GB2312" w:eastAsia="仿宋_GB2312"/>
          <w:sz w:val="32"/>
        </w:rPr>
      </w:pPr>
      <w:r>
        <w:rPr>
          <w:rFonts w:hint="eastAsia" w:ascii="仿宋_GB2312" w:eastAsia="仿宋_GB2312"/>
          <w:sz w:val="32"/>
        </w:rPr>
        <w:t>(十五)负责本部门及相关行业领域安全生产和职业健康监管工作。</w:t>
      </w:r>
    </w:p>
    <w:p>
      <w:pPr>
        <w:pStyle w:val="6"/>
        <w:spacing w:line="560" w:lineRule="exact"/>
        <w:ind w:firstLine="640"/>
        <w:rPr>
          <w:rFonts w:hint="eastAsia" w:ascii="仿宋_GB2312" w:eastAsia="仿宋_GB2312"/>
          <w:sz w:val="32"/>
        </w:rPr>
      </w:pPr>
      <w:r>
        <w:rPr>
          <w:rFonts w:hint="eastAsia" w:ascii="仿宋_GB2312" w:eastAsia="仿宋_GB2312"/>
          <w:sz w:val="32"/>
        </w:rPr>
        <w:t>(十六)负责本部门及相关行业领域人才工作。</w:t>
      </w:r>
    </w:p>
    <w:p>
      <w:pPr>
        <w:pStyle w:val="6"/>
        <w:spacing w:line="560" w:lineRule="exact"/>
        <w:ind w:firstLine="640"/>
        <w:rPr>
          <w:rFonts w:hint="eastAsia" w:ascii="仿宋_GB2312" w:eastAsia="仿宋_GB2312"/>
          <w:sz w:val="32"/>
        </w:rPr>
      </w:pPr>
      <w:r>
        <w:rPr>
          <w:rFonts w:hint="eastAsia" w:ascii="仿宋_GB2312" w:eastAsia="仿宋_GB2312"/>
          <w:sz w:val="32"/>
        </w:rPr>
        <w:t>(十七)负责本部门营商环境建设工作。</w:t>
      </w:r>
    </w:p>
    <w:p>
      <w:pPr>
        <w:pStyle w:val="6"/>
        <w:spacing w:line="560" w:lineRule="exact"/>
        <w:ind w:firstLine="640"/>
        <w:rPr>
          <w:rFonts w:hint="eastAsia" w:ascii="仿宋_GB2312" w:eastAsia="仿宋_GB2312"/>
          <w:sz w:val="32"/>
        </w:rPr>
      </w:pPr>
      <w:r>
        <w:rPr>
          <w:rFonts w:hint="eastAsia" w:ascii="仿宋_GB2312" w:eastAsia="仿宋_GB2312"/>
          <w:sz w:val="32"/>
        </w:rPr>
        <w:t>(十八)负责本部门权责清单和政务服务事项清单在区政府门户网站上公布工作。</w:t>
      </w:r>
    </w:p>
    <w:p>
      <w:pPr>
        <w:pStyle w:val="6"/>
        <w:spacing w:line="560" w:lineRule="exact"/>
        <w:ind w:firstLine="640"/>
        <w:rPr>
          <w:rFonts w:hint="eastAsia" w:ascii="仿宋_GB2312" w:eastAsia="仿宋_GB2312"/>
          <w:sz w:val="32"/>
        </w:rPr>
      </w:pPr>
      <w:r>
        <w:rPr>
          <w:rFonts w:hint="eastAsia" w:ascii="仿宋_GB2312" w:eastAsia="仿宋_GB2312"/>
          <w:sz w:val="32"/>
        </w:rPr>
        <w:t>(十九)负责本部门定岗定责定流程工作。</w:t>
      </w:r>
    </w:p>
    <w:p>
      <w:pPr>
        <w:pStyle w:val="6"/>
        <w:spacing w:line="560" w:lineRule="exact"/>
        <w:ind w:firstLine="640"/>
        <w:rPr>
          <w:rFonts w:hint="eastAsia" w:ascii="仿宋_GB2312" w:eastAsia="仿宋_GB2312"/>
          <w:sz w:val="32"/>
        </w:rPr>
      </w:pPr>
      <w:r>
        <w:rPr>
          <w:rFonts w:hint="eastAsia" w:ascii="仿宋_GB2312" w:eastAsia="仿宋_GB2312"/>
          <w:sz w:val="32"/>
        </w:rPr>
        <w:t>(二十)完成区委、区政府交办的其他任务。</w:t>
      </w:r>
    </w:p>
    <w:p>
      <w:pPr>
        <w:pStyle w:val="6"/>
        <w:spacing w:line="560" w:lineRule="exact"/>
        <w:ind w:firstLine="640"/>
        <w:rPr>
          <w:rFonts w:hint="eastAsia" w:ascii="仿宋_GB2312" w:eastAsia="仿宋_GB2312"/>
          <w:sz w:val="32"/>
        </w:rPr>
      </w:pPr>
      <w:r>
        <w:rPr>
          <w:rFonts w:hint="eastAsia" w:ascii="仿宋_GB2312" w:eastAsia="仿宋_GB2312"/>
          <w:sz w:val="32"/>
        </w:rPr>
        <w:t>(二十一)有关职责分工。</w:t>
      </w:r>
    </w:p>
    <w:p>
      <w:pPr>
        <w:pStyle w:val="6"/>
        <w:spacing w:line="560" w:lineRule="exact"/>
        <w:ind w:firstLine="640"/>
        <w:rPr>
          <w:rFonts w:hint="eastAsia" w:ascii="仿宋_GB2312" w:eastAsia="仿宋_GB2312"/>
          <w:sz w:val="32"/>
        </w:rPr>
      </w:pPr>
      <w:r>
        <w:rPr>
          <w:rFonts w:hint="eastAsia" w:ascii="仿宋_GB2312" w:eastAsia="仿宋_GB2312"/>
          <w:sz w:val="32"/>
        </w:rPr>
        <w:t>与区市场监督管理局的有关职责分工。区商务局负责落实市商务局有关促进餐饮行业发展规划及政策落实，区市场监督管理局负责餐饮行业监督管理。</w:t>
      </w:r>
    </w:p>
    <w:p>
      <w:pPr>
        <w:pStyle w:val="6"/>
        <w:spacing w:line="560" w:lineRule="exact"/>
        <w:ind w:firstLine="640"/>
        <w:rPr>
          <w:rFonts w:hint="eastAsia" w:ascii="仿宋_GB2312" w:eastAsia="仿宋_GB2312"/>
          <w:sz w:val="32"/>
        </w:rPr>
      </w:pPr>
      <w:r>
        <w:rPr>
          <w:rFonts w:hint="eastAsia" w:ascii="仿宋_GB2312" w:eastAsia="仿宋_GB2312"/>
          <w:sz w:val="32"/>
        </w:rPr>
        <w:t>区商务局负责落实市商务局有关药品流通发展规划和政策，区市场监督管理局负责药品流通的监督管理，配合执行药品流通发展规划和政策。</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spacing w:line="560" w:lineRule="exact"/>
        <w:ind w:firstLine="640"/>
        <w:rPr>
          <w:rFonts w:hint="default" w:ascii="黑体" w:eastAsia="黑体"/>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年部门</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浑南区商务局</w:t>
      </w:r>
      <w:r>
        <w:rPr>
          <w:rFonts w:ascii="仿宋_GB2312" w:eastAsia="仿宋_GB2312"/>
          <w:b w:val="0"/>
          <w:bCs w:val="0"/>
          <w:color w:val="auto"/>
          <w:sz w:val="32"/>
          <w:szCs w:val="32"/>
        </w:rPr>
        <w:t>本级，本单位无下设机构</w:t>
      </w:r>
      <w:r>
        <w:rPr>
          <w:rFonts w:ascii="仿宋_GB2312" w:eastAsia="仿宋_GB2312"/>
          <w:b/>
          <w:bCs/>
          <w:color w:val="auto"/>
          <w:sz w:val="32"/>
          <w:szCs w:val="32"/>
        </w:rPr>
        <w:t>。</w:t>
      </w:r>
    </w:p>
    <w:p>
      <w:pPr>
        <w:pStyle w:val="6"/>
        <w:spacing w:line="560" w:lineRule="exact"/>
        <w:rPr>
          <w:rFonts w:hint="default"/>
          <w:b/>
          <w:sz w:val="36"/>
        </w:rPr>
      </w:pPr>
    </w:p>
    <w:p>
      <w:pPr>
        <w:pStyle w:val="6"/>
        <w:spacing w:line="560" w:lineRule="exact"/>
        <w:jc w:val="both"/>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商务局</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4392.79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4390.74</w:t>
      </w:r>
      <w:r>
        <w:rPr>
          <w:rFonts w:ascii="仿宋_GB2312" w:eastAsia="仿宋_GB2312"/>
          <w:sz w:val="32"/>
        </w:rPr>
        <w:t>万元，占收入总计的</w:t>
      </w:r>
      <w:r>
        <w:rPr>
          <w:rFonts w:hint="eastAsia" w:ascii="仿宋_GB2312" w:eastAsia="仿宋_GB2312"/>
          <w:sz w:val="32"/>
          <w:lang w:val="en-US" w:eastAsia="zh-CN"/>
        </w:rPr>
        <w:t>99.95</w:t>
      </w:r>
      <w:r>
        <w:rPr>
          <w:rFonts w:ascii="仿宋_GB2312" w:eastAsia="仿宋_GB2312"/>
          <w:sz w:val="32"/>
        </w:rPr>
        <w:t>%。其中：一般公共预算财政拨款收入</w:t>
      </w:r>
      <w:r>
        <w:rPr>
          <w:rFonts w:hint="eastAsia" w:ascii="仿宋_GB2312" w:eastAsia="仿宋_GB2312"/>
          <w:sz w:val="32"/>
        </w:rPr>
        <w:t>4390.74</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color w:val="FF0000"/>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2.05</w:t>
      </w:r>
      <w:r>
        <w:rPr>
          <w:rFonts w:ascii="仿宋_GB2312" w:eastAsia="仿宋_GB2312"/>
          <w:sz w:val="32"/>
        </w:rPr>
        <w:t>万元，占收入总计的</w:t>
      </w:r>
      <w:r>
        <w:rPr>
          <w:rFonts w:hint="eastAsia" w:ascii="仿宋_GB2312" w:eastAsia="仿宋_GB2312"/>
          <w:sz w:val="32"/>
          <w:lang w:val="en-US" w:eastAsia="zh-CN"/>
        </w:rPr>
        <w:t>0.05</w:t>
      </w:r>
      <w:r>
        <w:rPr>
          <w:rFonts w:ascii="仿宋_GB2312" w:eastAsia="仿宋_GB2312"/>
          <w:sz w:val="32"/>
        </w:rPr>
        <w:t>%。</w:t>
      </w:r>
      <w:r>
        <w:rPr>
          <w:rFonts w:ascii="仿宋_GB2312" w:eastAsia="仿宋_GB2312"/>
          <w:color w:val="auto"/>
          <w:sz w:val="32"/>
        </w:rPr>
        <w:t>主要是</w:t>
      </w:r>
      <w:r>
        <w:rPr>
          <w:rFonts w:hint="eastAsia" w:ascii="仿宋_GB2312" w:eastAsia="仿宋_GB2312"/>
          <w:color w:val="auto"/>
          <w:sz w:val="32"/>
          <w:lang w:val="en-US" w:eastAsia="zh-CN"/>
        </w:rPr>
        <w:t>专项经费结余</w:t>
      </w:r>
      <w:r>
        <w:rPr>
          <w:rFonts w:ascii="仿宋_GB2312" w:eastAsia="仿宋_GB2312"/>
          <w:color w:val="auto"/>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939.96</w:t>
      </w:r>
      <w:r>
        <w:rPr>
          <w:rFonts w:ascii="仿宋_GB2312" w:eastAsia="仿宋_GB2312"/>
          <w:sz w:val="32"/>
        </w:rPr>
        <w:t>万元，增长</w:t>
      </w:r>
      <w:r>
        <w:rPr>
          <w:rFonts w:hint="eastAsia" w:ascii="仿宋_GB2312" w:eastAsia="仿宋_GB2312"/>
          <w:sz w:val="32"/>
          <w:lang w:val="en-US" w:eastAsia="zh-CN"/>
        </w:rPr>
        <w:t>27.24</w:t>
      </w:r>
      <w:r>
        <w:rPr>
          <w:rFonts w:ascii="仿宋_GB2312" w:eastAsia="仿宋_GB2312"/>
          <w:sz w:val="32"/>
        </w:rPr>
        <w:t>%，主要原因</w:t>
      </w:r>
      <w:r>
        <w:rPr>
          <w:rFonts w:hint="eastAsia" w:ascii="仿宋_GB2312" w:eastAsia="仿宋_GB2312"/>
          <w:sz w:val="32"/>
          <w:lang w:val="en-US" w:eastAsia="zh-CN"/>
        </w:rPr>
        <w:t>是财政拨款收入增加</w:t>
      </w:r>
      <w:r>
        <w:rPr>
          <w:rFonts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4390.74</w:t>
      </w:r>
      <w:r>
        <w:rPr>
          <w:rFonts w:ascii="楷体_GB2312" w:eastAsia="楷体_GB2312"/>
          <w:b/>
          <w:sz w:val="32"/>
        </w:rPr>
        <w:t>万元，包括：</w:t>
      </w:r>
    </w:p>
    <w:p>
      <w:pPr>
        <w:pStyle w:val="6"/>
        <w:numPr>
          <w:ilvl w:val="0"/>
          <w:numId w:val="0"/>
        </w:numPr>
        <w:spacing w:line="560" w:lineRule="exact"/>
        <w:ind w:firstLine="640" w:firstLineChars="200"/>
        <w:rPr>
          <w:rFonts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212.34</w:t>
      </w:r>
      <w:r>
        <w:rPr>
          <w:rFonts w:ascii="仿宋_GB2312" w:eastAsia="仿宋_GB2312"/>
          <w:sz w:val="32"/>
        </w:rPr>
        <w:t>万元，占支出总计的</w:t>
      </w:r>
      <w:r>
        <w:rPr>
          <w:rFonts w:hint="eastAsia" w:ascii="仿宋_GB2312" w:eastAsia="仿宋_GB2312"/>
          <w:sz w:val="32"/>
          <w:lang w:val="en-US" w:eastAsia="zh-CN"/>
        </w:rPr>
        <w:t>4.84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177.98</w:t>
      </w:r>
      <w:r>
        <w:rPr>
          <w:rFonts w:ascii="仿宋_GB2312" w:eastAsia="仿宋_GB2312"/>
          <w:sz w:val="32"/>
        </w:rPr>
        <w:t>万元，对个人和家庭的补助支出</w:t>
      </w:r>
      <w:r>
        <w:rPr>
          <w:rFonts w:hint="eastAsia" w:ascii="仿宋_GB2312" w:eastAsia="仿宋_GB2312"/>
          <w:sz w:val="32"/>
          <w:lang w:val="en-US" w:eastAsia="zh-CN"/>
        </w:rPr>
        <w:t>5.22</w:t>
      </w:r>
      <w:r>
        <w:rPr>
          <w:rFonts w:ascii="仿宋_GB2312" w:eastAsia="仿宋_GB2312"/>
          <w:sz w:val="32"/>
        </w:rPr>
        <w:t>万元，商品和服务支出</w:t>
      </w:r>
      <w:r>
        <w:rPr>
          <w:rFonts w:hint="eastAsia" w:ascii="仿宋_GB2312" w:eastAsia="仿宋_GB2312"/>
          <w:sz w:val="32"/>
          <w:lang w:val="en-US" w:eastAsia="zh-CN"/>
        </w:rPr>
        <w:t>29.14</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4178.40</w:t>
      </w:r>
      <w:r>
        <w:rPr>
          <w:rFonts w:ascii="仿宋_GB2312" w:eastAsia="仿宋_GB2312"/>
          <w:sz w:val="32"/>
        </w:rPr>
        <w:t>万元，占支出总计的</w:t>
      </w:r>
      <w:r>
        <w:rPr>
          <w:rFonts w:hint="eastAsia" w:ascii="仿宋_GB2312" w:eastAsia="仿宋_GB2312"/>
          <w:sz w:val="32"/>
          <w:lang w:val="en-US" w:eastAsia="zh-CN"/>
        </w:rPr>
        <w:t>95.16</w:t>
      </w:r>
      <w:r>
        <w:rPr>
          <w:rFonts w:ascii="仿宋_GB2312" w:eastAsia="仿宋_GB2312"/>
          <w:sz w:val="32"/>
        </w:rPr>
        <w:t>%。主要包括</w:t>
      </w:r>
      <w:r>
        <w:rPr>
          <w:rFonts w:hint="eastAsia" w:ascii="仿宋_GB2312" w:eastAsia="仿宋_GB2312"/>
          <w:sz w:val="32"/>
          <w:lang w:val="en-US" w:eastAsia="zh-CN"/>
        </w:rPr>
        <w:t>重大公共卫生服务</w:t>
      </w:r>
      <w:r>
        <w:rPr>
          <w:rFonts w:ascii="仿宋_GB2312" w:eastAsia="仿宋_GB2312"/>
          <w:sz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与上年相比，今年支出增加</w:t>
      </w:r>
      <w:r>
        <w:rPr>
          <w:rFonts w:hint="eastAsia" w:ascii="仿宋_GB2312" w:eastAsia="仿宋_GB2312"/>
          <w:sz w:val="32"/>
          <w:lang w:val="en-US" w:eastAsia="zh-CN"/>
        </w:rPr>
        <w:t>939.96</w:t>
      </w:r>
      <w:r>
        <w:rPr>
          <w:rFonts w:ascii="仿宋_GB2312" w:eastAsia="仿宋_GB2312"/>
          <w:sz w:val="32"/>
        </w:rPr>
        <w:t>万元，增长</w:t>
      </w:r>
      <w:r>
        <w:rPr>
          <w:rFonts w:hint="eastAsia" w:ascii="仿宋_GB2312" w:eastAsia="仿宋_GB2312"/>
          <w:sz w:val="32"/>
          <w:lang w:val="en-US" w:eastAsia="zh-CN"/>
        </w:rPr>
        <w:t>27.24</w:t>
      </w:r>
      <w:r>
        <w:rPr>
          <w:rFonts w:ascii="仿宋_GB2312" w:eastAsia="仿宋_GB2312"/>
          <w:sz w:val="32"/>
        </w:rPr>
        <w:t>%，主要原因</w:t>
      </w:r>
      <w:r>
        <w:rPr>
          <w:rFonts w:hint="eastAsia" w:ascii="仿宋_GB2312" w:eastAsia="仿宋_GB2312"/>
          <w:sz w:val="32"/>
          <w:lang w:val="en-US" w:eastAsia="zh-CN"/>
        </w:rPr>
        <w:t>重大公共卫生服务支出增加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2.05</w:t>
      </w:r>
      <w:r>
        <w:rPr>
          <w:rFonts w:ascii="楷体_GB2312" w:eastAsia="楷体_GB2312"/>
          <w:b/>
          <w:sz w:val="32"/>
        </w:rPr>
        <w:t>万元</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主要是</w:t>
      </w:r>
      <w:r>
        <w:rPr>
          <w:rFonts w:hint="eastAsia" w:ascii="仿宋_GB2312" w:eastAsia="仿宋_GB2312"/>
          <w:sz w:val="32"/>
          <w:lang w:val="en-US" w:eastAsia="zh-CN"/>
        </w:rPr>
        <w:t>以前年度</w:t>
      </w:r>
      <w:r>
        <w:rPr>
          <w:rFonts w:ascii="仿宋_GB2312" w:eastAsia="仿宋_GB2312"/>
          <w:sz w:val="32"/>
        </w:rPr>
        <w:t>形成的结余。与上年</w:t>
      </w:r>
      <w:r>
        <w:rPr>
          <w:rFonts w:hint="eastAsia" w:ascii="仿宋_GB2312" w:eastAsia="仿宋_GB2312"/>
          <w:sz w:val="32"/>
          <w:lang w:val="en-US" w:eastAsia="zh-CN"/>
        </w:rPr>
        <w:t>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4390.74</w:t>
      </w:r>
      <w:r>
        <w:rPr>
          <w:rFonts w:ascii="仿宋_GB2312" w:eastAsia="仿宋_GB2312"/>
          <w:sz w:val="32"/>
        </w:rPr>
        <w:t>万元，其中：基本支出</w:t>
      </w:r>
      <w:r>
        <w:rPr>
          <w:rFonts w:hint="eastAsia" w:ascii="仿宋_GB2312" w:eastAsia="仿宋_GB2312"/>
          <w:sz w:val="32"/>
          <w:lang w:val="en-US" w:eastAsia="zh-CN"/>
        </w:rPr>
        <w:t>212.34</w:t>
      </w:r>
      <w:r>
        <w:rPr>
          <w:rFonts w:ascii="仿宋_GB2312" w:eastAsia="仿宋_GB2312"/>
          <w:sz w:val="32"/>
        </w:rPr>
        <w:t>万元，项目支出</w:t>
      </w:r>
      <w:r>
        <w:rPr>
          <w:rFonts w:hint="eastAsia" w:ascii="仿宋_GB2312" w:eastAsia="仿宋_GB2312"/>
          <w:sz w:val="32"/>
          <w:lang w:val="en-US" w:eastAsia="zh-CN"/>
        </w:rPr>
        <w:t>4178.40</w:t>
      </w:r>
      <w:r>
        <w:rPr>
          <w:rFonts w:ascii="仿宋_GB2312" w:eastAsia="仿宋_GB2312"/>
          <w:sz w:val="32"/>
        </w:rPr>
        <w:t>万元。与上年相比，财政拨款支出增加</w:t>
      </w:r>
      <w:r>
        <w:rPr>
          <w:rFonts w:hint="eastAsia" w:ascii="仿宋_GB2312" w:eastAsia="仿宋_GB2312"/>
          <w:sz w:val="32"/>
          <w:lang w:val="en-US" w:eastAsia="zh-CN"/>
        </w:rPr>
        <w:t>939.96</w:t>
      </w:r>
      <w:r>
        <w:rPr>
          <w:rFonts w:ascii="仿宋_GB2312" w:eastAsia="仿宋_GB2312"/>
          <w:sz w:val="32"/>
        </w:rPr>
        <w:t>万元，增长</w:t>
      </w:r>
      <w:r>
        <w:rPr>
          <w:rFonts w:hint="eastAsia" w:ascii="仿宋_GB2312" w:eastAsia="仿宋_GB2312"/>
          <w:sz w:val="32"/>
          <w:lang w:val="en-US" w:eastAsia="zh-CN"/>
        </w:rPr>
        <w:t>27.24</w:t>
      </w:r>
      <w:r>
        <w:rPr>
          <w:rFonts w:ascii="仿宋_GB2312" w:eastAsia="仿宋_GB2312"/>
          <w:sz w:val="32"/>
        </w:rPr>
        <w:t>%，主要原因</w:t>
      </w:r>
      <w:r>
        <w:rPr>
          <w:rFonts w:hint="eastAsia" w:ascii="仿宋_GB2312" w:eastAsia="仿宋_GB2312"/>
          <w:sz w:val="32"/>
          <w:lang w:val="en-US" w:eastAsia="zh-CN"/>
        </w:rPr>
        <w:t>是重大公共卫生服务支出增加</w:t>
      </w:r>
      <w:r>
        <w:rPr>
          <w:rFonts w:ascii="仿宋_GB2312" w:eastAsia="仿宋_GB2312"/>
          <w:sz w:val="32"/>
        </w:rPr>
        <w:t>。</w:t>
      </w:r>
      <w:r>
        <w:rPr>
          <w:rFonts w:ascii="仿宋_GB2312" w:eastAsia="仿宋_GB2312"/>
          <w:sz w:val="32"/>
          <w:highlight w:val="none"/>
        </w:rPr>
        <w:t>与年初预算相比，2021年度财政拨款支出完成年初预算的</w:t>
      </w:r>
      <w:r>
        <w:rPr>
          <w:rFonts w:hint="eastAsia" w:ascii="仿宋_GB2312" w:eastAsia="仿宋_GB2312"/>
          <w:sz w:val="32"/>
          <w:highlight w:val="none"/>
          <w:lang w:val="en-US" w:eastAsia="zh-CN"/>
        </w:rPr>
        <w:t>100</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69.34</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100</w:t>
      </w:r>
      <w:r>
        <w:rPr>
          <w:rFonts w:ascii="仿宋_GB2312" w:eastAsia="仿宋_GB2312"/>
          <w:sz w:val="32"/>
          <w:highlight w:val="none"/>
        </w:rPr>
        <w:t>%。</w:t>
      </w:r>
      <w:r>
        <w:rPr>
          <w:rFonts w:ascii="仿宋_GB2312" w:hAnsi="宋体" w:eastAsia="仿宋_GB2312"/>
          <w:sz w:val="32"/>
          <w:szCs w:val="32"/>
        </w:rPr>
        <w:t>决算数大于年初预算数的原因主要是</w:t>
      </w:r>
      <w:r>
        <w:rPr>
          <w:rFonts w:hint="eastAsia" w:ascii="仿宋_GB2312" w:eastAsia="仿宋_GB2312"/>
          <w:sz w:val="32"/>
          <w:lang w:val="en-US" w:eastAsia="zh-CN"/>
        </w:rPr>
        <w:t>重大公共卫生服务支出增加</w:t>
      </w:r>
      <w:r>
        <w:rPr>
          <w:rFonts w:ascii="仿宋_GB2312" w:hAnsi="宋体" w:eastAsia="仿宋_GB2312"/>
          <w:sz w:val="32"/>
          <w:szCs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4390.74</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237.38</w:t>
      </w:r>
      <w:r>
        <w:rPr>
          <w:rFonts w:ascii="仿宋_GB2312" w:hAnsi="宋体" w:eastAsia="仿宋_GB2312"/>
          <w:sz w:val="32"/>
          <w:szCs w:val="32"/>
        </w:rPr>
        <w:t>万元，占</w:t>
      </w:r>
      <w:r>
        <w:rPr>
          <w:rFonts w:hint="eastAsia" w:ascii="仿宋_GB2312" w:hAnsi="宋体" w:eastAsia="仿宋_GB2312"/>
          <w:sz w:val="32"/>
          <w:szCs w:val="32"/>
          <w:lang w:val="en-US" w:eastAsia="zh-CN"/>
        </w:rPr>
        <w:t>5.41</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20.05万元，占0.46%；</w:t>
      </w:r>
    </w:p>
    <w:p>
      <w:pPr>
        <w:spacing w:line="560" w:lineRule="exact"/>
        <w:rPr>
          <w:rFonts w:hint="default" w:ascii="仿宋_GB2312" w:hAnsi="宋体" w:eastAsia="仿宋_GB2312"/>
          <w:sz w:val="32"/>
          <w:szCs w:val="32"/>
        </w:rPr>
      </w:pPr>
      <w:r>
        <w:rPr>
          <w:rFonts w:hint="eastAsia" w:ascii="仿宋_GB2312" w:hAnsi="宋体" w:eastAsia="仿宋_GB2312"/>
          <w:sz w:val="32"/>
          <w:szCs w:val="32"/>
          <w:lang w:val="en-US" w:eastAsia="zh-CN"/>
        </w:rPr>
        <w:t>卫生健康支出3770.57万元，占85.88%；商业服务业等支出315.80万元，占7.19%；住房保障支出39.29万元，占0.89%；灾害防治及应急管理支出7.67万元，占0.17%</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highlight w:val="yellow"/>
        </w:rPr>
      </w:pPr>
      <w:r>
        <w:rPr>
          <w:rFonts w:ascii="仿宋_GB2312" w:hAnsi="宋体" w:eastAsia="仿宋_GB2312"/>
          <w:sz w:val="32"/>
          <w:szCs w:val="32"/>
          <w:highlight w:val="none"/>
        </w:rPr>
        <w:t>1.一般公共服务支出</w:t>
      </w:r>
      <w:r>
        <w:rPr>
          <w:rFonts w:hint="eastAsia" w:ascii="仿宋_GB2312" w:hAnsi="宋体" w:eastAsia="仿宋_GB2312"/>
          <w:sz w:val="32"/>
          <w:szCs w:val="32"/>
          <w:highlight w:val="none"/>
          <w:lang w:val="en-US" w:eastAsia="zh-CN"/>
        </w:rPr>
        <w:t>237.38</w:t>
      </w:r>
      <w:r>
        <w:rPr>
          <w:rFonts w:ascii="仿宋_GB2312" w:hAnsi="宋体" w:eastAsia="仿宋_GB2312"/>
          <w:sz w:val="32"/>
          <w:szCs w:val="32"/>
          <w:highlight w:val="none"/>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lang w:val="en-US" w:eastAsia="zh-CN"/>
        </w:rPr>
        <w:t>商务</w:t>
      </w:r>
      <w:r>
        <w:rPr>
          <w:rFonts w:ascii="仿宋_GB2312" w:hAnsi="宋体" w:eastAsia="仿宋_GB2312"/>
          <w:sz w:val="32"/>
          <w:szCs w:val="32"/>
        </w:rPr>
        <w:t>事务（款）行政运行（项）</w:t>
      </w:r>
      <w:r>
        <w:rPr>
          <w:rFonts w:hint="eastAsia" w:ascii="仿宋_GB2312" w:hAnsi="宋体" w:eastAsia="仿宋_GB2312"/>
          <w:sz w:val="32"/>
          <w:szCs w:val="32"/>
          <w:lang w:val="en-US" w:eastAsia="zh-CN"/>
        </w:rPr>
        <w:t>143.43</w:t>
      </w:r>
      <w:r>
        <w:rPr>
          <w:rFonts w:ascii="仿宋_GB2312" w:hAnsi="宋体" w:eastAsia="仿宋_GB2312"/>
          <w:sz w:val="32"/>
          <w:szCs w:val="32"/>
        </w:rPr>
        <w:t>万元，主要是</w:t>
      </w:r>
      <w:r>
        <w:rPr>
          <w:rFonts w:hint="eastAsia" w:ascii="仿宋_GB2312" w:hAnsi="宋体" w:eastAsia="仿宋_GB2312"/>
          <w:sz w:val="32"/>
          <w:szCs w:val="32"/>
          <w:lang w:val="en-US" w:eastAsia="zh-CN"/>
        </w:rPr>
        <w:t>工资福利</w:t>
      </w:r>
      <w:r>
        <w:rPr>
          <w:rFonts w:ascii="仿宋_GB2312" w:hAnsi="宋体" w:eastAsia="仿宋_GB2312"/>
          <w:sz w:val="32"/>
          <w:szCs w:val="32"/>
        </w:rPr>
        <w:t>等支出，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88.04</w:t>
      </w:r>
      <w:r>
        <w:rPr>
          <w:rFonts w:ascii="仿宋_GB2312" w:hAnsi="宋体" w:eastAsia="仿宋_GB2312"/>
          <w:sz w:val="32"/>
          <w:szCs w:val="32"/>
          <w:highlight w:val="none"/>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rPr>
        <w:t>按照实际工作需要调整</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rPr>
        <w:t>一般公共服务支出（类）</w:t>
      </w:r>
      <w:r>
        <w:rPr>
          <w:rFonts w:hint="eastAsia" w:ascii="仿宋_GB2312" w:hAnsi="宋体" w:eastAsia="仿宋_GB2312"/>
          <w:sz w:val="32"/>
          <w:szCs w:val="32"/>
          <w:lang w:val="en-US" w:eastAsia="zh-CN"/>
        </w:rPr>
        <w:t>商务</w:t>
      </w:r>
      <w:r>
        <w:rPr>
          <w:rFonts w:ascii="仿宋_GB2312" w:hAnsi="宋体" w:eastAsia="仿宋_GB2312"/>
          <w:sz w:val="32"/>
          <w:szCs w:val="32"/>
        </w:rPr>
        <w:t>事务</w:t>
      </w:r>
      <w:r>
        <w:rPr>
          <w:rFonts w:hint="eastAsia" w:ascii="仿宋_GB2312" w:hAnsi="宋体" w:eastAsia="仿宋_GB2312"/>
          <w:sz w:val="32"/>
          <w:szCs w:val="32"/>
        </w:rPr>
        <w:t>（款）一般行政管理事务（项）</w:t>
      </w:r>
      <w:r>
        <w:rPr>
          <w:rFonts w:hint="eastAsia" w:ascii="仿宋_GB2312" w:hAnsi="宋体" w:eastAsia="仿宋_GB2312"/>
          <w:sz w:val="32"/>
          <w:szCs w:val="32"/>
          <w:lang w:val="en-US" w:eastAsia="zh-CN"/>
        </w:rPr>
        <w:t>7.91万元，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20.82</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rPr>
        <w:t>按照实际工作需要调整</w:t>
      </w:r>
      <w:r>
        <w:rPr>
          <w:rFonts w:ascii="仿宋_GB2312" w:hAnsi="宋体" w:eastAsia="仿宋_GB2312"/>
          <w:sz w:val="32"/>
          <w:szCs w:val="32"/>
        </w:rPr>
        <w:t>。</w:t>
      </w:r>
      <w:r>
        <w:rPr>
          <w:rFonts w:hint="default" w:ascii="仿宋_GB2312" w:hAnsi="宋体" w:eastAsia="仿宋_GB2312"/>
          <w:sz w:val="32"/>
          <w:szCs w:val="32"/>
        </w:rPr>
        <w:t>（</w:t>
      </w:r>
      <w:r>
        <w:rPr>
          <w:rFonts w:hint="eastAsia" w:ascii="仿宋_GB2312" w:hAnsi="宋体" w:eastAsia="仿宋_GB2312"/>
          <w:sz w:val="32"/>
          <w:szCs w:val="32"/>
          <w:lang w:val="en-US" w:eastAsia="zh-CN"/>
        </w:rPr>
        <w:t>3</w:t>
      </w:r>
      <w:r>
        <w:rPr>
          <w:rFonts w:hint="default" w:ascii="仿宋_GB2312" w:hAnsi="宋体" w:eastAsia="仿宋_GB2312"/>
          <w:sz w:val="32"/>
          <w:szCs w:val="32"/>
        </w:rPr>
        <w:t>）一般公共服务支出（类）</w:t>
      </w:r>
      <w:r>
        <w:rPr>
          <w:rFonts w:hint="eastAsia" w:ascii="仿宋_GB2312" w:hAnsi="宋体" w:eastAsia="仿宋_GB2312"/>
          <w:sz w:val="32"/>
          <w:szCs w:val="32"/>
          <w:lang w:val="en-US" w:eastAsia="zh-CN"/>
        </w:rPr>
        <w:t>商务</w:t>
      </w:r>
      <w:r>
        <w:rPr>
          <w:rFonts w:ascii="仿宋_GB2312" w:hAnsi="宋体" w:eastAsia="仿宋_GB2312"/>
          <w:sz w:val="32"/>
          <w:szCs w:val="32"/>
        </w:rPr>
        <w:t>事务</w:t>
      </w:r>
      <w:r>
        <w:rPr>
          <w:rFonts w:hint="default" w:ascii="仿宋_GB2312" w:hAnsi="宋体" w:eastAsia="仿宋_GB2312"/>
          <w:sz w:val="32"/>
          <w:szCs w:val="32"/>
        </w:rPr>
        <w:t>（款）其他商贸事务支出（项）</w:t>
      </w:r>
      <w:r>
        <w:rPr>
          <w:rFonts w:hint="eastAsia" w:ascii="仿宋_GB2312" w:hAnsi="宋体" w:eastAsia="仿宋_GB2312"/>
          <w:sz w:val="32"/>
          <w:szCs w:val="32"/>
          <w:lang w:val="en-US" w:eastAsia="zh-CN"/>
        </w:rPr>
        <w:t>86.04万元，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75.39</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，决算数小于年初预算数的原因主要是按照实际工作需要调整。</w:t>
      </w:r>
    </w:p>
    <w:p>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20.05万元</w:t>
      </w:r>
      <w:r>
        <w:rPr>
          <w:rFonts w:ascii="仿宋_GB2312" w:hAnsi="宋体" w:eastAsia="仿宋_GB2312"/>
          <w:sz w:val="32"/>
          <w:szCs w:val="32"/>
          <w:highlight w:val="none"/>
        </w:rPr>
        <w:t>，具体包括：</w:t>
      </w:r>
    </w:p>
    <w:p>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lang w:val="en-US" w:eastAsia="zh-CN"/>
        </w:rPr>
        <w:t>4.08</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lang w:eastAsia="zh-CN"/>
        </w:rPr>
        <w:t>于年初预算数的原因主要是按照实际工作需要调整。</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15.96万元，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lang w:eastAsia="zh-CN"/>
        </w:rPr>
        <w:t>于年初预算数的原因主要是按照实际工作需要调整。</w:t>
      </w:r>
    </w:p>
    <w:p>
      <w:pPr>
        <w:spacing w:line="560" w:lineRule="exact"/>
        <w:ind w:firstLine="660"/>
        <w:rPr>
          <w:rFonts w:hint="default" w:ascii="仿宋_GB2312" w:hAnsi="宋体" w:eastAsia="仿宋_GB2312"/>
          <w:sz w:val="32"/>
          <w:szCs w:val="32"/>
          <w:highlight w:val="none"/>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0.01万元，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0.14</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，决算数小于年初预算数的原因主要是按照实际工作需要调整。</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3770.57万元</w:t>
      </w:r>
      <w:r>
        <w:rPr>
          <w:rFonts w:ascii="仿宋_GB2312" w:hAnsi="宋体" w:eastAsia="仿宋_GB2312"/>
          <w:sz w:val="32"/>
          <w:szCs w:val="32"/>
          <w:highlight w:val="none"/>
        </w:rPr>
        <w:t>，具体包括：</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公共卫生</w:t>
      </w:r>
      <w:r>
        <w:rPr>
          <w:rFonts w:ascii="仿宋_GB2312" w:hAnsi="宋体" w:eastAsia="仿宋_GB2312"/>
          <w:sz w:val="32"/>
          <w:szCs w:val="32"/>
        </w:rPr>
        <w:t>（款）</w:t>
      </w:r>
      <w:r>
        <w:rPr>
          <w:rFonts w:hint="eastAsia" w:ascii="仿宋_GB2312" w:hAnsi="宋体" w:eastAsia="仿宋_GB2312"/>
          <w:sz w:val="32"/>
          <w:szCs w:val="32"/>
          <w:highlight w:val="none"/>
        </w:rPr>
        <w:t>重大公共卫生服务</w:t>
      </w:r>
      <w:r>
        <w:rPr>
          <w:rFonts w:ascii="仿宋_GB2312" w:hAnsi="宋体" w:eastAsia="仿宋_GB2312"/>
          <w:sz w:val="32"/>
          <w:szCs w:val="32"/>
        </w:rPr>
        <w:t>（项）</w:t>
      </w:r>
      <w:r>
        <w:rPr>
          <w:rFonts w:hint="eastAsia" w:ascii="仿宋_GB2312" w:hAnsi="宋体" w:eastAsia="仿宋_GB2312"/>
          <w:sz w:val="32"/>
          <w:szCs w:val="32"/>
          <w:lang w:val="en-US" w:eastAsia="zh-CN"/>
        </w:rPr>
        <w:t>3760.99</w:t>
      </w:r>
      <w:r>
        <w:rPr>
          <w:rFonts w:ascii="仿宋_GB2312" w:hAnsi="宋体" w:eastAsia="仿宋_GB2312"/>
          <w:sz w:val="32"/>
          <w:szCs w:val="32"/>
        </w:rPr>
        <w:t>万元</w:t>
      </w:r>
      <w:r>
        <w:rPr>
          <w:rFonts w:hint="eastAsia" w:ascii="仿宋_GB2312" w:hAnsi="宋体" w:eastAsia="仿宋_GB2312"/>
          <w:sz w:val="32"/>
          <w:szCs w:val="32"/>
          <w:lang w:eastAsia="zh-CN"/>
        </w:rPr>
        <w:t>，未安排年初预算。</w:t>
      </w:r>
    </w:p>
    <w:p>
      <w:pPr>
        <w:spacing w:line="560" w:lineRule="exact"/>
        <w:ind w:firstLine="660"/>
        <w:rPr>
          <w:rFonts w:hint="eastAsia" w:ascii="仿宋_GB2312" w:hAnsi="宋体" w:eastAsia="仿宋_GB2312"/>
          <w:sz w:val="32"/>
          <w:szCs w:val="32"/>
          <w:highlight w:val="none"/>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ascii="仿宋_GB2312" w:hAnsi="宋体" w:eastAsia="仿宋_GB2312"/>
          <w:sz w:val="32"/>
          <w:szCs w:val="32"/>
        </w:rPr>
        <w:t>（项）</w:t>
      </w:r>
      <w:r>
        <w:rPr>
          <w:rFonts w:hint="eastAsia" w:ascii="仿宋_GB2312" w:hAnsi="宋体" w:eastAsia="仿宋_GB2312"/>
          <w:sz w:val="32"/>
          <w:szCs w:val="32"/>
          <w:lang w:val="en-US" w:eastAsia="zh-CN"/>
        </w:rPr>
        <w:t>8.50</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lang w:eastAsia="zh-CN"/>
        </w:rPr>
        <w:t>于年初预算数的原因主要是按照实际工作需要调整。</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rPr>
        <w:t>公务员医疗补助</w:t>
      </w:r>
      <w:r>
        <w:rPr>
          <w:rFonts w:ascii="仿宋_GB2312" w:hAnsi="宋体" w:eastAsia="仿宋_GB2312"/>
          <w:sz w:val="32"/>
          <w:szCs w:val="32"/>
        </w:rPr>
        <w:t>（项）</w:t>
      </w:r>
      <w:r>
        <w:rPr>
          <w:rFonts w:hint="eastAsia" w:ascii="仿宋_GB2312" w:hAnsi="宋体" w:eastAsia="仿宋_GB2312"/>
          <w:sz w:val="32"/>
          <w:szCs w:val="32"/>
          <w:lang w:val="en-US" w:eastAsia="zh-CN"/>
        </w:rPr>
        <w:t>1.08</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lang w:eastAsia="zh-CN"/>
        </w:rPr>
        <w:t>于年初预算数的原因主要是按照实际工作需要调整。</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highlight w:val="none"/>
        </w:rPr>
        <w:t>商业服务业等支出</w:t>
      </w:r>
      <w:r>
        <w:rPr>
          <w:rFonts w:hint="eastAsia" w:ascii="仿宋_GB2312" w:hAnsi="宋体" w:eastAsia="仿宋_GB2312"/>
          <w:sz w:val="32"/>
          <w:szCs w:val="32"/>
          <w:lang w:val="en-US" w:eastAsia="zh-CN"/>
        </w:rPr>
        <w:t>315.80万元</w:t>
      </w:r>
      <w:r>
        <w:rPr>
          <w:rFonts w:ascii="仿宋_GB2312" w:hAnsi="宋体" w:eastAsia="仿宋_GB2312"/>
          <w:sz w:val="32"/>
          <w:szCs w:val="32"/>
          <w:highlight w:val="none"/>
        </w:rPr>
        <w:t>，具体包括：</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rPr>
        <w:t>商业服务业等支出</w:t>
      </w:r>
      <w:r>
        <w:rPr>
          <w:rFonts w:ascii="仿宋_GB2312" w:hAnsi="宋体" w:eastAsia="仿宋_GB2312"/>
          <w:sz w:val="32"/>
          <w:szCs w:val="32"/>
        </w:rPr>
        <w:t>（类）</w:t>
      </w:r>
      <w:r>
        <w:rPr>
          <w:rFonts w:hint="eastAsia" w:ascii="仿宋_GB2312" w:hAnsi="宋体" w:eastAsia="仿宋_GB2312"/>
          <w:sz w:val="32"/>
          <w:szCs w:val="32"/>
          <w:lang w:val="en-US" w:eastAsia="zh-CN"/>
        </w:rPr>
        <w:t>商业流通事务</w:t>
      </w:r>
      <w:r>
        <w:rPr>
          <w:rFonts w:ascii="仿宋_GB2312" w:hAnsi="宋体" w:eastAsia="仿宋_GB2312"/>
          <w:sz w:val="32"/>
          <w:szCs w:val="32"/>
        </w:rPr>
        <w:t>（款）</w:t>
      </w:r>
      <w:r>
        <w:rPr>
          <w:rFonts w:hint="eastAsia" w:ascii="仿宋_GB2312" w:hAnsi="宋体" w:eastAsia="仿宋_GB2312"/>
          <w:sz w:val="32"/>
          <w:szCs w:val="32"/>
        </w:rPr>
        <w:t>其他商业流通事务支出</w:t>
      </w:r>
      <w:r>
        <w:rPr>
          <w:rFonts w:ascii="仿宋_GB2312" w:hAnsi="宋体" w:eastAsia="仿宋_GB2312"/>
          <w:sz w:val="32"/>
          <w:szCs w:val="32"/>
        </w:rPr>
        <w:t>（项）</w:t>
      </w:r>
      <w:r>
        <w:rPr>
          <w:rFonts w:hint="eastAsia" w:ascii="仿宋_GB2312" w:hAnsi="宋体" w:eastAsia="仿宋_GB2312"/>
          <w:sz w:val="32"/>
          <w:szCs w:val="32"/>
          <w:lang w:val="en-US" w:eastAsia="zh-CN"/>
        </w:rPr>
        <w:t>7.90</w:t>
      </w:r>
      <w:r>
        <w:rPr>
          <w:rFonts w:ascii="仿宋_GB2312" w:hAnsi="宋体" w:eastAsia="仿宋_GB2312"/>
          <w:sz w:val="32"/>
          <w:szCs w:val="32"/>
        </w:rPr>
        <w:t>万元</w:t>
      </w:r>
      <w:r>
        <w:rPr>
          <w:rFonts w:hint="eastAsia" w:ascii="仿宋_GB2312" w:hAnsi="宋体" w:eastAsia="仿宋_GB2312"/>
          <w:sz w:val="32"/>
          <w:szCs w:val="32"/>
          <w:lang w:eastAsia="zh-CN"/>
        </w:rPr>
        <w:t>，未安排年初预算。</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rPr>
        <w:t>商业服务业等支出</w:t>
      </w:r>
      <w:r>
        <w:rPr>
          <w:rFonts w:ascii="仿宋_GB2312" w:hAnsi="宋体" w:eastAsia="仿宋_GB2312"/>
          <w:sz w:val="32"/>
          <w:szCs w:val="32"/>
        </w:rPr>
        <w:t>（类）</w:t>
      </w:r>
      <w:r>
        <w:rPr>
          <w:rFonts w:hint="eastAsia" w:ascii="仿宋_GB2312" w:hAnsi="宋体" w:eastAsia="仿宋_GB2312"/>
          <w:sz w:val="32"/>
          <w:szCs w:val="32"/>
          <w:lang w:val="en-US" w:eastAsia="zh-CN"/>
        </w:rPr>
        <w:t>其他商业服务业等支出</w:t>
      </w:r>
      <w:r>
        <w:rPr>
          <w:rFonts w:ascii="仿宋_GB2312" w:hAnsi="宋体" w:eastAsia="仿宋_GB2312"/>
          <w:sz w:val="32"/>
          <w:szCs w:val="32"/>
        </w:rPr>
        <w:t>（款）</w:t>
      </w:r>
      <w:r>
        <w:rPr>
          <w:rFonts w:hint="eastAsia" w:ascii="仿宋_GB2312" w:hAnsi="宋体" w:eastAsia="仿宋_GB2312"/>
          <w:sz w:val="32"/>
          <w:szCs w:val="32"/>
        </w:rPr>
        <w:t>其他商业服务业等支出</w:t>
      </w:r>
      <w:r>
        <w:rPr>
          <w:rFonts w:ascii="仿宋_GB2312" w:hAnsi="宋体" w:eastAsia="仿宋_GB2312"/>
          <w:sz w:val="32"/>
          <w:szCs w:val="32"/>
        </w:rPr>
        <w:t>（项）</w:t>
      </w:r>
      <w:r>
        <w:rPr>
          <w:rFonts w:hint="eastAsia" w:ascii="仿宋_GB2312" w:hAnsi="宋体" w:eastAsia="仿宋_GB2312"/>
          <w:sz w:val="32"/>
          <w:szCs w:val="32"/>
          <w:lang w:val="en-US" w:eastAsia="zh-CN"/>
        </w:rPr>
        <w:t>307.90</w:t>
      </w:r>
      <w:r>
        <w:rPr>
          <w:rFonts w:ascii="仿宋_GB2312" w:hAnsi="宋体" w:eastAsia="仿宋_GB2312"/>
          <w:sz w:val="32"/>
          <w:szCs w:val="32"/>
        </w:rPr>
        <w:t>万元</w:t>
      </w:r>
      <w:r>
        <w:rPr>
          <w:rFonts w:hint="eastAsia" w:ascii="仿宋_GB2312" w:hAnsi="宋体" w:eastAsia="仿宋_GB2312"/>
          <w:sz w:val="32"/>
          <w:szCs w:val="32"/>
          <w:lang w:eastAsia="zh-CN"/>
        </w:rPr>
        <w:t>，未安排年初预算。</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39.29万元</w:t>
      </w:r>
      <w:r>
        <w:rPr>
          <w:rFonts w:ascii="仿宋_GB2312" w:hAnsi="宋体" w:eastAsia="仿宋_GB2312"/>
          <w:sz w:val="32"/>
          <w:szCs w:val="32"/>
          <w:highlight w:val="none"/>
        </w:rPr>
        <w:t>，具体包括：</w:t>
      </w:r>
    </w:p>
    <w:p>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rPr>
        <w:t>（1）</w:t>
      </w:r>
      <w:r>
        <w:rPr>
          <w:rFonts w:hint="eastAsia" w:ascii="仿宋_GB2312" w:hAnsi="宋体" w:eastAsia="仿宋_GB2312"/>
          <w:sz w:val="32"/>
          <w:szCs w:val="32"/>
        </w:rPr>
        <w:t>住房保障支出</w:t>
      </w:r>
      <w:r>
        <w:rPr>
          <w:rFonts w:ascii="仿宋_GB2312" w:hAnsi="宋体" w:eastAsia="仿宋_GB2312"/>
          <w:sz w:val="32"/>
          <w:szCs w:val="32"/>
        </w:rPr>
        <w:t>（类）</w:t>
      </w:r>
      <w:r>
        <w:rPr>
          <w:rFonts w:hint="eastAsia" w:ascii="仿宋_GB2312" w:hAnsi="宋体" w:eastAsia="仿宋_GB2312"/>
          <w:sz w:val="32"/>
          <w:szCs w:val="32"/>
          <w:lang w:val="en-US" w:eastAsia="zh-CN"/>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39.29</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lang w:eastAsia="zh-CN"/>
        </w:rPr>
        <w:t>于年初预算数的原因主要是按照实际工作需要调整。</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highlight w:val="none"/>
        </w:rPr>
        <w:t>灾害防治及应急管理支出</w:t>
      </w:r>
      <w:r>
        <w:rPr>
          <w:rFonts w:hint="eastAsia" w:ascii="仿宋_GB2312" w:hAnsi="宋体" w:eastAsia="仿宋_GB2312"/>
          <w:sz w:val="32"/>
          <w:szCs w:val="32"/>
          <w:lang w:val="en-US" w:eastAsia="zh-CN"/>
        </w:rPr>
        <w:t>7.67万元</w:t>
      </w:r>
      <w:r>
        <w:rPr>
          <w:rFonts w:ascii="仿宋_GB2312" w:hAnsi="宋体" w:eastAsia="仿宋_GB2312"/>
          <w:sz w:val="32"/>
          <w:szCs w:val="32"/>
          <w:highlight w:val="none"/>
        </w:rPr>
        <w:t>，具体包括：</w:t>
      </w:r>
    </w:p>
    <w:p>
      <w:pPr>
        <w:spacing w:line="560" w:lineRule="exact"/>
        <w:ind w:firstLine="660"/>
        <w:rPr>
          <w:rFonts w:hint="eastAsia" w:ascii="仿宋_GB2312" w:hAnsi="宋体" w:eastAsia="仿宋_GB2312"/>
          <w:sz w:val="32"/>
          <w:szCs w:val="32"/>
          <w:highlight w:val="none"/>
          <w:lang w:val="en-US" w:eastAsia="zh-CN"/>
        </w:rPr>
      </w:pPr>
      <w:r>
        <w:rPr>
          <w:rFonts w:ascii="仿宋_GB2312" w:hAnsi="宋体" w:eastAsia="仿宋_GB2312"/>
          <w:sz w:val="32"/>
          <w:szCs w:val="32"/>
        </w:rPr>
        <w:t>（1）</w:t>
      </w:r>
      <w:r>
        <w:rPr>
          <w:rFonts w:hint="eastAsia" w:ascii="仿宋_GB2312" w:hAnsi="宋体" w:eastAsia="仿宋_GB2312"/>
          <w:sz w:val="32"/>
          <w:szCs w:val="32"/>
        </w:rPr>
        <w:t>灾害防治及应急管理支出</w:t>
      </w:r>
      <w:r>
        <w:rPr>
          <w:rFonts w:ascii="仿宋_GB2312" w:hAnsi="宋体" w:eastAsia="仿宋_GB2312"/>
          <w:sz w:val="32"/>
          <w:szCs w:val="32"/>
        </w:rPr>
        <w:t>（类）</w:t>
      </w:r>
      <w:r>
        <w:rPr>
          <w:rFonts w:hint="eastAsia" w:ascii="仿宋_GB2312" w:hAnsi="宋体" w:eastAsia="仿宋_GB2312"/>
          <w:sz w:val="32"/>
          <w:szCs w:val="32"/>
          <w:lang w:val="en-US" w:eastAsia="zh-CN"/>
        </w:rPr>
        <w:t>应急管理事务</w:t>
      </w:r>
      <w:r>
        <w:rPr>
          <w:rFonts w:ascii="仿宋_GB2312" w:hAnsi="宋体" w:eastAsia="仿宋_GB2312"/>
          <w:sz w:val="32"/>
          <w:szCs w:val="32"/>
        </w:rPr>
        <w:t>（款）</w:t>
      </w:r>
      <w:r>
        <w:rPr>
          <w:rFonts w:hint="eastAsia" w:ascii="仿宋_GB2312" w:hAnsi="宋体" w:eastAsia="仿宋_GB2312"/>
          <w:sz w:val="32"/>
          <w:szCs w:val="32"/>
        </w:rPr>
        <w:t>其他应急管理支出</w:t>
      </w:r>
      <w:r>
        <w:rPr>
          <w:rFonts w:ascii="仿宋_GB2312" w:hAnsi="宋体" w:eastAsia="仿宋_GB2312"/>
          <w:sz w:val="32"/>
          <w:szCs w:val="32"/>
        </w:rPr>
        <w:t>（项）</w:t>
      </w:r>
      <w:r>
        <w:rPr>
          <w:rFonts w:hint="eastAsia" w:ascii="仿宋_GB2312" w:hAnsi="宋体" w:eastAsia="仿宋_GB2312"/>
          <w:sz w:val="32"/>
          <w:szCs w:val="32"/>
          <w:lang w:val="en-US" w:eastAsia="zh-CN"/>
        </w:rPr>
        <w:t>7.67</w:t>
      </w:r>
      <w:r>
        <w:rPr>
          <w:rFonts w:ascii="仿宋_GB2312" w:hAnsi="宋体" w:eastAsia="仿宋_GB2312"/>
          <w:sz w:val="32"/>
          <w:szCs w:val="32"/>
        </w:rPr>
        <w:t>万元</w:t>
      </w:r>
      <w:r>
        <w:rPr>
          <w:rFonts w:hint="eastAsia" w:ascii="仿宋_GB2312" w:hAnsi="宋体" w:eastAsia="仿宋_GB2312"/>
          <w:sz w:val="32"/>
          <w:szCs w:val="32"/>
          <w:lang w:eastAsia="zh-CN"/>
        </w:rPr>
        <w:t>，未安排年初预算。</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本年未发生此项资金。</w:t>
      </w:r>
    </w:p>
    <w:p>
      <w:pPr>
        <w:numPr>
          <w:ilvl w:val="0"/>
          <w:numId w:val="3"/>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212.34</w:t>
      </w:r>
      <w:r>
        <w:rPr>
          <w:rFonts w:ascii="仿宋_GB2312" w:eastAsia="仿宋_GB2312"/>
          <w:sz w:val="32"/>
        </w:rPr>
        <w:t>万元，其中：人员经费</w:t>
      </w:r>
      <w:r>
        <w:rPr>
          <w:rFonts w:hint="eastAsia" w:ascii="仿宋_GB2312" w:eastAsia="仿宋_GB2312"/>
          <w:sz w:val="32"/>
          <w:lang w:val="en-US" w:eastAsia="zh-CN"/>
        </w:rPr>
        <w:t>183.20</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29.14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29.14</w:t>
      </w:r>
      <w:r>
        <w:rPr>
          <w:rFonts w:ascii="仿宋_GB2312" w:eastAsia="仿宋_GB2312"/>
          <w:sz w:val="32"/>
        </w:rPr>
        <w:t>万元，比上年决算数增加</w:t>
      </w:r>
      <w:r>
        <w:rPr>
          <w:rFonts w:hint="eastAsia" w:ascii="仿宋_GB2312" w:eastAsia="仿宋_GB2312"/>
          <w:sz w:val="32"/>
          <w:lang w:val="en-US" w:eastAsia="zh-CN"/>
        </w:rPr>
        <w:t>12.59</w:t>
      </w:r>
      <w:r>
        <w:rPr>
          <w:rFonts w:ascii="仿宋_GB2312" w:eastAsia="仿宋_GB2312"/>
          <w:sz w:val="32"/>
        </w:rPr>
        <w:t>万元，增长</w:t>
      </w:r>
      <w:r>
        <w:rPr>
          <w:rFonts w:hint="eastAsia" w:ascii="仿宋_GB2312" w:eastAsia="仿宋_GB2312"/>
          <w:sz w:val="32"/>
          <w:lang w:val="en-US" w:eastAsia="zh-CN"/>
        </w:rPr>
        <w:t>76.07</w:t>
      </w:r>
      <w:r>
        <w:rPr>
          <w:rFonts w:ascii="仿宋_GB2312" w:eastAsia="仿宋_GB2312"/>
          <w:sz w:val="32"/>
        </w:rPr>
        <w:t>%，主要原因是</w:t>
      </w:r>
      <w:r>
        <w:rPr>
          <w:rFonts w:hint="eastAsia" w:ascii="仿宋_GB2312" w:eastAsia="仿宋_GB2312"/>
          <w:sz w:val="32"/>
          <w:lang w:val="en-US" w:eastAsia="zh-CN"/>
        </w:rPr>
        <w:t>人员增加</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lang w:val="en-US" w:eastAsia="zh-CN"/>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eastAsia" w:ascii="仿宋_GB2312" w:eastAsia="仿宋_GB2312"/>
          <w:sz w:val="32"/>
          <w:lang w:val="en-US" w:eastAsia="zh-CN"/>
        </w:rPr>
      </w:pPr>
      <w:r>
        <w:rPr>
          <w:rFonts w:hint="eastAsia" w:ascii="仿宋_GB2312" w:eastAsia="仿宋_GB2312"/>
          <w:sz w:val="32"/>
          <w:lang w:val="en-US" w:eastAsia="zh-CN"/>
        </w:rPr>
        <w:t>我单位未发生该业务。</w:t>
      </w:r>
    </w:p>
    <w:p>
      <w:pPr>
        <w:widowControl/>
        <w:spacing w:line="560" w:lineRule="exact"/>
        <w:ind w:firstLine="640" w:firstLineChars="200"/>
        <w:rPr>
          <w:rFonts w:hint="default" w:ascii="仿宋_GB2312" w:eastAsia="仿宋_GB2312"/>
          <w:sz w:val="32"/>
          <w:lang w:val="en-US" w:eastAsia="zh-CN"/>
        </w:rPr>
      </w:pPr>
    </w:p>
    <w:p>
      <w:pPr>
        <w:widowControl/>
        <w:spacing w:line="560" w:lineRule="exact"/>
        <w:ind w:firstLine="640" w:firstLineChars="200"/>
        <w:rPr>
          <w:rFonts w:hint="default" w:ascii="仿宋_GB2312" w:eastAsia="仿宋_GB2312"/>
          <w:sz w:val="32"/>
        </w:rPr>
      </w:pPr>
    </w:p>
    <w:p>
      <w:pPr>
        <w:widowControl/>
        <w:spacing w:line="560" w:lineRule="exact"/>
        <w:rPr>
          <w:rFonts w:hint="default" w:ascii="仿宋_GB2312" w:eastAsia="仿宋_GB2312"/>
          <w:sz w:val="32"/>
        </w:rPr>
      </w:pPr>
    </w:p>
    <w:p>
      <w:pPr>
        <w:pStyle w:val="6"/>
        <w:spacing w:line="560" w:lineRule="exact"/>
        <w:rPr>
          <w:rFonts w:hint="default"/>
          <w:b/>
          <w:sz w:val="36"/>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辽宁省沈阳市浑南区商务局</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83DE79"/>
    <w:multiLevelType w:val="singleLevel"/>
    <w:tmpl w:val="AC83DE79"/>
    <w:lvl w:ilvl="0" w:tentative="0">
      <w:start w:val="2"/>
      <w:numFmt w:val="chineseCounting"/>
      <w:suff w:val="nothing"/>
      <w:lvlText w:val="（%1）"/>
      <w:lvlJc w:val="left"/>
      <w:rPr>
        <w:rFonts w:hint="eastAsia"/>
      </w:rPr>
    </w:lvl>
  </w:abstractNum>
  <w:abstractNum w:abstractNumId="1">
    <w:nsid w:val="D09DE125"/>
    <w:multiLevelType w:val="singleLevel"/>
    <w:tmpl w:val="D09DE125"/>
    <w:lvl w:ilvl="0" w:tentative="0">
      <w:start w:val="2"/>
      <w:numFmt w:val="chineseCounting"/>
      <w:suff w:val="nothing"/>
      <w:lvlText w:val="%1、"/>
      <w:lvlJc w:val="left"/>
      <w:rPr>
        <w:rFonts w:hint="eastAsia"/>
      </w:rPr>
    </w:lvl>
  </w:abstractNum>
  <w:abstractNum w:abstractNumId="2">
    <w:nsid w:val="E872EEB0"/>
    <w:multiLevelType w:val="singleLevel"/>
    <w:tmpl w:val="E872EEB0"/>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32078"/>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4DF342D"/>
    <w:rsid w:val="09C4782E"/>
    <w:rsid w:val="0D446898"/>
    <w:rsid w:val="0ECB7368"/>
    <w:rsid w:val="11612EA5"/>
    <w:rsid w:val="127B6786"/>
    <w:rsid w:val="155A10CD"/>
    <w:rsid w:val="1C635C29"/>
    <w:rsid w:val="1CF23A83"/>
    <w:rsid w:val="1F3C4E89"/>
    <w:rsid w:val="29475CCC"/>
    <w:rsid w:val="29F53612"/>
    <w:rsid w:val="2ADB4165"/>
    <w:rsid w:val="2E4F6256"/>
    <w:rsid w:val="306B2FA1"/>
    <w:rsid w:val="320E072E"/>
    <w:rsid w:val="33AF4B9A"/>
    <w:rsid w:val="34CD4ACF"/>
    <w:rsid w:val="35812AC4"/>
    <w:rsid w:val="36230505"/>
    <w:rsid w:val="36341386"/>
    <w:rsid w:val="374E11AC"/>
    <w:rsid w:val="3C3D198A"/>
    <w:rsid w:val="408C7979"/>
    <w:rsid w:val="415D28CB"/>
    <w:rsid w:val="529C40E3"/>
    <w:rsid w:val="54F6469B"/>
    <w:rsid w:val="5B697371"/>
    <w:rsid w:val="5E770264"/>
    <w:rsid w:val="64FF077D"/>
    <w:rsid w:val="673C6F2C"/>
    <w:rsid w:val="69366BE8"/>
    <w:rsid w:val="6B882FFF"/>
    <w:rsid w:val="6FAC65FD"/>
    <w:rsid w:val="707E0F14"/>
    <w:rsid w:val="724179B2"/>
    <w:rsid w:val="78DA7590"/>
    <w:rsid w:val="79E5119E"/>
    <w:rsid w:val="7D024843"/>
    <w:rsid w:val="7E3257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6013</Words>
  <Characters>6491</Characters>
  <Lines>37</Lines>
  <Paragraphs>10</Paragraphs>
  <TotalTime>0</TotalTime>
  <ScaleCrop>false</ScaleCrop>
  <LinksUpToDate>false</LinksUpToDate>
  <CharactersWithSpaces>6521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2023-06-15T02:17:06Z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8DD2D83494BB49C0A4DA840459D013A7_13</vt:lpwstr>
  </property>
</Properties>
</file>