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rPr>
          <w:rFonts w:hint="default" w:ascii="宋体" w:hAnsi="宋体"/>
          <w:b/>
          <w:sz w:val="44"/>
        </w:rPr>
      </w:pPr>
    </w:p>
    <w:p>
      <w:pPr>
        <w:spacing w:line="540" w:lineRule="exact"/>
        <w:rPr>
          <w:rFonts w:hint="default" w:ascii="宋体" w:hAnsi="宋体"/>
          <w:b/>
          <w:sz w:val="44"/>
        </w:rPr>
      </w:pPr>
    </w:p>
    <w:p>
      <w:pPr>
        <w:spacing w:line="540" w:lineRule="exact"/>
        <w:rPr>
          <w:rFonts w:hint="default" w:ascii="宋体" w:hAnsi="宋体"/>
          <w:b/>
          <w:sz w:val="44"/>
        </w:rPr>
      </w:pPr>
    </w:p>
    <w:p>
      <w:pPr>
        <w:spacing w:line="540" w:lineRule="exact"/>
        <w:jc w:val="center"/>
        <w:rPr>
          <w:rFonts w:hint="default" w:ascii="宋体" w:hAnsi="宋体"/>
          <w:b/>
          <w:color w:val="FF0000"/>
          <w:sz w:val="52"/>
          <w:szCs w:val="52"/>
        </w:rPr>
      </w:pPr>
      <w:r>
        <w:rPr>
          <w:rFonts w:ascii="宋体" w:hAnsi="宋体"/>
          <w:b/>
          <w:sz w:val="52"/>
          <w:szCs w:val="52"/>
        </w:rPr>
        <w:t>沈阳市浑南区</w:t>
      </w:r>
      <w:bookmarkStart w:id="0" w:name="_GoBack"/>
      <w:bookmarkEnd w:id="0"/>
      <w:r>
        <w:rPr>
          <w:rFonts w:ascii="宋体" w:hAnsi="宋体"/>
          <w:b/>
          <w:sz w:val="52"/>
          <w:szCs w:val="52"/>
        </w:rPr>
        <w:t>城乡建设事务服务中心2021年度决算说明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沈阳市浑南区城乡建设事务服务中心概况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沈阳市浑南区城乡建设事务服务中心决算情况说明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仿宋_GB2312" w:eastAsia="仿宋_GB2312"/>
          <w:sz w:val="32"/>
        </w:rPr>
      </w:pPr>
      <w:r>
        <w:rPr>
          <w:rFonts w:ascii="黑体" w:eastAsia="黑体"/>
          <w:sz w:val="32"/>
        </w:rPr>
        <w:t>第四部分    沈阳市浑南区城乡建设事务服务中心决算报表</w:t>
      </w: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r>
        <w:rPr>
          <w:b/>
          <w:sz w:val="36"/>
        </w:rPr>
        <w:t>第一部分</w:t>
      </w:r>
      <w:r>
        <w:rPr>
          <w:rFonts w:ascii="黑体" w:eastAsia="黑体"/>
          <w:sz w:val="32"/>
        </w:rPr>
        <w:t>沈阳市浑南区城乡建设事务服务中心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default" w:ascii="仿宋_GB2312" w:hAnsi="华文中宋" w:eastAsia="仿宋_GB2312"/>
          <w:sz w:val="32"/>
          <w:szCs w:val="32"/>
        </w:rPr>
      </w:pPr>
      <w:r>
        <w:rPr>
          <w:rFonts w:ascii="仿宋_GB2312" w:hAnsi="华文中宋" w:eastAsia="仿宋_GB2312"/>
          <w:sz w:val="32"/>
          <w:szCs w:val="32"/>
        </w:rPr>
        <w:t>根据《中共浑南区委办公室关于印发〈浑南区公益性事业单位优化整合方案〉的通知》（沈浑南委办发〔2018〕34号）要求，设立沈阳市浑南区城乡建设事务服务中心，机构规格相当于正处级，为区政府直属事业单位。</w:t>
      </w:r>
    </w:p>
    <w:p>
      <w:pPr>
        <w:ind w:firstLine="590" w:firstLineChars="196"/>
        <w:rPr>
          <w:rFonts w:hint="default" w:ascii="黑体" w:hAnsi="华文中宋" w:eastAsia="黑体"/>
          <w:b/>
          <w:sz w:val="36"/>
          <w:szCs w:val="36"/>
        </w:rPr>
      </w:pPr>
      <w:r>
        <w:rPr>
          <w:rFonts w:ascii="黑体" w:hAnsi="华文中宋" w:eastAsia="黑体"/>
          <w:b/>
          <w:sz w:val="30"/>
          <w:szCs w:val="30"/>
        </w:rPr>
        <w:t>浑南区城乡建设事务服务中心主要职责</w:t>
      </w:r>
      <w:r>
        <w:rPr>
          <w:rFonts w:ascii="黑体" w:hAnsi="华文中宋" w:eastAsia="黑体"/>
          <w:b/>
          <w:sz w:val="36"/>
          <w:szCs w:val="36"/>
        </w:rPr>
        <w:t>：</w:t>
      </w:r>
    </w:p>
    <w:p>
      <w:pPr>
        <w:numPr>
          <w:ilvl w:val="0"/>
          <w:numId w:val="1"/>
        </w:numPr>
        <w:ind w:firstLine="640" w:firstLineChars="200"/>
        <w:rPr>
          <w:rFonts w:hint="default" w:ascii="仿宋_GB2312" w:hAnsi="华文中宋" w:eastAsia="仿宋_GB2312"/>
          <w:sz w:val="32"/>
          <w:szCs w:val="32"/>
        </w:rPr>
      </w:pPr>
      <w:r>
        <w:rPr>
          <w:rFonts w:ascii="仿宋_GB2312" w:hAnsi="华文中宋" w:eastAsia="仿宋_GB2312"/>
          <w:sz w:val="32"/>
          <w:szCs w:val="32"/>
        </w:rPr>
        <w:t>负责全区财政投资的新建公共建筑项目工程管理等工作；负责区属国有企业投资的建筑项目的代建管理工作。</w:t>
      </w:r>
    </w:p>
    <w:p>
      <w:pPr>
        <w:numPr>
          <w:ilvl w:val="0"/>
          <w:numId w:val="1"/>
        </w:numPr>
        <w:ind w:firstLine="640" w:firstLineChars="200"/>
        <w:rPr>
          <w:rFonts w:hint="default" w:ascii="仿宋_GB2312" w:hAnsi="华文中宋" w:eastAsia="仿宋_GB2312"/>
          <w:sz w:val="32"/>
          <w:szCs w:val="32"/>
        </w:rPr>
      </w:pPr>
      <w:r>
        <w:rPr>
          <w:rFonts w:ascii="仿宋_GB2312" w:eastAsia="仿宋_GB2312"/>
          <w:sz w:val="32"/>
          <w:szCs w:val="32"/>
        </w:rPr>
        <w:t>负责村镇建设综合统计；负责村镇建设行业政策、规章制度和技术标准等情况调研、专题研究工作；协调农村人居环境整治；指导传统村落的申报和保护工作</w:t>
      </w:r>
      <w:r>
        <w:rPr>
          <w:rFonts w:ascii="仿宋_GB2312" w:hAnsi="华文中宋" w:eastAsia="仿宋_GB2312"/>
          <w:sz w:val="32"/>
          <w:szCs w:val="32"/>
        </w:rPr>
        <w:t>。</w:t>
      </w:r>
    </w:p>
    <w:p>
      <w:pPr>
        <w:ind w:firstLine="640" w:firstLineChars="200"/>
        <w:rPr>
          <w:rFonts w:hint="default" w:ascii="仿宋_GB2312" w:eastAsia="仿宋_GB2312"/>
          <w:sz w:val="32"/>
          <w:szCs w:val="32"/>
        </w:rPr>
      </w:pPr>
      <w:r>
        <w:rPr>
          <w:rFonts w:ascii="仿宋_GB2312" w:hAnsi="华文中宋" w:eastAsia="仿宋_GB2312"/>
          <w:sz w:val="32"/>
          <w:szCs w:val="32"/>
        </w:rPr>
        <w:t>（三）负责督促区内有轨交通企业贯彻落实国家关于安全生产的法律法规、标准和规定及省、市、区有关要求；负责参加有轨交通有关事故的应急救援和调查处理，按照职责分工对事故发生单位落实防范和整改措施的情况进行监督检查。</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四）负责老旧住宅小区的改造工作；在行业主管及规划部门的直接领导下完成锅炉拆除及联网工作，督促推进供热计量；负责物业专项维修资金的政策宣传、解答及业务指导；负责全区物业管理工作并提供相关服务和保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（五）负责全区市政设施维护养护、交通设施日常维护管理、电力设施配套服务保障等工作。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（六）负责区内建筑与市政工程安全监督和质量监督等服务工作。</w:t>
      </w:r>
    </w:p>
    <w:p>
      <w:pPr>
        <w:ind w:firstLine="640" w:firstLineChars="200"/>
        <w:rPr>
          <w:rFonts w:hint="default" w:ascii="仿宋_GB2312" w:hAnsi="华文中宋" w:eastAsia="仿宋_GB2312"/>
          <w:sz w:val="32"/>
          <w:szCs w:val="32"/>
        </w:rPr>
      </w:pPr>
      <w:r>
        <w:rPr>
          <w:rFonts w:ascii="仿宋_GB2312" w:hAnsi="华文中宋" w:eastAsia="仿宋_GB2312"/>
          <w:sz w:val="32"/>
          <w:szCs w:val="32"/>
        </w:rPr>
        <w:t>（七）承担区委、区政府交办的其他事项。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b/>
          <w:sz w:val="36"/>
        </w:rPr>
      </w:pPr>
      <w:r>
        <w:rPr>
          <w:rFonts w:ascii="仿宋_GB2312" w:hAnsi="仿宋_GB2312" w:eastAsia="仿宋_GB2312" w:cs="仿宋_GB2312"/>
          <w:b w:val="0"/>
          <w:bCs/>
          <w:sz w:val="32"/>
          <w:szCs w:val="32"/>
        </w:rPr>
        <w:t>纳入本部门2021年部门决算编制范围的是浑南区</w:t>
      </w:r>
      <w:r>
        <w:rPr>
          <w:rFonts w:hint="eastAsia" w:ascii="仿宋_GB2312" w:hAnsi="仿宋_GB2312" w:eastAsia="仿宋_GB2312" w:cs="仿宋_GB2312"/>
          <w:b w:val="0"/>
          <w:bCs/>
          <w:sz w:val="32"/>
          <w:szCs w:val="32"/>
          <w:lang w:eastAsia="zh-CN"/>
        </w:rPr>
        <w:t>城乡建设事务服务中心</w:t>
      </w:r>
      <w:r>
        <w:rPr>
          <w:rFonts w:ascii="仿宋_GB2312" w:hAnsi="仿宋_GB2312" w:eastAsia="仿宋_GB2312" w:cs="仿宋_GB2312"/>
          <w:b w:val="0"/>
          <w:bCs/>
          <w:sz w:val="32"/>
          <w:szCs w:val="32"/>
        </w:rPr>
        <w:t>本级，本单位无下设机构</w:t>
      </w:r>
      <w:r>
        <w:rPr>
          <w:rFonts w:hint="eastAsia" w:ascii="仿宋_GB2312" w:hAnsi="仿宋_GB2312" w:eastAsia="仿宋_GB2312" w:cs="仿宋_GB2312"/>
          <w:b w:val="0"/>
          <w:bCs/>
          <w:sz w:val="32"/>
          <w:szCs w:val="32"/>
          <w:lang w:eastAsia="zh-CN"/>
        </w:rPr>
        <w:t>。</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w:t>
      </w:r>
      <w:r>
        <w:rPr>
          <w:rFonts w:ascii="黑体" w:eastAsia="黑体"/>
          <w:sz w:val="32"/>
        </w:rPr>
        <w:t>沈阳市浑南区城乡建设事务服务中心</w:t>
      </w:r>
      <w:r>
        <w:rPr>
          <w:b/>
          <w:sz w:val="36"/>
        </w:rPr>
        <w:t>2021年  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（一）收入总计6738.83万元，包括：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1.财政拨款收入6605.39万元，占收入总计的98%。其中：一般公共预算财政拨款收入5946.99万元，政府性基金收入658.40万元，国有资本经营预算财政拨款收入0万元。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.其他收入121万元，占收入总计的1.8%。主要是其他</w:t>
      </w:r>
      <w:r>
        <w:rPr>
          <w:rFonts w:ascii="仿宋_GB2312" w:eastAsia="仿宋_GB2312"/>
          <w:color w:val="000000" w:themeColor="text1"/>
          <w:sz w:val="32"/>
          <w14:textFill>
            <w14:solidFill>
              <w14:schemeClr w14:val="tx1"/>
            </w14:solidFill>
          </w14:textFill>
        </w:rPr>
        <w:t>城乡社区管理事物</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.上年结转和结余12.43万元，占收入总计的0.18%。主要是上年待付工程款等。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与上年相比，今年收入减少1542.3万元，降低15.42%，主要原因：</w:t>
      </w:r>
      <w:r>
        <w:rPr>
          <w:rFonts w:ascii="黑体" w:eastAsia="黑体"/>
          <w:sz w:val="32"/>
        </w:rPr>
        <w:t>一是</w:t>
      </w:r>
      <w:r>
        <w:rPr>
          <w:rFonts w:ascii="仿宋_GB2312" w:eastAsia="仿宋_GB2312"/>
          <w:sz w:val="32"/>
        </w:rPr>
        <w:t>老旧小区改造项目减少；</w:t>
      </w:r>
      <w:r>
        <w:rPr>
          <w:rFonts w:ascii="黑体" w:eastAsia="黑体"/>
          <w:sz w:val="32"/>
        </w:rPr>
        <w:t>二是</w:t>
      </w:r>
      <w:r>
        <w:rPr>
          <w:rFonts w:ascii="仿宋_GB2312" w:eastAsia="仿宋_GB2312"/>
          <w:sz w:val="32"/>
        </w:rPr>
        <w:t>美丽乡村建设项目减少，相应拨款减少。</w:t>
      </w:r>
    </w:p>
    <w:p>
      <w:pPr>
        <w:pStyle w:val="6"/>
        <w:spacing w:line="560" w:lineRule="exact"/>
        <w:ind w:firstLine="660"/>
        <w:rPr>
          <w:rFonts w:hint="default" w:ascii="楷体_GB2312" w:eastAsia="楷体_GB2312"/>
          <w:b/>
          <w:sz w:val="32"/>
        </w:rPr>
      </w:pPr>
      <w:r>
        <w:rPr>
          <w:rFonts w:ascii="楷体_GB2312" w:eastAsia="楷体_GB2312"/>
          <w:b/>
          <w:sz w:val="32"/>
        </w:rPr>
        <w:t>（二）支出总计6605.39万元，包括：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1644.62万元，占支出总计的25%。主要是为保障机构正常运转、完成日常工作任务而发生的各项支出，其中：工资福利支出1452.33万元，对个人和家庭的补助支出84.83万元，商品和服务支出101.87万元，资本性支出5.59万元。</w:t>
      </w:r>
    </w:p>
    <w:p>
      <w:pPr>
        <w:pStyle w:val="6"/>
        <w:spacing w:line="560" w:lineRule="exact"/>
        <w:ind w:firstLine="660"/>
        <w:rPr>
          <w:rFonts w:hint="default" w:ascii="仿宋_GB2312" w:eastAsia="仿宋_GB2312"/>
          <w:sz w:val="32"/>
        </w:rPr>
      </w:pPr>
      <w:r>
        <w:rPr>
          <w:rFonts w:ascii="仿宋_GB2312" w:eastAsia="仿宋_GB2312"/>
          <w:sz w:val="32"/>
        </w:rPr>
        <w:t>2.项目支出4960.78万元，占支出总计的75%。主要包括城乡社区支出、城乡社区管理事务、其他城乡社区公共设施等业务支出。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与上年相比，今年支出减少1676.74万元，降低16.8%，主要原因：</w:t>
      </w:r>
      <w:r>
        <w:rPr>
          <w:rFonts w:ascii="黑体" w:eastAsia="黑体"/>
          <w:sz w:val="32"/>
        </w:rPr>
        <w:t>一是</w:t>
      </w:r>
      <w:r>
        <w:rPr>
          <w:rFonts w:ascii="仿宋_GB2312" w:eastAsia="仿宋_GB2312"/>
          <w:sz w:val="32"/>
        </w:rPr>
        <w:t>老旧小区改造项目减少；</w:t>
      </w:r>
      <w:r>
        <w:rPr>
          <w:rFonts w:ascii="黑体" w:eastAsia="黑体"/>
          <w:sz w:val="32"/>
        </w:rPr>
        <w:t>二是</w:t>
      </w:r>
      <w:r>
        <w:rPr>
          <w:rFonts w:ascii="仿宋_GB2312" w:eastAsia="仿宋_GB2312"/>
          <w:sz w:val="32"/>
        </w:rPr>
        <w:t>美丽乡村建设项目减少，相应支出减少。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（三）年末结转和结余133.43万元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主要是城乡社区管理事务形成的结余。与上年相比，今年结转结余增加133.43万元，增长1.17%，主要原因：城乡社区管理事务形成的结余。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2021年度财政拨款支出6605.39万元，其中：基本支出1644.62万元，项目支出4960.78万元。与上年相比，财政拨款支出减少1676.73万元，降低17%，主要原因：</w:t>
      </w:r>
      <w:r>
        <w:rPr>
          <w:rFonts w:ascii="黑体" w:eastAsia="黑体"/>
          <w:sz w:val="32"/>
        </w:rPr>
        <w:t>一是</w:t>
      </w:r>
      <w:r>
        <w:rPr>
          <w:rFonts w:ascii="仿宋_GB2312" w:eastAsia="仿宋_GB2312"/>
          <w:sz w:val="32"/>
        </w:rPr>
        <w:t>老旧小区改造项目减少；</w:t>
      </w:r>
      <w:r>
        <w:rPr>
          <w:rFonts w:ascii="黑体" w:eastAsia="黑体"/>
          <w:sz w:val="32"/>
        </w:rPr>
        <w:t>二是</w:t>
      </w:r>
      <w:r>
        <w:rPr>
          <w:rFonts w:ascii="仿宋_GB2312" w:eastAsia="仿宋_GB2312"/>
          <w:sz w:val="32"/>
        </w:rPr>
        <w:t>美丽乡村建设项目减少，相应支出减少。与年初预算相比，2021年度财政拨款支出完成年初预算的252.8%，其中：基本支出完成年初预算的62.94%，项目支出完成年初预算的189.86%。</w:t>
      </w:r>
    </w:p>
    <w:p>
      <w:pPr>
        <w:spacing w:line="560" w:lineRule="exact"/>
        <w:ind w:firstLine="660"/>
        <w:rPr>
          <w:rFonts w:hint="default" w:ascii="楷体_GB2312" w:hAnsi="宋体" w:eastAsia="楷体_GB2312"/>
          <w:b/>
          <w:sz w:val="32"/>
          <w:szCs w:val="32"/>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6605.39万元，按支出功能分类科目分，包括：社会保障和就业支出227.05万元，占3.44%；卫生健康支出87.75万元，占1.33%；城乡社区支出4484.68万元，占67.896%；住房保障支出1750.79万元，占26.5%；灾害防治及应急管理支出55.12万元，占0.834%；。</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1.社会保障和就业支出227.05万元，具体包括：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（1）事业单位离退休36.16万元，主要是退休人员采暖补助及书报费支出，完成年初预算的100%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（2）机关事业单位基本养老保险缴费137.34万元，主要是养老保险缴纳等支出，完成年初预算的100%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（3）机关事业单位职业年金缴纳14.38万元，主要是职业年金等支出，完成年初预算的100%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（4）抚恤金支出39.17万元，完成年初预算的100%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2.卫生健康支出87.74万元，包括：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（1）事业单位医疗73.14万元，主要是事业单位医疗支出，完成年初预算的100%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（2）其他行政事业单位医疗支出14.6万元，主要单位在职和退休人员的医疗补助，完成年初预算的100%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3.城乡社区支出4484.69万元，具体包括：</w:t>
      </w:r>
    </w:p>
    <w:p>
      <w:pPr>
        <w:spacing w:line="540" w:lineRule="exact"/>
        <w:ind w:firstLine="960" w:firstLineChars="300"/>
        <w:rPr>
          <w:rFonts w:hint="default" w:ascii="仿宋_GB2312" w:hAnsi="仿宋_GB2312" w:eastAsia="仿宋_GB2312" w:cs="仿宋_GB2312"/>
          <w:sz w:val="32"/>
          <w:szCs w:val="32"/>
        </w:rPr>
      </w:pPr>
      <w:r>
        <w:rPr>
          <w:rFonts w:ascii="仿宋_GB2312" w:hAnsi="宋体" w:eastAsia="仿宋_GB2312"/>
          <w:sz w:val="32"/>
          <w:szCs w:val="32"/>
        </w:rPr>
        <w:t>城乡社区管理事务支出4484.69万元，主要是基本工资、办公费、年金、伙食费、其他城乡公共设施、国有土地使用权出让收入安排的支出、工程项目等支出，完成年初预算的97%</w:t>
      </w:r>
      <w:r>
        <w:rPr>
          <w:rFonts w:hint="eastAsia" w:ascii="仿宋_GB2312" w:hAnsi="宋体" w:eastAsia="仿宋_GB2312"/>
          <w:sz w:val="32"/>
          <w:szCs w:val="32"/>
          <w:lang w:eastAsia="zh-CN"/>
        </w:rPr>
        <w:t>，决算数小于年初预算数的原因是按照实际执行</w:t>
      </w:r>
      <w:r>
        <w:rPr>
          <w:rFonts w:ascii="仿宋_GB2312" w:hAnsi="仿宋_GB2312" w:eastAsia="仿宋_GB2312" w:cs="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 灾害防治及应急管理支出55.12万元，具体包括：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安全监督支出55.12元。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5.住房保障支出1750.79万元，具体包括：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住房公积金250.43万元，购房补贴支出10.04万元，老旧小区改造1490.32万元，完成年初预算的100%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left="660"/>
        <w:outlineLvl w:val="2"/>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2021年度政府性基金预算财政拨款支出658.4万元，按支出功能分类科目分，包括：城乡社区支出658.4万元。</w:t>
      </w:r>
    </w:p>
    <w:p>
      <w:pPr>
        <w:numPr>
          <w:ilvl w:val="0"/>
          <w:numId w:val="2"/>
        </w:numPr>
        <w:spacing w:line="560" w:lineRule="exact"/>
        <w:ind w:firstLine="660"/>
        <w:rPr>
          <w:rFonts w:ascii="仿宋_GB2312" w:hAnsi="宋体" w:eastAsia="仿宋_GB2312"/>
          <w:sz w:val="32"/>
          <w:szCs w:val="32"/>
        </w:rPr>
      </w:pPr>
      <w:r>
        <w:rPr>
          <w:rFonts w:ascii="仿宋_GB2312" w:hAnsi="宋体" w:eastAsia="仿宋_GB2312"/>
          <w:sz w:val="32"/>
          <w:szCs w:val="32"/>
        </w:rPr>
        <w:t>城乡社区支出（类）国有土地使用权出让收入安排的支出（款）土地开发支出（项）622万元，主要因为是弃管小区电力公共配套设施改造支出，完成年初预算的100%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numPr>
          <w:ilvl w:val="0"/>
          <w:numId w:val="2"/>
        </w:numPr>
        <w:spacing w:line="560" w:lineRule="exact"/>
        <w:ind w:firstLine="660"/>
        <w:rPr>
          <w:rFonts w:hint="default" w:ascii="仿宋_GB2312" w:hAnsi="宋体" w:eastAsia="仿宋_GB2312"/>
          <w:sz w:val="32"/>
          <w:szCs w:val="32"/>
        </w:rPr>
      </w:pPr>
      <w:r>
        <w:rPr>
          <w:rFonts w:ascii="仿宋_GB2312" w:hAnsi="宋体" w:eastAsia="仿宋_GB2312"/>
          <w:sz w:val="32"/>
          <w:szCs w:val="32"/>
        </w:rPr>
        <w:t>城乡社区支出（类）国有土地使用权出让收入安排的支出（款）城市建设支出（项）36.4万元，主要因为是嘉华新城小区维修支出，完成年初预算的100%</w:t>
      </w:r>
      <w:r>
        <w:rPr>
          <w:rFonts w:hint="eastAsia" w:ascii="仿宋_GB2312" w:hAnsi="宋体" w:eastAsia="仿宋_GB2312"/>
          <w:sz w:val="32"/>
          <w:szCs w:val="32"/>
          <w:lang w:eastAsia="zh-CN"/>
        </w:rPr>
        <w:t>，决算数等于年初预算数的原因是完全按照预算执行</w:t>
      </w:r>
      <w:r>
        <w:rPr>
          <w:rFonts w:ascii="仿宋_GB2312" w:hAnsi="宋体" w:eastAsia="仿宋_GB2312"/>
          <w:sz w:val="32"/>
          <w:szCs w:val="32"/>
        </w:rPr>
        <w:t>。</w:t>
      </w:r>
    </w:p>
    <w:p>
      <w:pPr>
        <w:spacing w:line="540" w:lineRule="exact"/>
        <w:ind w:left="660"/>
        <w:outlineLvl w:val="2"/>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40" w:lineRule="exact"/>
        <w:ind w:left="66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eastAsia" w:ascii="仿宋_GB2312" w:eastAsia="仿宋_GB2312"/>
          <w:sz w:val="32"/>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1644.62元，其中：人员经费1537.16万元，主要包括基本工资、津贴补贴、奖金、其他社会保障缴费、机关事业单位基本养老保险缴费、其他工资福利支出、离休费、退休费、抚恤金、生活补助、奖励金、住房公积金、采暖补贴、其他对个人和家庭补助的支出；日常公用经费107.45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2021年机关运行经费支出0万元，与上年持平，主要原因是城乡建设事务服务中心单位属于事业单位，无机关运行经费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截至2021年12月31日，共有车辆0辆，其中：副省级以上领导干部用车0辆，主要领导干部用车0辆，机要通讯用车0辆，应急保障用车0辆，执法执勤用车0辆，特种专业技术用车0辆，离退休干部用车0辆，其他用车0辆。</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60" w:lineRule="exact"/>
        <w:ind w:firstLine="640" w:firstLineChars="200"/>
        <w:rPr>
          <w:rFonts w:hint="default"/>
          <w:b/>
          <w:sz w:val="36"/>
        </w:rPr>
      </w:pPr>
      <w:r>
        <w:rPr>
          <w:rFonts w:ascii="仿宋_GB2312" w:eastAsia="仿宋_GB2312"/>
          <w:sz w:val="32"/>
        </w:rPr>
        <w:t>2021年不涉及民生项目和重点支出项目</w:t>
      </w:r>
    </w:p>
    <w:p>
      <w:pPr>
        <w:pStyle w:val="6"/>
        <w:spacing w:line="560" w:lineRule="exact"/>
        <w:rPr>
          <w:rFonts w:hint="default"/>
          <w:b/>
          <w:sz w:val="36"/>
        </w:rPr>
      </w:pPr>
    </w:p>
    <w:p>
      <w:pPr>
        <w:pStyle w:val="9"/>
        <w:autoSpaceDN w:val="0"/>
        <w:spacing w:line="560" w:lineRule="exact"/>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758" w:bottom="1440" w:left="1758" w:header="851" w:footer="992" w:gutter="0"/>
          <w:cols w:space="720" w:num="1"/>
          <w:docGrid w:type="lines" w:linePitch="312" w:charSpace="0"/>
        </w:sectPr>
      </w:pPr>
    </w:p>
    <w:p>
      <w:pPr>
        <w:rPr>
          <w:rFonts w:hint="eastAsia" w:ascii="宋体" w:hAnsi="宋体"/>
          <w:b/>
          <w:sz w:val="52"/>
          <w:szCs w:val="52"/>
        </w:rPr>
      </w:pPr>
    </w:p>
    <w:p>
      <w:pPr>
        <w:rPr>
          <w:rFonts w:hint="eastAsia" w:ascii="宋体" w:hAnsi="宋体"/>
          <w:b/>
          <w:sz w:val="52"/>
          <w:szCs w:val="52"/>
        </w:rPr>
      </w:pPr>
    </w:p>
    <w:p>
      <w:pPr>
        <w:rPr>
          <w:rFonts w:hint="eastAsia" w:ascii="宋体" w:hAnsi="宋体"/>
          <w:b/>
          <w:sz w:val="52"/>
          <w:szCs w:val="52"/>
        </w:rPr>
      </w:pPr>
    </w:p>
    <w:p>
      <w:pPr>
        <w:rPr>
          <w:rFonts w:hint="eastAsia" w:ascii="宋体" w:hAnsi="宋体"/>
          <w:b/>
          <w:sz w:val="52"/>
          <w:szCs w:val="52"/>
        </w:rPr>
      </w:pPr>
    </w:p>
    <w:p>
      <w:pPr>
        <w:ind w:left="2610" w:hanging="2610" w:hangingChars="500"/>
        <w:jc w:val="left"/>
        <w:rPr>
          <w:rFonts w:hint="default" w:ascii="仿宋_GB2312" w:hAnsi="宋体" w:eastAsia="仿宋_GB2312"/>
          <w:kern w:val="0"/>
          <w:sz w:val="32"/>
        </w:rPr>
      </w:pPr>
      <w:r>
        <w:rPr>
          <w:rFonts w:hint="eastAsia" w:ascii="宋体" w:hAnsi="宋体"/>
          <w:b/>
          <w:sz w:val="52"/>
          <w:szCs w:val="52"/>
        </w:rPr>
        <w:t xml:space="preserve">第四部分 </w:t>
      </w:r>
      <w:r>
        <w:rPr>
          <w:rFonts w:ascii="宋体" w:hAnsi="宋体"/>
          <w:b/>
          <w:sz w:val="52"/>
          <w:szCs w:val="52"/>
        </w:rPr>
        <w:t>沈阳市浑南区城乡建设事务服务中心</w:t>
      </w:r>
      <w:r>
        <w:rPr>
          <w:rFonts w:hint="eastAsia" w:ascii="宋体" w:hAnsi="宋体"/>
          <w:b/>
          <w:sz w:val="52"/>
          <w:szCs w:val="52"/>
        </w:rPr>
        <w:t>202</w:t>
      </w:r>
      <w:r>
        <w:rPr>
          <w:rFonts w:hint="eastAsia" w:ascii="宋体" w:hAnsi="宋体"/>
          <w:b/>
          <w:sz w:val="52"/>
          <w:szCs w:val="52"/>
          <w:lang w:val="en-US" w:eastAsia="zh-CN"/>
        </w:rPr>
        <w:t>1</w:t>
      </w:r>
      <w:r>
        <w:rPr>
          <w:rFonts w:hint="eastAsia" w:ascii="宋体" w:hAnsi="宋体"/>
          <w:b/>
          <w:sz w:val="52"/>
          <w:szCs w:val="52"/>
        </w:rPr>
        <w:t>年度决算表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3FFA0"/>
    <w:multiLevelType w:val="singleLevel"/>
    <w:tmpl w:val="AF73FFA0"/>
    <w:lvl w:ilvl="0" w:tentative="0">
      <w:start w:val="1"/>
      <w:numFmt w:val="chineseCounting"/>
      <w:suff w:val="nothing"/>
      <w:lvlText w:val="（%1）"/>
      <w:lvlJc w:val="left"/>
      <w:rPr>
        <w:rFonts w:hint="eastAsia"/>
      </w:rPr>
    </w:lvl>
  </w:abstractNum>
  <w:abstractNum w:abstractNumId="1">
    <w:nsid w:val="7F340C11"/>
    <w:multiLevelType w:val="singleLevel"/>
    <w:tmpl w:val="7F340C1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00D37"/>
    <w:rsid w:val="00060165"/>
    <w:rsid w:val="000B596F"/>
    <w:rsid w:val="00100607"/>
    <w:rsid w:val="00156090"/>
    <w:rsid w:val="001A45CA"/>
    <w:rsid w:val="001B38C0"/>
    <w:rsid w:val="001D0B4A"/>
    <w:rsid w:val="0021258C"/>
    <w:rsid w:val="00320394"/>
    <w:rsid w:val="00342E31"/>
    <w:rsid w:val="00357955"/>
    <w:rsid w:val="0038444A"/>
    <w:rsid w:val="00387684"/>
    <w:rsid w:val="00403C48"/>
    <w:rsid w:val="00421741"/>
    <w:rsid w:val="0044142C"/>
    <w:rsid w:val="00485722"/>
    <w:rsid w:val="004B13B9"/>
    <w:rsid w:val="00505889"/>
    <w:rsid w:val="0051589D"/>
    <w:rsid w:val="005812D3"/>
    <w:rsid w:val="005814A4"/>
    <w:rsid w:val="00585802"/>
    <w:rsid w:val="00590A8D"/>
    <w:rsid w:val="005C4DCE"/>
    <w:rsid w:val="006020E9"/>
    <w:rsid w:val="006036D2"/>
    <w:rsid w:val="006918C0"/>
    <w:rsid w:val="006A448C"/>
    <w:rsid w:val="006D0771"/>
    <w:rsid w:val="00753B9D"/>
    <w:rsid w:val="00756329"/>
    <w:rsid w:val="007C3DE4"/>
    <w:rsid w:val="007F77B9"/>
    <w:rsid w:val="008040A1"/>
    <w:rsid w:val="00827FB9"/>
    <w:rsid w:val="00954778"/>
    <w:rsid w:val="00A115B4"/>
    <w:rsid w:val="00A12562"/>
    <w:rsid w:val="00A17144"/>
    <w:rsid w:val="00A5357A"/>
    <w:rsid w:val="00A57A14"/>
    <w:rsid w:val="00AD03AF"/>
    <w:rsid w:val="00B522B5"/>
    <w:rsid w:val="00B54181"/>
    <w:rsid w:val="00BC09C4"/>
    <w:rsid w:val="00BE0F2F"/>
    <w:rsid w:val="00C0682D"/>
    <w:rsid w:val="00C24BB2"/>
    <w:rsid w:val="00CB6874"/>
    <w:rsid w:val="00CD686E"/>
    <w:rsid w:val="00CD790D"/>
    <w:rsid w:val="00CF37F0"/>
    <w:rsid w:val="00DC04B0"/>
    <w:rsid w:val="00DC3915"/>
    <w:rsid w:val="00DD0AFF"/>
    <w:rsid w:val="00E12ECD"/>
    <w:rsid w:val="00E4305D"/>
    <w:rsid w:val="00E44AF1"/>
    <w:rsid w:val="00E83E7E"/>
    <w:rsid w:val="00EA6173"/>
    <w:rsid w:val="00F06D52"/>
    <w:rsid w:val="00F10972"/>
    <w:rsid w:val="00F16B2B"/>
    <w:rsid w:val="00F371BB"/>
    <w:rsid w:val="00F67249"/>
    <w:rsid w:val="00F724E9"/>
    <w:rsid w:val="00FA3155"/>
    <w:rsid w:val="00FD08F7"/>
    <w:rsid w:val="00FD4529"/>
    <w:rsid w:val="09C4782E"/>
    <w:rsid w:val="0ECB7368"/>
    <w:rsid w:val="11612EA5"/>
    <w:rsid w:val="1C635C29"/>
    <w:rsid w:val="20A46310"/>
    <w:rsid w:val="2E4F6256"/>
    <w:rsid w:val="36230505"/>
    <w:rsid w:val="44D50AA8"/>
    <w:rsid w:val="54F6469B"/>
    <w:rsid w:val="5B697371"/>
    <w:rsid w:val="5E557C11"/>
    <w:rsid w:val="66051078"/>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4376</Words>
  <Characters>4845</Characters>
  <Lines>35</Lines>
  <Paragraphs>9</Paragraphs>
  <TotalTime>1</TotalTime>
  <ScaleCrop>false</ScaleCrop>
  <LinksUpToDate>false</LinksUpToDate>
  <CharactersWithSpaces>4877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2023-05-16T10:59:00Z</dcterms:created>
  <dc:creator>国库处-王艳秋</dc:creator>
  <cp:lastModifiedBy>Administrator</cp:lastModifiedBy>
  <cp:lastPrinted>2022-09-19T10:34:00Z</cp:lastPrinted>
  <dcterms:modified xsi:type="dcterms:W3CDTF">2023-06-15T03:06:37Z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