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ascii="黑体" w:eastAsia="黑体"/>
          <w:sz w:val="32"/>
        </w:rPr>
      </w:pPr>
      <w:r>
        <w:rPr>
          <w:rFonts w:ascii="黑体" w:eastAsia="黑体"/>
          <w:sz w:val="32"/>
        </w:rPr>
        <w:t>附件2</w:t>
      </w:r>
    </w:p>
    <w:p>
      <w:pPr>
        <w:pStyle w:val="8"/>
        <w:rPr>
          <w:rFonts w:hint="default"/>
          <w:b/>
          <w:sz w:val="44"/>
        </w:rPr>
      </w:pPr>
    </w:p>
    <w:p>
      <w:pPr>
        <w:pStyle w:val="8"/>
        <w:rPr>
          <w:rFonts w:hint="default"/>
          <w:b/>
          <w:sz w:val="44"/>
        </w:rPr>
      </w:pPr>
    </w:p>
    <w:p>
      <w:pPr>
        <w:pStyle w:val="8"/>
        <w:rPr>
          <w:rFonts w:hint="default"/>
          <w:b/>
          <w:sz w:val="44"/>
        </w:rPr>
      </w:pPr>
    </w:p>
    <w:p>
      <w:pPr>
        <w:pStyle w:val="8"/>
        <w:rPr>
          <w:rFonts w:hint="default"/>
          <w:b/>
          <w:sz w:val="44"/>
        </w:rPr>
      </w:pPr>
    </w:p>
    <w:p>
      <w:pPr>
        <w:pStyle w:val="8"/>
        <w:rPr>
          <w:rFonts w:hint="default"/>
          <w:b/>
          <w:sz w:val="44"/>
        </w:rPr>
      </w:pPr>
    </w:p>
    <w:p>
      <w:pPr>
        <w:pStyle w:val="8"/>
        <w:rPr>
          <w:rFonts w:hint="default"/>
          <w:b/>
          <w:sz w:val="44"/>
        </w:rPr>
      </w:pPr>
    </w:p>
    <w:p>
      <w:pPr>
        <w:pStyle w:val="8"/>
        <w:jc w:val="center"/>
        <w:rPr>
          <w:rFonts w:ascii="仿宋_GB2312" w:eastAsia="仿宋_GB2312"/>
          <w:b/>
          <w:sz w:val="52"/>
        </w:rPr>
      </w:pPr>
      <w:r>
        <w:rPr>
          <w:rFonts w:ascii="仿宋_GB2312" w:eastAsia="仿宋_GB2312"/>
          <w:b/>
          <w:sz w:val="52"/>
        </w:rPr>
        <w:t>沈阳市自然资源局浑南分局</w:t>
      </w:r>
    </w:p>
    <w:p>
      <w:pPr>
        <w:pStyle w:val="8"/>
        <w:jc w:val="center"/>
        <w:rPr>
          <w:rFonts w:hint="default" w:ascii="仿宋_GB2312" w:eastAsia="仿宋_GB2312"/>
          <w:b/>
          <w:sz w:val="52"/>
        </w:rPr>
      </w:pPr>
      <w:r>
        <w:rPr>
          <w:rFonts w:ascii="仿宋_GB2312" w:eastAsia="仿宋_GB2312"/>
          <w:b/>
          <w:sz w:val="52"/>
        </w:rPr>
        <w:t>2021年度决算</w:t>
      </w:r>
    </w:p>
    <w:p>
      <w:pPr>
        <w:pStyle w:val="8"/>
        <w:jc w:val="center"/>
        <w:rPr>
          <w:rFonts w:hint="default" w:ascii="仿宋_GB2312" w:eastAsia="仿宋_GB2312"/>
          <w:b/>
          <w:sz w:val="52"/>
        </w:rPr>
      </w:pPr>
    </w:p>
    <w:p>
      <w:pPr>
        <w:pStyle w:val="8"/>
        <w:jc w:val="center"/>
        <w:rPr>
          <w:rFonts w:hint="default" w:ascii="仿宋_GB2312" w:eastAsia="仿宋_GB2312"/>
          <w:b/>
          <w:sz w:val="52"/>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8"/>
        <w:spacing w:line="560" w:lineRule="exact"/>
        <w:rPr>
          <w:rFonts w:hint="default" w:ascii="Times New Roman" w:eastAsia="Times New Roman"/>
          <w:b/>
          <w:sz w:val="44"/>
          <w:u w:val="single"/>
        </w:rPr>
      </w:pPr>
    </w:p>
    <w:p>
      <w:pPr>
        <w:pStyle w:val="8"/>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沈阳市自然资源局浑南分局</w:t>
      </w:r>
      <w:r>
        <w:rPr>
          <w:rFonts w:ascii="黑体" w:eastAsia="黑体"/>
          <w:sz w:val="32"/>
        </w:rPr>
        <w:t>概况</w:t>
      </w:r>
    </w:p>
    <w:p>
      <w:pPr>
        <w:pStyle w:val="8"/>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8"/>
        <w:spacing w:line="560" w:lineRule="exact"/>
        <w:rPr>
          <w:rFonts w:hint="default" w:ascii="仿宋_GB2312" w:eastAsia="仿宋_GB2312"/>
          <w:sz w:val="32"/>
        </w:rPr>
      </w:pPr>
      <w:r>
        <w:rPr>
          <w:rFonts w:ascii="仿宋_GB2312" w:eastAsia="仿宋_GB2312"/>
          <w:sz w:val="32"/>
        </w:rPr>
        <w:t>二、决算单位构成</w:t>
      </w:r>
    </w:p>
    <w:p>
      <w:pPr>
        <w:pStyle w:val="8"/>
        <w:spacing w:line="560" w:lineRule="exact"/>
        <w:rPr>
          <w:rFonts w:ascii="黑体" w:eastAsia="黑体"/>
          <w:sz w:val="32"/>
        </w:rPr>
      </w:pPr>
      <w:r>
        <w:rPr>
          <w:rFonts w:ascii="黑体" w:eastAsia="黑体"/>
          <w:sz w:val="32"/>
        </w:rPr>
        <w:t xml:space="preserve">第二部分   </w:t>
      </w:r>
      <w:r>
        <w:rPr>
          <w:rFonts w:hint="eastAsia" w:ascii="黑体" w:eastAsia="黑体"/>
          <w:sz w:val="32"/>
          <w:lang w:eastAsia="zh-CN"/>
        </w:rPr>
        <w:t>沈阳市自然资源局浑南分局</w:t>
      </w:r>
      <w:r>
        <w:rPr>
          <w:rFonts w:ascii="黑体" w:eastAsia="黑体"/>
          <w:sz w:val="32"/>
        </w:rPr>
        <w:t>2021年决算情况说明</w:t>
      </w:r>
    </w:p>
    <w:p>
      <w:pPr>
        <w:pStyle w:val="8"/>
        <w:spacing w:line="560" w:lineRule="exact"/>
        <w:rPr>
          <w:rFonts w:hint="default" w:ascii="仿宋_GB2312" w:eastAsia="仿宋_GB2312"/>
          <w:sz w:val="32"/>
        </w:rPr>
      </w:pPr>
      <w:r>
        <w:rPr>
          <w:rFonts w:ascii="仿宋_GB2312" w:eastAsia="仿宋_GB2312"/>
          <w:sz w:val="32"/>
        </w:rPr>
        <w:t>一、收入支出决算总体情况说明</w:t>
      </w:r>
    </w:p>
    <w:p>
      <w:pPr>
        <w:pStyle w:val="8"/>
        <w:spacing w:line="560" w:lineRule="exact"/>
        <w:rPr>
          <w:rFonts w:hint="default" w:ascii="仿宋_GB2312" w:eastAsia="仿宋_GB2312"/>
          <w:sz w:val="32"/>
        </w:rPr>
      </w:pPr>
      <w:r>
        <w:rPr>
          <w:rFonts w:ascii="仿宋_GB2312" w:eastAsia="仿宋_GB2312"/>
          <w:sz w:val="32"/>
        </w:rPr>
        <w:t>二、财政拨款收入支出决算情况说明</w:t>
      </w:r>
    </w:p>
    <w:p>
      <w:pPr>
        <w:pStyle w:val="8"/>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8"/>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8"/>
        <w:spacing w:line="560" w:lineRule="exact"/>
        <w:rPr>
          <w:rFonts w:hint="default" w:ascii="黑体" w:eastAsia="黑体"/>
          <w:sz w:val="32"/>
        </w:rPr>
      </w:pPr>
      <w:r>
        <w:rPr>
          <w:rFonts w:ascii="仿宋_GB2312" w:eastAsia="仿宋_GB2312"/>
          <w:sz w:val="32"/>
        </w:rPr>
        <w:t>五、其他重要事项的情况说明</w:t>
      </w:r>
    </w:p>
    <w:p>
      <w:pPr>
        <w:pStyle w:val="8"/>
        <w:spacing w:line="560" w:lineRule="exact"/>
        <w:rPr>
          <w:rFonts w:hint="default" w:ascii="黑体" w:eastAsia="黑体"/>
          <w:sz w:val="32"/>
        </w:rPr>
      </w:pPr>
      <w:r>
        <w:rPr>
          <w:rFonts w:ascii="黑体" w:eastAsia="黑体"/>
          <w:sz w:val="32"/>
        </w:rPr>
        <w:t>第三部分    名词解释</w:t>
      </w:r>
    </w:p>
    <w:p>
      <w:pPr>
        <w:pStyle w:val="8"/>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eastAsia="zh-CN"/>
        </w:rPr>
        <w:t>沈阳市自然资源局浑南分局</w:t>
      </w:r>
      <w:r>
        <w:rPr>
          <w:rFonts w:ascii="黑体" w:eastAsia="黑体"/>
          <w:sz w:val="32"/>
        </w:rPr>
        <w:t>2021年决算报表</w:t>
      </w:r>
    </w:p>
    <w:p>
      <w:pPr>
        <w:pStyle w:val="8"/>
        <w:spacing w:line="560" w:lineRule="exact"/>
        <w:rPr>
          <w:rFonts w:hint="default" w:ascii="仿宋_GB2312" w:eastAsia="仿宋_GB2312"/>
          <w:sz w:val="32"/>
        </w:rPr>
      </w:pPr>
      <w:r>
        <w:rPr>
          <w:rFonts w:ascii="仿宋_GB2312" w:eastAsia="仿宋_GB2312"/>
          <w:sz w:val="32"/>
        </w:rPr>
        <w:t>一、2021年度收入支出决算总表</w:t>
      </w:r>
    </w:p>
    <w:p>
      <w:pPr>
        <w:pStyle w:val="8"/>
        <w:spacing w:line="560" w:lineRule="exact"/>
        <w:rPr>
          <w:rFonts w:hint="default" w:ascii="仿宋_GB2312" w:eastAsia="仿宋_GB2312"/>
          <w:sz w:val="32"/>
        </w:rPr>
      </w:pPr>
      <w:r>
        <w:rPr>
          <w:rFonts w:ascii="仿宋_GB2312" w:eastAsia="仿宋_GB2312"/>
          <w:sz w:val="32"/>
        </w:rPr>
        <w:t>二、2021年度收入决算表</w:t>
      </w:r>
    </w:p>
    <w:p>
      <w:pPr>
        <w:pStyle w:val="8"/>
        <w:spacing w:line="560" w:lineRule="exact"/>
        <w:rPr>
          <w:rFonts w:hint="default" w:ascii="仿宋_GB2312" w:eastAsia="仿宋_GB2312"/>
          <w:sz w:val="32"/>
        </w:rPr>
      </w:pPr>
      <w:r>
        <w:rPr>
          <w:rFonts w:ascii="仿宋_GB2312" w:eastAsia="仿宋_GB2312"/>
          <w:sz w:val="32"/>
        </w:rPr>
        <w:t>三、2021年度支出决算表</w:t>
      </w:r>
    </w:p>
    <w:p>
      <w:pPr>
        <w:pStyle w:val="8"/>
        <w:spacing w:line="560" w:lineRule="exact"/>
        <w:rPr>
          <w:rFonts w:hint="default" w:ascii="仿宋_GB2312" w:eastAsia="仿宋_GB2312"/>
          <w:sz w:val="32"/>
        </w:rPr>
      </w:pPr>
      <w:r>
        <w:rPr>
          <w:rFonts w:ascii="仿宋_GB2312" w:eastAsia="仿宋_GB2312"/>
          <w:sz w:val="32"/>
        </w:rPr>
        <w:t>四、2021年度财政拨款收入支出决算总表</w:t>
      </w:r>
    </w:p>
    <w:p>
      <w:pPr>
        <w:pStyle w:val="8"/>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8"/>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8"/>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8"/>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8"/>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8"/>
        <w:spacing w:line="560" w:lineRule="exact"/>
        <w:jc w:val="center"/>
        <w:rPr>
          <w:rFonts w:hint="default"/>
          <w:b/>
          <w:sz w:val="36"/>
        </w:rPr>
      </w:pPr>
    </w:p>
    <w:p>
      <w:pPr>
        <w:pStyle w:val="8"/>
        <w:spacing w:line="560" w:lineRule="exact"/>
        <w:jc w:val="center"/>
        <w:rPr>
          <w:rFonts w:hint="default"/>
          <w:b/>
          <w:sz w:val="36"/>
        </w:rPr>
      </w:pPr>
      <w:r>
        <w:rPr>
          <w:b/>
          <w:sz w:val="36"/>
        </w:rPr>
        <w:t xml:space="preserve">第一部分 </w:t>
      </w:r>
      <w:r>
        <w:rPr>
          <w:b/>
          <w:sz w:val="36"/>
          <w:szCs w:val="36"/>
        </w:rPr>
        <w:t>沈阳市自然资源局浑南分局</w:t>
      </w:r>
      <w:r>
        <w:rPr>
          <w:b/>
          <w:sz w:val="36"/>
        </w:rPr>
        <w:t>概况</w:t>
      </w:r>
    </w:p>
    <w:p>
      <w:pPr>
        <w:pStyle w:val="8"/>
        <w:spacing w:line="560" w:lineRule="exact"/>
        <w:jc w:val="center"/>
        <w:rPr>
          <w:rFonts w:hint="default"/>
          <w:b/>
          <w:sz w:val="36"/>
        </w:rPr>
      </w:pPr>
    </w:p>
    <w:p>
      <w:pPr>
        <w:pStyle w:val="8"/>
        <w:spacing w:line="560" w:lineRule="exact"/>
        <w:ind w:firstLine="640"/>
        <w:rPr>
          <w:rFonts w:hint="default" w:ascii="黑体" w:eastAsia="黑体"/>
          <w:sz w:val="32"/>
        </w:rPr>
      </w:pPr>
    </w:p>
    <w:p>
      <w:pPr>
        <w:pStyle w:val="8"/>
        <w:spacing w:line="560" w:lineRule="exact"/>
        <w:ind w:firstLine="640"/>
        <w:rPr>
          <w:rFonts w:hint="default" w:ascii="黑体" w:eastAsia="黑体"/>
          <w:sz w:val="32"/>
        </w:rPr>
      </w:pPr>
      <w:r>
        <w:rPr>
          <w:rFonts w:ascii="黑体" w:eastAsia="黑体"/>
          <w:sz w:val="32"/>
        </w:rPr>
        <w:t>一、主要职责</w:t>
      </w:r>
    </w:p>
    <w:p>
      <w:pPr>
        <w:pStyle w:val="4"/>
        <w:shd w:val="clear"/>
        <w:spacing w:line="560" w:lineRule="exact"/>
        <w:ind w:firstLine="705"/>
        <w:rPr>
          <w:rFonts w:eastAsia="仿宋_GB2312"/>
          <w:color w:val="000000"/>
          <w:sz w:val="21"/>
          <w:szCs w:val="21"/>
        </w:rPr>
      </w:pPr>
      <w:r>
        <w:rPr>
          <w:rStyle w:val="7"/>
          <w:rFonts w:hint="eastAsia" w:ascii="仿宋_GB2312" w:eastAsia="仿宋_GB2312"/>
          <w:i w:val="0"/>
          <w:iCs w:val="0"/>
          <w:color w:val="000000"/>
          <w:sz w:val="32"/>
          <w:szCs w:val="32"/>
        </w:rPr>
        <w:t>沈阳市自然资源局浑南分局在沈阳市自然资源局（沈阳市规划局、沈阳市林业和草原局）领导下，负责本区域内的自然资源管理工作。</w:t>
      </w:r>
    </w:p>
    <w:p>
      <w:pPr>
        <w:pStyle w:val="8"/>
        <w:numPr>
          <w:ilvl w:val="0"/>
          <w:numId w:val="1"/>
        </w:numPr>
        <w:spacing w:line="560" w:lineRule="exact"/>
        <w:rPr>
          <w:rFonts w:hint="default" w:ascii="黑体" w:eastAsia="黑体"/>
          <w:sz w:val="32"/>
        </w:rPr>
      </w:pPr>
      <w:r>
        <w:rPr>
          <w:rFonts w:ascii="黑体" w:eastAsia="黑体"/>
          <w:sz w:val="32"/>
        </w:rPr>
        <w:t xml:space="preserve"> 决算单位构成</w:t>
      </w:r>
    </w:p>
    <w:p>
      <w:pPr>
        <w:pStyle w:val="8"/>
        <w:spacing w:line="560" w:lineRule="exact"/>
        <w:ind w:firstLine="640" w:firstLineChars="200"/>
        <w:rPr>
          <w:rFonts w:hint="default" w:ascii="黑体" w:eastAsia="黑体"/>
          <w:sz w:val="32"/>
        </w:rPr>
      </w:pPr>
      <w:r>
        <w:rPr>
          <w:rFonts w:ascii="黑体" w:eastAsia="黑体"/>
          <w:sz w:val="32"/>
        </w:rPr>
        <w:t>纳入沈阳市自然资源局浑南分局2021年决算编制范围的二级预算单位包括：</w:t>
      </w:r>
    </w:p>
    <w:p>
      <w:pPr>
        <w:pStyle w:val="8"/>
        <w:spacing w:line="560" w:lineRule="exact"/>
        <w:rPr>
          <w:rFonts w:hint="eastAsia" w:ascii="黑体" w:eastAsia="黑体"/>
          <w:sz w:val="32"/>
          <w:lang w:eastAsia="zh-CN"/>
        </w:rPr>
      </w:pPr>
      <w:r>
        <w:rPr>
          <w:rFonts w:ascii="黑体" w:eastAsia="黑体"/>
          <w:sz w:val="32"/>
        </w:rPr>
        <w:t xml:space="preserve">    1.沈阳市自然资源局浑南分局</w:t>
      </w:r>
      <w:r>
        <w:rPr>
          <w:rFonts w:hint="eastAsia" w:ascii="黑体" w:eastAsia="黑体"/>
          <w:sz w:val="32"/>
          <w:lang w:eastAsia="zh-CN"/>
        </w:rPr>
        <w:t>本级</w:t>
      </w:r>
    </w:p>
    <w:p>
      <w:pPr>
        <w:pStyle w:val="8"/>
        <w:spacing w:line="560" w:lineRule="exact"/>
        <w:rPr>
          <w:rFonts w:hint="default"/>
          <w:b/>
          <w:sz w:val="36"/>
        </w:rPr>
      </w:pPr>
    </w:p>
    <w:p>
      <w:pPr>
        <w:pStyle w:val="8"/>
        <w:spacing w:line="560" w:lineRule="exact"/>
        <w:jc w:val="center"/>
        <w:rPr>
          <w:rFonts w:hint="default"/>
          <w:b/>
          <w:sz w:val="36"/>
        </w:rPr>
      </w:pPr>
    </w:p>
    <w:p>
      <w:pPr>
        <w:pStyle w:val="8"/>
        <w:spacing w:line="560" w:lineRule="exact"/>
        <w:jc w:val="center"/>
        <w:rPr>
          <w:b/>
          <w:sz w:val="36"/>
        </w:rPr>
      </w:pPr>
      <w:r>
        <w:rPr>
          <w:b/>
          <w:sz w:val="36"/>
        </w:rPr>
        <w:t>第二部分 沈阳市自然资源局浑南分局2021年</w:t>
      </w:r>
    </w:p>
    <w:p>
      <w:pPr>
        <w:pStyle w:val="8"/>
        <w:spacing w:line="560" w:lineRule="exact"/>
        <w:jc w:val="center"/>
        <w:rPr>
          <w:rFonts w:hint="default"/>
          <w:b/>
          <w:sz w:val="36"/>
        </w:rPr>
      </w:pPr>
      <w:r>
        <w:rPr>
          <w:b/>
          <w:sz w:val="36"/>
        </w:rPr>
        <w:t>决算情况说明</w:t>
      </w:r>
    </w:p>
    <w:p>
      <w:pPr>
        <w:pStyle w:val="8"/>
        <w:spacing w:line="560" w:lineRule="exact"/>
        <w:jc w:val="center"/>
        <w:rPr>
          <w:rFonts w:hint="default"/>
          <w:b/>
          <w:sz w:val="36"/>
        </w:rPr>
      </w:pPr>
    </w:p>
    <w:p>
      <w:pPr>
        <w:pStyle w:val="8"/>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1518.18</w:t>
      </w:r>
      <w:r>
        <w:rPr>
          <w:rFonts w:ascii="楷体_GB2312" w:eastAsia="楷体_GB2312"/>
          <w:b/>
          <w:sz w:val="32"/>
        </w:rPr>
        <w:t>万元，包括：</w:t>
      </w:r>
    </w:p>
    <w:p>
      <w:pPr>
        <w:pStyle w:val="8"/>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1518.18</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755.21</w:t>
      </w:r>
      <w:r>
        <w:rPr>
          <w:rFonts w:ascii="仿宋_GB2312" w:eastAsia="仿宋_GB2312"/>
          <w:sz w:val="32"/>
        </w:rPr>
        <w:t>万元，政府性基金收入</w:t>
      </w:r>
      <w:r>
        <w:rPr>
          <w:rFonts w:hint="eastAsia" w:ascii="仿宋_GB2312" w:eastAsia="仿宋_GB2312"/>
          <w:sz w:val="32"/>
          <w:lang w:val="en-US" w:eastAsia="zh-CN"/>
        </w:rPr>
        <w:t>632.12</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8"/>
        <w:spacing w:line="560" w:lineRule="exact"/>
        <w:ind w:firstLine="660"/>
        <w:rPr>
          <w:rFonts w:hint="eastAsia" w:ascii="仿宋_GB2312" w:eastAsia="仿宋_GB2312"/>
          <w:sz w:val="32"/>
          <w:lang w:eastAsia="zh-CN"/>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lang w:eastAsia="zh-CN"/>
        </w:rPr>
        <w:t>本年无此任务。</w:t>
      </w:r>
    </w:p>
    <w:p>
      <w:pPr>
        <w:pStyle w:val="8"/>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144.2</w:t>
      </w:r>
      <w:r>
        <w:rPr>
          <w:rFonts w:ascii="仿宋_GB2312" w:eastAsia="仿宋_GB2312"/>
          <w:sz w:val="32"/>
        </w:rPr>
        <w:t>万元，增长</w:t>
      </w:r>
      <w:r>
        <w:rPr>
          <w:rFonts w:hint="eastAsia" w:ascii="仿宋_GB2312" w:eastAsia="仿宋_GB2312"/>
          <w:sz w:val="32"/>
          <w:lang w:val="en-US" w:eastAsia="zh-CN"/>
        </w:rPr>
        <w:t>10.5</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土地规划编制工作</w:t>
      </w:r>
      <w:r>
        <w:rPr>
          <w:rFonts w:hint="eastAsia" w:ascii="仿宋_GB2312" w:eastAsia="仿宋_GB2312"/>
          <w:sz w:val="32"/>
          <w:szCs w:val="32"/>
          <w:lang w:eastAsia="zh-CN"/>
        </w:rPr>
        <w:t>支出</w:t>
      </w:r>
      <w:r>
        <w:rPr>
          <w:rFonts w:ascii="仿宋_GB2312" w:eastAsia="仿宋_GB2312"/>
          <w:sz w:val="32"/>
        </w:rPr>
        <w:t>；</w:t>
      </w:r>
      <w:r>
        <w:rPr>
          <w:rFonts w:ascii="黑体" w:eastAsia="黑体"/>
          <w:sz w:val="32"/>
        </w:rPr>
        <w:t>二是</w:t>
      </w:r>
      <w:r>
        <w:rPr>
          <w:rFonts w:hint="eastAsia" w:ascii="仿宋_GB2312" w:hAnsi="宋体" w:eastAsia="仿宋_GB2312"/>
          <w:sz w:val="32"/>
          <w:szCs w:val="32"/>
          <w:highlight w:val="none"/>
          <w:lang w:eastAsia="zh-CN"/>
        </w:rPr>
        <w:t>国有土地使用权出让收入安排的支出</w:t>
      </w:r>
      <w:r>
        <w:rPr>
          <w:rFonts w:ascii="仿宋_GB2312" w:eastAsia="仿宋_GB2312"/>
          <w:sz w:val="32"/>
        </w:rPr>
        <w:t>。</w:t>
      </w:r>
    </w:p>
    <w:p>
      <w:pPr>
        <w:pStyle w:val="8"/>
        <w:numPr>
          <w:ilvl w:val="0"/>
          <w:numId w:val="2"/>
        </w:numPr>
        <w:spacing w:line="560" w:lineRule="exact"/>
        <w:ind w:firstLine="660"/>
        <w:rPr>
          <w:rFonts w:hint="eastAsia" w:ascii="楷体_GB2312" w:eastAsia="楷体_GB2312"/>
          <w:b/>
          <w:sz w:val="32"/>
          <w:lang w:eastAsia="zh-CN"/>
        </w:rPr>
      </w:pPr>
      <w:r>
        <w:rPr>
          <w:rFonts w:ascii="楷体_GB2312" w:eastAsia="楷体_GB2312"/>
          <w:b/>
          <w:sz w:val="32"/>
        </w:rPr>
        <w:t>支出总计</w:t>
      </w:r>
      <w:r>
        <w:rPr>
          <w:rFonts w:hint="eastAsia" w:ascii="楷体_GB2312" w:eastAsia="楷体_GB2312"/>
          <w:b/>
          <w:sz w:val="32"/>
          <w:lang w:val="en-US" w:eastAsia="zh-CN"/>
        </w:rPr>
        <w:t>1518.18</w:t>
      </w:r>
      <w:r>
        <w:rPr>
          <w:rFonts w:ascii="楷体_GB2312" w:eastAsia="楷体_GB2312"/>
          <w:b/>
          <w:sz w:val="32"/>
        </w:rPr>
        <w:t>万元，包括：</w:t>
      </w:r>
      <w:r>
        <w:rPr>
          <w:rFonts w:hint="eastAsia" w:ascii="楷体_GB2312" w:eastAsia="楷体_GB2312"/>
          <w:b/>
          <w:sz w:val="32"/>
          <w:lang w:eastAsia="zh-CN"/>
        </w:rPr>
        <w:t>城乡社区支出、灾害防治及应急管理支出。</w:t>
      </w:r>
    </w:p>
    <w:p>
      <w:pPr>
        <w:pStyle w:val="8"/>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18.61</w:t>
      </w:r>
      <w:r>
        <w:rPr>
          <w:rFonts w:ascii="仿宋_GB2312" w:eastAsia="仿宋_GB2312"/>
          <w:sz w:val="32"/>
        </w:rPr>
        <w:t>万元，占支出总计的</w:t>
      </w:r>
      <w:r>
        <w:rPr>
          <w:rFonts w:hint="eastAsia" w:ascii="仿宋_GB2312" w:eastAsia="仿宋_GB2312"/>
          <w:sz w:val="32"/>
          <w:lang w:val="en-US" w:eastAsia="zh-CN"/>
        </w:rPr>
        <w:t>1.2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10.04</w:t>
      </w:r>
      <w:r>
        <w:rPr>
          <w:rFonts w:ascii="仿宋_GB2312" w:eastAsia="仿宋_GB2312"/>
          <w:sz w:val="32"/>
        </w:rPr>
        <w:t>万元，商品和服务支出</w:t>
      </w:r>
      <w:r>
        <w:rPr>
          <w:rFonts w:hint="eastAsia" w:ascii="仿宋_GB2312" w:eastAsia="仿宋_GB2312"/>
          <w:sz w:val="32"/>
          <w:lang w:val="en-US" w:eastAsia="zh-CN"/>
        </w:rPr>
        <w:t>8.57</w:t>
      </w:r>
      <w:r>
        <w:rPr>
          <w:rFonts w:ascii="仿宋_GB2312" w:eastAsia="仿宋_GB2312"/>
          <w:sz w:val="32"/>
        </w:rPr>
        <w:t>万元。</w:t>
      </w:r>
      <w:bookmarkStart w:id="0" w:name="_GoBack"/>
      <w:bookmarkEnd w:id="0"/>
    </w:p>
    <w:p>
      <w:pPr>
        <w:pStyle w:val="8"/>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1499.57</w:t>
      </w:r>
      <w:r>
        <w:rPr>
          <w:rFonts w:ascii="仿宋_GB2312" w:eastAsia="仿宋_GB2312"/>
          <w:sz w:val="32"/>
        </w:rPr>
        <w:t>万元，占支出总计的</w:t>
      </w:r>
      <w:r>
        <w:rPr>
          <w:rFonts w:hint="eastAsia" w:ascii="仿宋_GB2312" w:eastAsia="仿宋_GB2312"/>
          <w:sz w:val="32"/>
          <w:lang w:val="en-US" w:eastAsia="zh-CN"/>
        </w:rPr>
        <w:t>98.8</w:t>
      </w:r>
      <w:r>
        <w:rPr>
          <w:rFonts w:ascii="仿宋_GB2312" w:eastAsia="仿宋_GB2312"/>
          <w:sz w:val="32"/>
        </w:rPr>
        <w:t>%。主要包括</w:t>
      </w:r>
      <w:r>
        <w:rPr>
          <w:rFonts w:hint="eastAsia" w:ascii="仿宋_GB2312" w:eastAsia="仿宋_GB2312"/>
          <w:sz w:val="32"/>
        </w:rPr>
        <w:t xml:space="preserve"> 一般行政管理事务、其他城乡社区管理事务支出</w:t>
      </w:r>
      <w:r>
        <w:rPr>
          <w:rFonts w:ascii="仿宋_GB2312" w:eastAsia="仿宋_GB2312"/>
          <w:sz w:val="32"/>
        </w:rPr>
        <w:t>等业务支出。</w:t>
      </w:r>
    </w:p>
    <w:p>
      <w:pPr>
        <w:pStyle w:val="8"/>
        <w:spacing w:line="560" w:lineRule="exact"/>
        <w:ind w:firstLine="660"/>
        <w:rPr>
          <w:rFonts w:ascii="仿宋_GB2312" w:eastAsia="仿宋_GB2312"/>
          <w:sz w:val="32"/>
        </w:rPr>
      </w:pPr>
      <w:r>
        <w:rPr>
          <w:rFonts w:ascii="仿宋_GB2312" w:eastAsia="仿宋_GB2312"/>
          <w:sz w:val="32"/>
        </w:rPr>
        <w:t>与上年相比，今年支出增加</w:t>
      </w:r>
      <w:r>
        <w:rPr>
          <w:rFonts w:hint="eastAsia" w:ascii="仿宋_GB2312" w:eastAsia="仿宋_GB2312"/>
          <w:sz w:val="32"/>
          <w:lang w:val="en-US" w:eastAsia="zh-CN"/>
        </w:rPr>
        <w:t>144.2</w:t>
      </w:r>
      <w:r>
        <w:rPr>
          <w:rFonts w:ascii="仿宋_GB2312" w:eastAsia="仿宋_GB2312"/>
          <w:sz w:val="32"/>
        </w:rPr>
        <w:t>万元，增长</w:t>
      </w:r>
      <w:r>
        <w:rPr>
          <w:rFonts w:hint="eastAsia" w:ascii="仿宋_GB2312" w:eastAsia="仿宋_GB2312"/>
          <w:sz w:val="32"/>
          <w:lang w:val="en-US" w:eastAsia="zh-CN"/>
        </w:rPr>
        <w:t>10.5</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土地规划编制工作</w:t>
      </w:r>
      <w:r>
        <w:rPr>
          <w:rFonts w:hint="eastAsia" w:ascii="仿宋_GB2312" w:eastAsia="仿宋_GB2312"/>
          <w:sz w:val="32"/>
          <w:szCs w:val="32"/>
          <w:lang w:eastAsia="zh-CN"/>
        </w:rPr>
        <w:t>支出</w:t>
      </w:r>
      <w:r>
        <w:rPr>
          <w:rFonts w:ascii="仿宋_GB2312" w:eastAsia="仿宋_GB2312"/>
          <w:sz w:val="32"/>
        </w:rPr>
        <w:t>；</w:t>
      </w:r>
      <w:r>
        <w:rPr>
          <w:rFonts w:ascii="黑体" w:eastAsia="黑体"/>
          <w:sz w:val="32"/>
        </w:rPr>
        <w:t>二是</w:t>
      </w:r>
      <w:r>
        <w:rPr>
          <w:rFonts w:hint="eastAsia" w:ascii="仿宋_GB2312" w:hAnsi="宋体" w:eastAsia="仿宋_GB2312"/>
          <w:sz w:val="32"/>
          <w:szCs w:val="32"/>
          <w:highlight w:val="none"/>
          <w:lang w:eastAsia="zh-CN"/>
        </w:rPr>
        <w:t>国有土地使用权出让收入安排的支出</w:t>
      </w:r>
      <w:r>
        <w:rPr>
          <w:rFonts w:ascii="仿宋_GB2312" w:eastAsia="仿宋_GB2312"/>
          <w:sz w:val="32"/>
        </w:rPr>
        <w:t>。</w:t>
      </w:r>
    </w:p>
    <w:p>
      <w:pPr>
        <w:pStyle w:val="8"/>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8"/>
        <w:spacing w:line="560" w:lineRule="exact"/>
        <w:ind w:firstLine="660"/>
        <w:rPr>
          <w:rFonts w:ascii="仿宋_GB2312" w:eastAsia="仿宋_GB2312"/>
          <w:sz w:val="32"/>
        </w:rPr>
      </w:pPr>
      <w:r>
        <w:rPr>
          <w:rFonts w:ascii="仿宋_GB2312" w:eastAsia="仿宋_GB2312"/>
          <w:sz w:val="32"/>
        </w:rPr>
        <w:t>主要是严格按照预算执行等原因形成的结余。与上年相比，今年结转结余</w:t>
      </w:r>
      <w:r>
        <w:rPr>
          <w:rFonts w:hint="eastAsia" w:ascii="仿宋_GB2312" w:eastAsia="仿宋_GB2312"/>
          <w:sz w:val="32"/>
          <w:lang w:eastAsia="zh-CN"/>
        </w:rPr>
        <w:t>保持一致</w:t>
      </w:r>
      <w:r>
        <w:rPr>
          <w:rFonts w:ascii="仿宋_GB2312" w:eastAsia="仿宋_GB2312"/>
          <w:sz w:val="32"/>
        </w:rPr>
        <w:t>，主要原因：严格按照预算执行。</w:t>
      </w:r>
    </w:p>
    <w:p>
      <w:pPr>
        <w:pStyle w:val="8"/>
        <w:numPr>
          <w:ilvl w:val="0"/>
          <w:numId w:val="1"/>
        </w:numPr>
        <w:spacing w:line="560" w:lineRule="exact"/>
        <w:ind w:left="1360" w:leftChars="0" w:hanging="720" w:firstLineChars="0"/>
        <w:rPr>
          <w:rFonts w:ascii="黑体" w:eastAsia="黑体"/>
          <w:sz w:val="32"/>
        </w:rPr>
      </w:pPr>
      <w:r>
        <w:rPr>
          <w:rFonts w:ascii="黑体" w:eastAsia="黑体"/>
          <w:sz w:val="32"/>
        </w:rPr>
        <w:t>财政拨款收入支出决算情况说明</w:t>
      </w:r>
    </w:p>
    <w:p>
      <w:pPr>
        <w:pStyle w:val="8"/>
        <w:numPr>
          <w:ilvl w:val="0"/>
          <w:numId w:val="0"/>
        </w:numPr>
        <w:spacing w:line="560" w:lineRule="exact"/>
        <w:ind w:left="640" w:leftChars="0"/>
        <w:rPr>
          <w:rFonts w:hint="default" w:ascii="楷体_GB2312" w:eastAsia="楷体_GB2312"/>
          <w:b/>
          <w:sz w:val="32"/>
        </w:rPr>
      </w:pPr>
      <w:r>
        <w:rPr>
          <w:rFonts w:ascii="楷体_GB2312" w:eastAsia="楷体_GB2312"/>
          <w:b/>
          <w:sz w:val="32"/>
        </w:rPr>
        <w:t>（一）总体情况</w:t>
      </w:r>
    </w:p>
    <w:p>
      <w:pPr>
        <w:pStyle w:val="8"/>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1518.18</w:t>
      </w:r>
      <w:r>
        <w:rPr>
          <w:rFonts w:ascii="仿宋_GB2312" w:eastAsia="仿宋_GB2312"/>
          <w:sz w:val="32"/>
        </w:rPr>
        <w:t>万元，其中：基本支出</w:t>
      </w:r>
      <w:r>
        <w:rPr>
          <w:rFonts w:hint="eastAsia" w:ascii="仿宋_GB2312" w:eastAsia="仿宋_GB2312"/>
          <w:sz w:val="32"/>
          <w:lang w:val="en-US" w:eastAsia="zh-CN"/>
        </w:rPr>
        <w:t>18.16</w:t>
      </w:r>
      <w:r>
        <w:rPr>
          <w:rFonts w:ascii="仿宋_GB2312" w:eastAsia="仿宋_GB2312"/>
          <w:sz w:val="32"/>
        </w:rPr>
        <w:t>万元，项目支出</w:t>
      </w:r>
      <w:r>
        <w:rPr>
          <w:rFonts w:hint="eastAsia" w:ascii="仿宋_GB2312" w:eastAsia="仿宋_GB2312"/>
          <w:sz w:val="32"/>
          <w:lang w:val="en-US" w:eastAsia="zh-CN"/>
        </w:rPr>
        <w:t>1499.57</w:t>
      </w:r>
      <w:r>
        <w:rPr>
          <w:rFonts w:ascii="仿宋_GB2312" w:eastAsia="仿宋_GB2312"/>
          <w:sz w:val="32"/>
        </w:rPr>
        <w:t>万元。与上年相比，财政拨款支出增加</w:t>
      </w:r>
      <w:r>
        <w:rPr>
          <w:rFonts w:hint="eastAsia" w:ascii="仿宋_GB2312" w:eastAsia="仿宋_GB2312"/>
          <w:sz w:val="32"/>
          <w:lang w:val="en-US" w:eastAsia="zh-CN"/>
        </w:rPr>
        <w:t>144.2</w:t>
      </w:r>
      <w:r>
        <w:rPr>
          <w:rFonts w:ascii="仿宋_GB2312" w:eastAsia="仿宋_GB2312"/>
          <w:sz w:val="32"/>
        </w:rPr>
        <w:t>万元，增长</w:t>
      </w:r>
      <w:r>
        <w:rPr>
          <w:rFonts w:hint="eastAsia" w:ascii="仿宋_GB2312" w:eastAsia="仿宋_GB2312"/>
          <w:sz w:val="32"/>
          <w:lang w:val="en-US" w:eastAsia="zh-CN"/>
        </w:rPr>
        <w:t>10.5</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土地规划编制工作</w:t>
      </w:r>
      <w:r>
        <w:rPr>
          <w:rFonts w:hint="eastAsia" w:ascii="仿宋_GB2312" w:eastAsia="仿宋_GB2312"/>
          <w:sz w:val="32"/>
          <w:szCs w:val="32"/>
          <w:lang w:eastAsia="zh-CN"/>
        </w:rPr>
        <w:t>支出</w:t>
      </w:r>
      <w:r>
        <w:rPr>
          <w:rFonts w:ascii="仿宋_GB2312" w:eastAsia="仿宋_GB2312"/>
          <w:sz w:val="32"/>
        </w:rPr>
        <w:t>；</w:t>
      </w:r>
      <w:r>
        <w:rPr>
          <w:rFonts w:ascii="黑体" w:eastAsia="黑体"/>
          <w:sz w:val="32"/>
        </w:rPr>
        <w:t>二是</w:t>
      </w:r>
      <w:r>
        <w:rPr>
          <w:rFonts w:hint="eastAsia" w:ascii="仿宋_GB2312" w:hAnsi="宋体" w:eastAsia="仿宋_GB2312"/>
          <w:sz w:val="32"/>
          <w:szCs w:val="32"/>
          <w:highlight w:val="none"/>
          <w:lang w:eastAsia="zh-CN"/>
        </w:rPr>
        <w:t>国有土地使用权出让收入安排的支出</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886.06</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878.56万元</w:t>
      </w:r>
      <w:r>
        <w:rPr>
          <w:rFonts w:ascii="仿宋_GB2312" w:hAnsi="宋体" w:eastAsia="仿宋_GB2312"/>
          <w:sz w:val="32"/>
          <w:szCs w:val="32"/>
        </w:rPr>
        <w:t>，占</w:t>
      </w:r>
      <w:r>
        <w:rPr>
          <w:rFonts w:hint="eastAsia" w:ascii="仿宋_GB2312" w:hAnsi="宋体" w:eastAsia="仿宋_GB2312"/>
          <w:sz w:val="32"/>
          <w:szCs w:val="32"/>
          <w:lang w:val="en-US" w:eastAsia="zh-CN"/>
        </w:rPr>
        <w:t>99.2</w:t>
      </w:r>
      <w:r>
        <w:rPr>
          <w:rFonts w:ascii="仿宋_GB2312" w:hAnsi="宋体" w:eastAsia="仿宋_GB2312"/>
          <w:sz w:val="32"/>
          <w:szCs w:val="32"/>
        </w:rPr>
        <w:t>%；</w:t>
      </w:r>
      <w:r>
        <w:rPr>
          <w:rFonts w:hint="eastAsia" w:ascii="仿宋_GB2312" w:hAnsi="宋体" w:eastAsia="仿宋_GB2312"/>
          <w:sz w:val="32"/>
          <w:szCs w:val="32"/>
          <w:lang w:eastAsia="zh-CN"/>
        </w:rPr>
        <w:t>灾害防治及应急管理支出</w:t>
      </w:r>
      <w:r>
        <w:rPr>
          <w:rFonts w:hint="eastAsia" w:ascii="仿宋_GB2312" w:hAnsi="宋体" w:eastAsia="仿宋_GB2312"/>
          <w:sz w:val="32"/>
          <w:szCs w:val="32"/>
          <w:lang w:val="en-US" w:eastAsia="zh-CN"/>
        </w:rPr>
        <w:t>7.5万元，占0.8%</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 城乡社区支出</w:t>
      </w:r>
      <w:r>
        <w:rPr>
          <w:rFonts w:hint="eastAsia" w:ascii="仿宋_GB2312" w:hAnsi="宋体" w:eastAsia="仿宋_GB2312"/>
          <w:sz w:val="32"/>
          <w:szCs w:val="32"/>
          <w:lang w:val="en-US" w:eastAsia="zh-CN"/>
        </w:rPr>
        <w:t>878.56</w:t>
      </w:r>
      <w:r>
        <w:rPr>
          <w:rFonts w:hint="eastAsia" w:ascii="仿宋_GB2312" w:hAnsi="宋体" w:eastAsia="仿宋_GB2312"/>
          <w:sz w:val="32"/>
          <w:szCs w:val="32"/>
        </w:rPr>
        <w:t>万元，具体包括：城乡社区支出</w:t>
      </w:r>
      <w:r>
        <w:rPr>
          <w:rFonts w:hint="eastAsia" w:ascii="仿宋_GB2312" w:hAnsi="宋体" w:eastAsia="仿宋_GB2312"/>
          <w:sz w:val="32"/>
          <w:szCs w:val="32"/>
          <w:lang w:val="en-US" w:eastAsia="zh-CN"/>
        </w:rPr>
        <w:t>878.56</w:t>
      </w:r>
      <w:r>
        <w:rPr>
          <w:rFonts w:hint="eastAsia" w:ascii="仿宋_GB2312" w:hAnsi="宋体" w:eastAsia="仿宋_GB2312"/>
          <w:sz w:val="32"/>
          <w:szCs w:val="32"/>
        </w:rPr>
        <w:t>万元，主要是劳务费、委托业务费、税金及附加费用等支出，完成年初预算的100%，决算数大于年初预算数的原因主要是我局年初未做预算，于中期追加预算。</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.灾害防治及应急管理支出7</w:t>
      </w:r>
      <w:r>
        <w:rPr>
          <w:rFonts w:ascii="仿宋_GB2312" w:hAnsi="宋体" w:eastAsia="仿宋_GB2312"/>
          <w:sz w:val="32"/>
          <w:szCs w:val="32"/>
        </w:rPr>
        <w:t>.</w:t>
      </w:r>
      <w:r>
        <w:rPr>
          <w:rFonts w:hint="eastAsia" w:ascii="仿宋_GB2312" w:hAnsi="宋体" w:eastAsia="仿宋_GB2312"/>
          <w:sz w:val="32"/>
          <w:szCs w:val="32"/>
          <w:lang w:val="en-US" w:eastAsia="zh-CN"/>
        </w:rPr>
        <w:t>5</w:t>
      </w:r>
      <w:r>
        <w:rPr>
          <w:rFonts w:ascii="仿宋_GB2312" w:hAnsi="宋体" w:eastAsia="仿宋_GB2312"/>
          <w:sz w:val="32"/>
          <w:szCs w:val="32"/>
        </w:rPr>
        <w:t>万元</w:t>
      </w:r>
      <w:r>
        <w:rPr>
          <w:rFonts w:hint="eastAsia" w:ascii="仿宋_GB2312" w:hAnsi="宋体" w:eastAsia="仿宋_GB2312"/>
          <w:sz w:val="32"/>
          <w:szCs w:val="32"/>
        </w:rPr>
        <w:t>，具体包括：劳务费7.</w:t>
      </w:r>
      <w:r>
        <w:rPr>
          <w:rFonts w:hint="eastAsia" w:ascii="仿宋_GB2312" w:hAnsi="宋体" w:eastAsia="仿宋_GB2312"/>
          <w:sz w:val="32"/>
          <w:szCs w:val="32"/>
          <w:lang w:val="en-US" w:eastAsia="zh-CN"/>
        </w:rPr>
        <w:t>5</w:t>
      </w:r>
      <w:r>
        <w:rPr>
          <w:rFonts w:hint="eastAsia" w:ascii="仿宋_GB2312" w:hAnsi="宋体" w:eastAsia="仿宋_GB2312"/>
          <w:sz w:val="32"/>
          <w:szCs w:val="32"/>
        </w:rPr>
        <w:t>元。完成年初预算的100%，决算数大于年初预算数的原因主要是我局年初未做预算，于中期追加预算。</w:t>
      </w:r>
    </w:p>
    <w:p>
      <w:pPr>
        <w:numPr>
          <w:ilvl w:val="0"/>
          <w:numId w:val="3"/>
        </w:numPr>
        <w:spacing w:line="540" w:lineRule="exact"/>
        <w:ind w:firstLine="66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rPr>
        <w:t>632.12</w:t>
      </w:r>
      <w:r>
        <w:rPr>
          <w:rFonts w:ascii="仿宋_GB2312" w:hAnsi="宋体" w:eastAsia="仿宋_GB2312"/>
          <w:sz w:val="32"/>
          <w:szCs w:val="32"/>
        </w:rPr>
        <w:t>万元，按支出功能分类科目分，包括：</w:t>
      </w:r>
      <w:r>
        <w:rPr>
          <w:rFonts w:hint="eastAsia" w:ascii="仿宋_GB2312" w:hAnsi="宋体" w:eastAsia="仿宋_GB2312"/>
          <w:sz w:val="32"/>
          <w:szCs w:val="32"/>
          <w:highlight w:val="none"/>
        </w:rPr>
        <w:t>包括：</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632.12</w:t>
      </w:r>
      <w:r>
        <w:rPr>
          <w:rFonts w:hint="eastAsia" w:ascii="仿宋_GB2312" w:hAnsi="宋体" w:eastAsia="仿宋_GB2312"/>
          <w:sz w:val="32"/>
          <w:szCs w:val="32"/>
          <w:highlight w:val="none"/>
        </w:rPr>
        <w:t>万元。</w:t>
      </w:r>
    </w:p>
    <w:p>
      <w:pPr>
        <w:numPr>
          <w:ilvl w:val="0"/>
          <w:numId w:val="4"/>
        </w:numPr>
        <w:spacing w:line="56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城乡社区支出（类）国有土地使用权出让收入安排的支出（款）土地开发支出（项）</w:t>
      </w:r>
      <w:r>
        <w:rPr>
          <w:rFonts w:hint="eastAsia" w:ascii="仿宋_GB2312" w:hAnsi="宋体" w:eastAsia="仿宋_GB2312"/>
          <w:sz w:val="32"/>
          <w:szCs w:val="32"/>
          <w:highlight w:val="none"/>
          <w:lang w:val="en-US" w:eastAsia="zh-CN"/>
        </w:rPr>
        <w:t>632.12</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主要</w:t>
      </w:r>
      <w:r>
        <w:rPr>
          <w:rFonts w:hint="eastAsia" w:ascii="仿宋_GB2312" w:hAnsi="宋体" w:eastAsia="仿宋_GB2312"/>
          <w:sz w:val="32"/>
          <w:szCs w:val="32"/>
          <w:highlight w:val="none"/>
          <w:lang w:eastAsia="zh-CN"/>
        </w:rPr>
        <w:t>是国有土地使用权出让收入安排的支出，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sz w:val="32"/>
          <w:szCs w:val="32"/>
          <w:highlight w:val="none"/>
        </w:rPr>
        <w:t>。</w:t>
      </w:r>
    </w:p>
    <w:p>
      <w:pPr>
        <w:numPr>
          <w:ilvl w:val="0"/>
          <w:numId w:val="0"/>
        </w:numPr>
        <w:spacing w:line="560" w:lineRule="exact"/>
        <w:ind w:firstLine="321" w:firstLineChars="100"/>
        <w:rPr>
          <w:rFonts w:ascii="楷体_GB2312" w:hAnsi="宋体" w:eastAsia="楷体_GB2312"/>
          <w:b/>
          <w:sz w:val="32"/>
          <w:szCs w:val="32"/>
        </w:rPr>
      </w:pPr>
    </w:p>
    <w:p>
      <w:pPr>
        <w:numPr>
          <w:ilvl w:val="0"/>
          <w:numId w:val="0"/>
        </w:numPr>
        <w:spacing w:line="560" w:lineRule="exact"/>
        <w:ind w:firstLine="321" w:firstLineChars="10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pStyle w:val="8"/>
        <w:spacing w:line="560" w:lineRule="exact"/>
        <w:ind w:firstLine="660"/>
        <w:rPr>
          <w:rFonts w:hint="eastAsia" w:ascii="仿宋_GB2312" w:hAnsi="宋体" w:eastAsia="仿宋_GB2312" w:cstheme="minorBidi"/>
          <w:kern w:val="2"/>
          <w:sz w:val="32"/>
          <w:szCs w:val="32"/>
          <w:highlight w:val="none"/>
          <w:lang w:val="en-US" w:eastAsia="zh-CN" w:bidi="ar-SA"/>
        </w:rPr>
      </w:pPr>
      <w:r>
        <w:rPr>
          <w:rFonts w:hint="eastAsia" w:ascii="仿宋_GB2312" w:hAnsi="宋体" w:eastAsia="仿宋_GB2312" w:cstheme="minorBidi"/>
          <w:kern w:val="2"/>
          <w:sz w:val="32"/>
          <w:szCs w:val="32"/>
          <w:highlight w:val="none"/>
          <w:lang w:val="en-US" w:eastAsia="zh-CN" w:bidi="ar-SA"/>
        </w:rPr>
        <w:t>本年未发生此项资金</w:t>
      </w:r>
      <w:r>
        <w:rPr>
          <w:rFonts w:hint="eastAsia" w:ascii="仿宋_GB2312" w:eastAsia="仿宋_GB2312" w:cstheme="minorBidi"/>
          <w:kern w:val="2"/>
          <w:sz w:val="32"/>
          <w:szCs w:val="32"/>
          <w:highlight w:val="none"/>
          <w:lang w:val="en-US" w:eastAsia="zh-CN" w:bidi="ar-SA"/>
        </w:rPr>
        <w:t>。</w:t>
      </w:r>
    </w:p>
    <w:p>
      <w:pPr>
        <w:pStyle w:val="8"/>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8"/>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8"/>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8"/>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8"/>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8"/>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8"/>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18.61</w:t>
      </w:r>
      <w:r>
        <w:rPr>
          <w:rFonts w:ascii="仿宋_GB2312" w:eastAsia="仿宋_GB2312"/>
          <w:sz w:val="32"/>
        </w:rPr>
        <w:t>万元，其中：人员经费</w:t>
      </w:r>
      <w:r>
        <w:rPr>
          <w:rFonts w:hint="eastAsia" w:ascii="仿宋_GB2312" w:eastAsia="仿宋_GB2312"/>
          <w:sz w:val="32"/>
          <w:lang w:val="en-US" w:eastAsia="zh-CN"/>
        </w:rPr>
        <w:t>10.04</w:t>
      </w:r>
      <w:r>
        <w:rPr>
          <w:rFonts w:ascii="仿宋_GB2312" w:eastAsia="仿宋_GB2312"/>
          <w:sz w:val="32"/>
        </w:rPr>
        <w:t>万元，主要包括基本工资、津贴补贴、奖金、其他社会保障缴费、其他工资福利支出、离休费、退休费、抚恤金、生活补助、奖励金、住房公积金、采暖补贴、其他对个人和家庭补助的支出；日常公用经费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8.57</w:t>
      </w:r>
      <w:r>
        <w:rPr>
          <w:rFonts w:ascii="仿宋_GB2312" w:eastAsia="仿宋_GB2312"/>
          <w:sz w:val="32"/>
        </w:rPr>
        <w:t>万元，主要包括办公费、印刷费、手续费、水费、电费、邮电费、取暖费、物业费、差旅费、劳务费、委托业务费、工会经费、福利费、公务用车运行维护费、其他交通费用、其他商品和服务支出、办公设备购置、专用设备购置、信息网络及软件购置更新。</w:t>
      </w:r>
    </w:p>
    <w:p>
      <w:pPr>
        <w:pStyle w:val="8"/>
        <w:spacing w:line="560" w:lineRule="exact"/>
        <w:ind w:firstLine="640"/>
        <w:rPr>
          <w:rFonts w:hint="default" w:ascii="黑体" w:eastAsia="黑体"/>
          <w:sz w:val="32"/>
        </w:rPr>
      </w:pPr>
      <w:r>
        <w:rPr>
          <w:rFonts w:ascii="黑体" w:eastAsia="黑体"/>
          <w:sz w:val="32"/>
        </w:rPr>
        <w:t>五、其他重要事项的情况说明</w:t>
      </w:r>
    </w:p>
    <w:p>
      <w:pPr>
        <w:pStyle w:val="8"/>
        <w:spacing w:line="560" w:lineRule="exact"/>
        <w:ind w:firstLine="640"/>
        <w:rPr>
          <w:rFonts w:ascii="楷体_GB2312" w:eastAsia="楷体_GB2312"/>
          <w:b/>
          <w:sz w:val="32"/>
        </w:rPr>
      </w:pPr>
      <w:r>
        <w:rPr>
          <w:rFonts w:ascii="楷体_GB2312" w:eastAsia="楷体_GB2312"/>
          <w:b/>
          <w:sz w:val="32"/>
        </w:rPr>
        <w:t>（一）机关运行经费支出情况。</w:t>
      </w:r>
    </w:p>
    <w:p>
      <w:pPr>
        <w:pStyle w:val="8"/>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8.57</w:t>
      </w:r>
      <w:r>
        <w:rPr>
          <w:rFonts w:ascii="仿宋_GB2312" w:eastAsia="仿宋_GB2312"/>
          <w:sz w:val="32"/>
        </w:rPr>
        <w:t>万元，比上年决算数减少</w:t>
      </w:r>
      <w:r>
        <w:rPr>
          <w:rFonts w:hint="eastAsia" w:ascii="仿宋_GB2312" w:eastAsia="仿宋_GB2312"/>
          <w:sz w:val="32"/>
          <w:lang w:val="en-US" w:eastAsia="zh-CN"/>
        </w:rPr>
        <w:t>242.55</w:t>
      </w:r>
      <w:r>
        <w:rPr>
          <w:rFonts w:ascii="仿宋_GB2312" w:eastAsia="仿宋_GB2312"/>
          <w:sz w:val="32"/>
        </w:rPr>
        <w:t>万元，降低</w:t>
      </w:r>
      <w:r>
        <w:rPr>
          <w:rFonts w:hint="eastAsia" w:ascii="仿宋_GB2312" w:eastAsia="仿宋_GB2312"/>
          <w:sz w:val="32"/>
          <w:lang w:val="en-US" w:eastAsia="zh-CN"/>
        </w:rPr>
        <w:t>96.6</w:t>
      </w:r>
      <w:r>
        <w:rPr>
          <w:rFonts w:ascii="仿宋_GB2312" w:eastAsia="仿宋_GB2312"/>
          <w:sz w:val="32"/>
        </w:rPr>
        <w:t>%，主要原因是</w:t>
      </w:r>
      <w:r>
        <w:rPr>
          <w:rFonts w:hint="eastAsia" w:ascii="仿宋_GB2312" w:eastAsia="仿宋_GB2312"/>
          <w:sz w:val="32"/>
          <w:lang w:eastAsia="zh-CN"/>
        </w:rPr>
        <w:t>减少机关运行经费支出</w:t>
      </w:r>
      <w:r>
        <w:rPr>
          <w:rFonts w:ascii="仿宋_GB2312" w:eastAsia="仿宋_GB2312"/>
          <w:sz w:val="32"/>
        </w:rPr>
        <w:t>。</w:t>
      </w:r>
    </w:p>
    <w:p>
      <w:pPr>
        <w:pStyle w:val="8"/>
        <w:numPr>
          <w:ilvl w:val="0"/>
          <w:numId w:val="5"/>
        </w:numPr>
        <w:spacing w:line="560" w:lineRule="exact"/>
        <w:ind w:firstLine="640"/>
        <w:rPr>
          <w:rFonts w:ascii="楷体_GB2312" w:eastAsia="楷体_GB2312"/>
          <w:b/>
          <w:sz w:val="32"/>
        </w:rPr>
      </w:pPr>
      <w:r>
        <w:rPr>
          <w:rFonts w:ascii="楷体_GB2312" w:eastAsia="楷体_GB2312"/>
          <w:b/>
          <w:sz w:val="32"/>
        </w:rPr>
        <w:t>政府采购支出情况。</w:t>
      </w:r>
    </w:p>
    <w:p>
      <w:pPr>
        <w:pStyle w:val="8"/>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8"/>
        <w:numPr>
          <w:ilvl w:val="0"/>
          <w:numId w:val="5"/>
        </w:numPr>
        <w:spacing w:line="560" w:lineRule="exact"/>
        <w:ind w:left="0" w:leftChars="0" w:firstLine="640" w:firstLineChars="0"/>
        <w:rPr>
          <w:rFonts w:ascii="楷体_GB2312" w:eastAsia="楷体_GB2312"/>
          <w:b/>
          <w:sz w:val="32"/>
        </w:rPr>
      </w:pPr>
      <w:r>
        <w:rPr>
          <w:rFonts w:ascii="楷体_GB2312" w:eastAsia="楷体_GB2312"/>
          <w:b/>
          <w:sz w:val="32"/>
        </w:rPr>
        <w:t>国有资产占用情况。</w:t>
      </w:r>
    </w:p>
    <w:p>
      <w:pPr>
        <w:pStyle w:val="8"/>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widowControl/>
        <w:spacing w:line="560" w:lineRule="exact"/>
        <w:ind w:firstLine="643" w:firstLineChars="200"/>
        <w:rPr>
          <w:rFonts w:ascii="楷体_GB2312" w:eastAsia="楷体_GB2312"/>
          <w:b/>
          <w:sz w:val="32"/>
        </w:rPr>
      </w:pPr>
      <w:r>
        <w:rPr>
          <w:rFonts w:ascii="楷体_GB2312" w:eastAsia="楷体_GB2312"/>
          <w:b/>
          <w:sz w:val="32"/>
        </w:rPr>
        <w:t>（四）预算绩效管理工作开展情况。</w:t>
      </w:r>
    </w:p>
    <w:p>
      <w:pPr>
        <w:widowControl/>
        <w:spacing w:line="560" w:lineRule="exact"/>
        <w:ind w:firstLine="640" w:firstLineChars="200"/>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我单位2021年不涉及民生项目和重点支出项目</w:t>
      </w:r>
    </w:p>
    <w:p>
      <w:pPr>
        <w:pStyle w:val="8"/>
        <w:spacing w:line="560" w:lineRule="exact"/>
        <w:rPr>
          <w:rFonts w:hint="default"/>
          <w:b/>
          <w:sz w:val="36"/>
        </w:rPr>
      </w:pPr>
    </w:p>
    <w:p>
      <w:pPr>
        <w:pStyle w:val="11"/>
        <w:autoSpaceDN w:val="0"/>
        <w:spacing w:line="560" w:lineRule="exact"/>
        <w:ind w:firstLine="2168" w:firstLineChars="600"/>
        <w:rPr>
          <w:b/>
          <w:bCs/>
          <w:sz w:val="36"/>
          <w:szCs w:val="36"/>
        </w:rPr>
      </w:pPr>
      <w:r>
        <w:rPr>
          <w:rFonts w:hint="eastAsia"/>
          <w:b/>
          <w:bCs/>
          <w:sz w:val="36"/>
          <w:szCs w:val="36"/>
        </w:rPr>
        <w:t>第三部分 名词解释</w:t>
      </w:r>
    </w:p>
    <w:p>
      <w:pPr>
        <w:pStyle w:val="8"/>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8"/>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8"/>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8"/>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8"/>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8"/>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8"/>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8"/>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8"/>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8"/>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8"/>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8"/>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8"/>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8"/>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8"/>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8"/>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8"/>
        <w:spacing w:line="560" w:lineRule="exact"/>
        <w:ind w:firstLine="640"/>
        <w:rPr>
          <w:rFonts w:hint="default" w:ascii="仿宋_GB2312" w:eastAsia="仿宋_GB2312"/>
          <w:i/>
          <w:sz w:val="32"/>
          <w:u w:val="single"/>
        </w:rPr>
      </w:pPr>
    </w:p>
    <w:p>
      <w:pPr>
        <w:pStyle w:val="8"/>
        <w:spacing w:line="560" w:lineRule="atLeast"/>
        <w:jc w:val="left"/>
        <w:rPr>
          <w:rFonts w:hint="default" w:ascii="仿宋_GB2312" w:hAnsi="仿宋_GB2312" w:eastAsia="仿宋_GB2312" w:cs="仿宋_GB2312"/>
          <w:b/>
          <w:sz w:val="52"/>
          <w:szCs w:val="52"/>
        </w:rPr>
      </w:pPr>
    </w:p>
    <w:p>
      <w:pPr>
        <w:pStyle w:val="8"/>
        <w:spacing w:line="560" w:lineRule="atLeast"/>
        <w:jc w:val="left"/>
        <w:rPr>
          <w:rFonts w:hint="default" w:ascii="仿宋_GB2312" w:hAnsi="仿宋_GB2312" w:eastAsia="仿宋_GB2312" w:cs="仿宋_GB2312"/>
          <w:b/>
          <w:sz w:val="52"/>
          <w:szCs w:val="52"/>
        </w:rPr>
      </w:pPr>
    </w:p>
    <w:p>
      <w:pPr>
        <w:pStyle w:val="8"/>
        <w:spacing w:line="560" w:lineRule="atLeast"/>
        <w:jc w:val="left"/>
        <w:rPr>
          <w:rFonts w:hint="default" w:ascii="仿宋_GB2312" w:hAnsi="仿宋_GB2312" w:eastAsia="仿宋_GB2312" w:cs="仿宋_GB2312"/>
          <w:b/>
          <w:sz w:val="52"/>
          <w:szCs w:val="52"/>
        </w:rPr>
      </w:pPr>
    </w:p>
    <w:p>
      <w:pPr>
        <w:pStyle w:val="8"/>
        <w:spacing w:line="560" w:lineRule="atLeast"/>
        <w:jc w:val="center"/>
        <w:rPr>
          <w:rFonts w:ascii="仿宋_GB2312" w:hAnsi="仿宋_GB2312" w:eastAsia="仿宋_GB2312" w:cs="仿宋_GB2312"/>
          <w:b/>
          <w:sz w:val="52"/>
          <w:szCs w:val="52"/>
        </w:rPr>
      </w:pPr>
    </w:p>
    <w:p>
      <w:pPr>
        <w:pStyle w:val="8"/>
        <w:spacing w:line="560" w:lineRule="atLeast"/>
        <w:jc w:val="center"/>
        <w:rPr>
          <w:rFonts w:ascii="仿宋_GB2312" w:hAnsi="仿宋_GB2312" w:eastAsia="仿宋_GB2312" w:cs="仿宋_GB2312"/>
          <w:b/>
          <w:sz w:val="52"/>
          <w:szCs w:val="52"/>
        </w:rPr>
      </w:pPr>
    </w:p>
    <w:p>
      <w:pPr>
        <w:pStyle w:val="8"/>
        <w:spacing w:line="560" w:lineRule="atLeast"/>
        <w:jc w:val="center"/>
        <w:rPr>
          <w:rFonts w:ascii="仿宋_GB2312" w:hAnsi="仿宋_GB2312" w:eastAsia="仿宋_GB2312" w:cs="仿宋_GB2312"/>
          <w:b/>
          <w:sz w:val="52"/>
          <w:szCs w:val="52"/>
        </w:rPr>
      </w:pPr>
    </w:p>
    <w:p>
      <w:pPr>
        <w:pStyle w:val="8"/>
        <w:spacing w:line="560" w:lineRule="atLeast"/>
        <w:jc w:val="center"/>
        <w:rPr>
          <w:rFonts w:ascii="仿宋_GB2312" w:hAnsi="仿宋_GB2312" w:eastAsia="仿宋_GB2312" w:cs="仿宋_GB2312"/>
          <w:b/>
          <w:sz w:val="52"/>
          <w:szCs w:val="52"/>
        </w:rPr>
      </w:pPr>
    </w:p>
    <w:p>
      <w:pPr>
        <w:pStyle w:val="8"/>
        <w:spacing w:line="560" w:lineRule="atLeast"/>
        <w:jc w:val="center"/>
        <w:rPr>
          <w:rFonts w:ascii="仿宋_GB2312" w:hAnsi="仿宋_GB2312" w:eastAsia="仿宋_GB2312" w:cs="仿宋_GB2312"/>
          <w:b/>
          <w:sz w:val="52"/>
          <w:szCs w:val="52"/>
        </w:rPr>
      </w:pPr>
    </w:p>
    <w:p>
      <w:pPr>
        <w:pStyle w:val="8"/>
        <w:spacing w:line="560" w:lineRule="atLeast"/>
        <w:jc w:val="center"/>
        <w:rPr>
          <w:rFonts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8"/>
        <w:spacing w:line="560" w:lineRule="atLeast"/>
        <w:jc w:val="center"/>
        <w:rPr>
          <w:rFonts w:ascii="仿宋_GB2312" w:hAnsi="仿宋_GB2312" w:eastAsia="仿宋_GB2312" w:cs="仿宋_GB2312"/>
          <w:b/>
          <w:sz w:val="52"/>
          <w:szCs w:val="52"/>
        </w:rPr>
      </w:pPr>
    </w:p>
    <w:p>
      <w:pPr>
        <w:pStyle w:val="8"/>
        <w:spacing w:line="560" w:lineRule="atLeast"/>
        <w:jc w:val="center"/>
        <w:rPr>
          <w:rFonts w:ascii="仿宋_GB2312" w:hAnsi="仿宋_GB2312" w:eastAsia="仿宋_GB2312" w:cs="仿宋_GB2312"/>
          <w:b/>
          <w:sz w:val="52"/>
          <w:szCs w:val="52"/>
        </w:rPr>
      </w:pPr>
    </w:p>
    <w:p>
      <w:pPr>
        <w:pStyle w:val="8"/>
        <w:spacing w:line="560" w:lineRule="atLeast"/>
        <w:jc w:val="center"/>
        <w:rPr>
          <w:rFonts w:ascii="仿宋_GB2312" w:hAnsi="仿宋_GB2312" w:eastAsia="仿宋_GB2312" w:cs="仿宋_GB2312"/>
          <w:b/>
          <w:sz w:val="52"/>
          <w:szCs w:val="52"/>
        </w:rPr>
      </w:pPr>
    </w:p>
    <w:p>
      <w:pPr>
        <w:pStyle w:val="8"/>
        <w:spacing w:line="560" w:lineRule="atLeast"/>
        <w:jc w:val="center"/>
        <w:rPr>
          <w:rFonts w:ascii="仿宋_GB2312" w:hAnsi="仿宋_GB2312" w:eastAsia="仿宋_GB2312" w:cs="仿宋_GB2312"/>
          <w:b/>
          <w:sz w:val="52"/>
          <w:szCs w:val="52"/>
        </w:rPr>
      </w:pPr>
    </w:p>
    <w:p>
      <w:pPr>
        <w:pStyle w:val="8"/>
        <w:spacing w:line="560" w:lineRule="atLeast"/>
        <w:jc w:val="center"/>
        <w:rPr>
          <w:rFonts w:hint="default"/>
          <w:b/>
          <w:sz w:val="36"/>
        </w:rPr>
      </w:pPr>
      <w:r>
        <w:rPr>
          <w:rFonts w:ascii="仿宋_GB2312" w:hAnsi="仿宋_GB2312" w:eastAsia="仿宋_GB2312" w:cs="仿宋_GB2312"/>
          <w:b/>
          <w:sz w:val="52"/>
          <w:szCs w:val="52"/>
        </w:rPr>
        <w:t>第四部分</w:t>
      </w:r>
      <w:r>
        <w:rPr>
          <w:rFonts w:hint="eastAsia" w:ascii="仿宋_GB2312" w:hAnsi="仿宋_GB2312" w:eastAsia="仿宋_GB2312" w:cs="仿宋_GB2312"/>
          <w:b/>
          <w:sz w:val="52"/>
          <w:szCs w:val="52"/>
          <w:lang w:val="en-US" w:eastAsia="zh-CN"/>
        </w:rPr>
        <w:t xml:space="preserve"> </w:t>
      </w:r>
      <w:r>
        <w:rPr>
          <w:rFonts w:hint="eastAsia" w:ascii="仿宋_GB2312" w:hAnsi="仿宋_GB2312" w:eastAsia="仿宋_GB2312" w:cs="仿宋_GB2312"/>
          <w:b/>
          <w:sz w:val="52"/>
          <w:szCs w:val="52"/>
          <w:lang w:eastAsia="zh-CN"/>
        </w:rPr>
        <w:t>沈阳市自然资源局浑南分局</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65E17D"/>
    <w:multiLevelType w:val="singleLevel"/>
    <w:tmpl w:val="9865E17D"/>
    <w:lvl w:ilvl="0" w:tentative="0">
      <w:start w:val="1"/>
      <w:numFmt w:val="decimal"/>
      <w:lvlText w:val="%1."/>
      <w:lvlJc w:val="left"/>
      <w:pPr>
        <w:tabs>
          <w:tab w:val="left" w:pos="312"/>
        </w:tabs>
      </w:pPr>
    </w:lvl>
  </w:abstractNum>
  <w:abstractNum w:abstractNumId="1">
    <w:nsid w:val="E9E08A24"/>
    <w:multiLevelType w:val="singleLevel"/>
    <w:tmpl w:val="E9E08A24"/>
    <w:lvl w:ilvl="0" w:tentative="0">
      <w:start w:val="3"/>
      <w:numFmt w:val="chineseCounting"/>
      <w:suff w:val="nothing"/>
      <w:lvlText w:val="（%1）"/>
      <w:lvlJc w:val="left"/>
      <w:rPr>
        <w:rFonts w:hint="eastAsia"/>
        <w:color w:val="auto"/>
      </w:rPr>
    </w:lvl>
  </w:abstractNum>
  <w:abstractNum w:abstractNumId="2">
    <w:nsid w:val="EE1CF262"/>
    <w:multiLevelType w:val="singleLevel"/>
    <w:tmpl w:val="EE1CF262"/>
    <w:lvl w:ilvl="0" w:tentative="0">
      <w:start w:val="2"/>
      <w:numFmt w:val="chineseCounting"/>
      <w:suff w:val="nothing"/>
      <w:lvlText w:val="（%1）"/>
      <w:lvlJc w:val="left"/>
      <w:rPr>
        <w:rFonts w:hint="eastAsia"/>
      </w:rPr>
    </w:lvl>
  </w:abstractNum>
  <w:abstractNum w:abstractNumId="3">
    <w:nsid w:val="36F930A7"/>
    <w:multiLevelType w:val="multilevel"/>
    <w:tmpl w:val="36F930A7"/>
    <w:lvl w:ilvl="0" w:tentative="0">
      <w:start w:val="2"/>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241788A"/>
    <w:multiLevelType w:val="singleLevel"/>
    <w:tmpl w:val="5241788A"/>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1612EA5"/>
    <w:rsid w:val="128F6D01"/>
    <w:rsid w:val="1B1B7447"/>
    <w:rsid w:val="1C635C29"/>
    <w:rsid w:val="1E5E1DE5"/>
    <w:rsid w:val="2E4F6256"/>
    <w:rsid w:val="36230505"/>
    <w:rsid w:val="43AB16D7"/>
    <w:rsid w:val="54F6469B"/>
    <w:rsid w:val="5B697371"/>
    <w:rsid w:val="66F56254"/>
    <w:rsid w:val="673C6F2C"/>
    <w:rsid w:val="714D5B57"/>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hint="default" w:ascii="宋体" w:hAnsi="宋体" w:cs="宋体"/>
      <w:kern w:val="0"/>
      <w:sz w:val="24"/>
      <w:szCs w:val="24"/>
    </w:rPr>
  </w:style>
  <w:style w:type="character" w:styleId="7">
    <w:name w:val="Emphasis"/>
    <w:basedOn w:val="6"/>
    <w:qFormat/>
    <w:uiPriority w:val="20"/>
    <w:rPr>
      <w:i/>
      <w:iCs/>
    </w:rPr>
  </w:style>
  <w:style w:type="paragraph" w:customStyle="1" w:styleId="8">
    <w:name w:val="p0"/>
    <w:basedOn w:val="1"/>
    <w:qFormat/>
    <w:uiPriority w:val="0"/>
    <w:pPr>
      <w:widowControl/>
    </w:pPr>
    <w:rPr>
      <w:rFonts w:ascii="宋体" w:hAnsi="宋体"/>
    </w:rPr>
  </w:style>
  <w:style w:type="character" w:customStyle="1" w:styleId="9">
    <w:name w:val="页眉 Char"/>
    <w:basedOn w:val="6"/>
    <w:link w:val="3"/>
    <w:qFormat/>
    <w:uiPriority w:val="0"/>
    <w:rPr>
      <w:rFonts w:ascii="Times New Roman" w:hAnsi="Times New Roman" w:eastAsia="宋体"/>
      <w:kern w:val="2"/>
      <w:sz w:val="18"/>
      <w:szCs w:val="18"/>
    </w:rPr>
  </w:style>
  <w:style w:type="character" w:customStyle="1" w:styleId="10">
    <w:name w:val="页脚 Char"/>
    <w:basedOn w:val="6"/>
    <w:link w:val="2"/>
    <w:qFormat/>
    <w:uiPriority w:val="0"/>
    <w:rPr>
      <w:rFonts w:ascii="Times New Roman" w:hAnsi="Times New Roman" w:eastAsia="宋体"/>
      <w:kern w:val="2"/>
      <w:sz w:val="18"/>
      <w:szCs w:val="18"/>
    </w:rPr>
  </w:style>
  <w:style w:type="paragraph" w:customStyle="1" w:styleId="11">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3730</Words>
  <Characters>4070</Characters>
  <Lines>37</Lines>
  <Paragraphs>10</Paragraphs>
  <TotalTime>1</TotalTime>
  <ScaleCrop>false</ScaleCrop>
  <LinksUpToDate>false</LinksUpToDate>
  <CharactersWithSpaces>4106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2023-05-15T05:33:00Z</cp:lastPrinted>
  <dcterms:modified xsi:type="dcterms:W3CDTF">2023-09-05T08:49:30Z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