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5A9B9">
      <w:pPr>
        <w:pStyle w:val="8"/>
        <w:rPr>
          <w:rFonts w:ascii="黑体" w:eastAsia="黑体" w:cs="黑体"/>
          <w:sz w:val="32"/>
          <w:szCs w:val="32"/>
        </w:rPr>
      </w:pPr>
      <w:r>
        <w:rPr>
          <w:rFonts w:hint="eastAsia" w:ascii="黑体" w:eastAsia="黑体" w:cs="黑体"/>
          <w:sz w:val="32"/>
          <w:szCs w:val="32"/>
        </w:rPr>
        <w:t>附件</w:t>
      </w:r>
      <w:r>
        <w:rPr>
          <w:rFonts w:ascii="黑体" w:eastAsia="黑体" w:cs="黑体"/>
          <w:sz w:val="32"/>
          <w:szCs w:val="32"/>
        </w:rPr>
        <w:t>2</w:t>
      </w:r>
    </w:p>
    <w:p w14:paraId="1F836BE9">
      <w:pPr>
        <w:pStyle w:val="8"/>
        <w:rPr>
          <w:rFonts w:cs="Times New Roman"/>
          <w:b/>
          <w:bCs/>
          <w:sz w:val="44"/>
          <w:szCs w:val="44"/>
        </w:rPr>
      </w:pPr>
    </w:p>
    <w:p w14:paraId="6EEBB88A">
      <w:pPr>
        <w:pStyle w:val="8"/>
        <w:rPr>
          <w:rFonts w:cs="Times New Roman"/>
          <w:b/>
          <w:bCs/>
          <w:sz w:val="44"/>
          <w:szCs w:val="44"/>
        </w:rPr>
      </w:pPr>
    </w:p>
    <w:p w14:paraId="6F3F03E1">
      <w:pPr>
        <w:pStyle w:val="8"/>
        <w:rPr>
          <w:rFonts w:cs="Times New Roman"/>
          <w:b/>
          <w:bCs/>
          <w:sz w:val="44"/>
          <w:szCs w:val="44"/>
        </w:rPr>
      </w:pPr>
    </w:p>
    <w:p w14:paraId="00C05823">
      <w:pPr>
        <w:pStyle w:val="8"/>
        <w:rPr>
          <w:rFonts w:cs="Times New Roman"/>
          <w:b/>
          <w:bCs/>
          <w:sz w:val="44"/>
          <w:szCs w:val="44"/>
        </w:rPr>
      </w:pPr>
    </w:p>
    <w:p w14:paraId="7E502AFF">
      <w:pPr>
        <w:pStyle w:val="8"/>
        <w:rPr>
          <w:rFonts w:cs="Times New Roman"/>
          <w:b/>
          <w:bCs/>
          <w:sz w:val="44"/>
          <w:szCs w:val="44"/>
        </w:rPr>
      </w:pPr>
    </w:p>
    <w:p w14:paraId="62C7DBC7">
      <w:pPr>
        <w:pStyle w:val="8"/>
        <w:rPr>
          <w:rFonts w:cs="Times New Roman"/>
          <w:b/>
          <w:bCs/>
          <w:sz w:val="44"/>
          <w:szCs w:val="44"/>
        </w:rPr>
      </w:pPr>
    </w:p>
    <w:p w14:paraId="50CE0BC2">
      <w:pPr>
        <w:spacing w:line="540" w:lineRule="exact"/>
        <w:jc w:val="center"/>
        <w:rPr>
          <w:rFonts w:ascii="宋体"/>
          <w:b/>
          <w:bCs/>
          <w:sz w:val="52"/>
          <w:szCs w:val="52"/>
        </w:rPr>
      </w:pPr>
      <w:r>
        <w:rPr>
          <w:rFonts w:hint="eastAsia" w:ascii="宋体" w:hAnsi="宋体" w:cs="宋体"/>
          <w:b/>
          <w:bCs/>
          <w:sz w:val="52"/>
          <w:szCs w:val="52"/>
        </w:rPr>
        <w:t>浑南区教育系统</w:t>
      </w:r>
      <w:r>
        <w:rPr>
          <w:rFonts w:ascii="宋体" w:hAnsi="宋体" w:cs="宋体"/>
          <w:b/>
          <w:bCs/>
          <w:sz w:val="52"/>
          <w:szCs w:val="52"/>
        </w:rPr>
        <w:t>2021</w:t>
      </w:r>
      <w:r>
        <w:rPr>
          <w:rFonts w:hint="eastAsia" w:ascii="宋体" w:hAnsi="宋体" w:cs="宋体"/>
          <w:b/>
          <w:bCs/>
          <w:sz w:val="52"/>
          <w:szCs w:val="52"/>
        </w:rPr>
        <w:t>年度</w:t>
      </w:r>
    </w:p>
    <w:p w14:paraId="0C2AE4D1">
      <w:pPr>
        <w:spacing w:line="540" w:lineRule="exact"/>
        <w:jc w:val="center"/>
        <w:rPr>
          <w:rFonts w:ascii="宋体"/>
          <w:b/>
          <w:bCs/>
          <w:sz w:val="52"/>
          <w:szCs w:val="52"/>
        </w:rPr>
      </w:pPr>
      <w:r>
        <w:rPr>
          <w:rFonts w:hint="eastAsia" w:ascii="宋体" w:hAnsi="宋体" w:cs="宋体"/>
          <w:b/>
          <w:bCs/>
          <w:sz w:val="52"/>
          <w:szCs w:val="52"/>
        </w:rPr>
        <w:t>决算说明</w:t>
      </w:r>
    </w:p>
    <w:p w14:paraId="10A4B6A1">
      <w:pPr>
        <w:pStyle w:val="8"/>
        <w:jc w:val="center"/>
        <w:rPr>
          <w:rFonts w:ascii="仿宋_GB2312" w:eastAsia="仿宋_GB2312" w:cs="Times New Roman"/>
          <w:b/>
          <w:bCs/>
          <w:sz w:val="52"/>
          <w:szCs w:val="52"/>
        </w:rPr>
      </w:pPr>
    </w:p>
    <w:p w14:paraId="1AAB3AB1">
      <w:pPr>
        <w:pStyle w:val="8"/>
        <w:jc w:val="center"/>
        <w:rPr>
          <w:rFonts w:ascii="仿宋_GB2312" w:eastAsia="仿宋_GB2312" w:cs="Times New Roman"/>
          <w:b/>
          <w:bCs/>
          <w:sz w:val="52"/>
          <w:szCs w:val="52"/>
        </w:rPr>
      </w:pPr>
    </w:p>
    <w:p w14:paraId="4886C449">
      <w:pPr>
        <w:pStyle w:val="8"/>
        <w:jc w:val="center"/>
        <w:rPr>
          <w:rFonts w:ascii="Times New Roman" w:eastAsia="Times New Roman" w:cs="Times New Roman"/>
          <w:b/>
          <w:bCs/>
          <w:sz w:val="44"/>
          <w:szCs w:val="44"/>
          <w:u w:val="single"/>
        </w:rPr>
      </w:pPr>
    </w:p>
    <w:p w14:paraId="5DBB8443">
      <w:pPr>
        <w:pStyle w:val="8"/>
        <w:jc w:val="center"/>
        <w:rPr>
          <w:rFonts w:ascii="Times New Roman" w:eastAsia="Times New Roman" w:cs="Times New Roman"/>
          <w:b/>
          <w:bCs/>
          <w:sz w:val="44"/>
          <w:szCs w:val="44"/>
          <w:u w:val="single"/>
        </w:rPr>
      </w:pPr>
    </w:p>
    <w:p w14:paraId="4CCB14DF">
      <w:pPr>
        <w:pStyle w:val="8"/>
        <w:jc w:val="center"/>
        <w:rPr>
          <w:rFonts w:ascii="Times New Roman" w:eastAsia="Times New Roman" w:cs="Times New Roman"/>
          <w:b/>
          <w:bCs/>
          <w:sz w:val="44"/>
          <w:szCs w:val="44"/>
          <w:u w:val="single"/>
        </w:rPr>
      </w:pPr>
    </w:p>
    <w:p w14:paraId="4F31D411">
      <w:pPr>
        <w:pStyle w:val="8"/>
        <w:jc w:val="center"/>
        <w:rPr>
          <w:rFonts w:ascii="Times New Roman" w:cs="Times New Roman"/>
          <w:b/>
          <w:bCs/>
          <w:sz w:val="44"/>
          <w:szCs w:val="44"/>
          <w:u w:val="single"/>
        </w:rPr>
      </w:pPr>
    </w:p>
    <w:p w14:paraId="00434A7C">
      <w:pPr>
        <w:pStyle w:val="8"/>
        <w:jc w:val="center"/>
        <w:rPr>
          <w:rFonts w:ascii="Times New Roman" w:cs="Times New Roman"/>
          <w:b/>
          <w:bCs/>
          <w:sz w:val="44"/>
          <w:szCs w:val="44"/>
          <w:u w:val="single"/>
        </w:rPr>
      </w:pPr>
    </w:p>
    <w:p w14:paraId="0CCB6EA4">
      <w:pPr>
        <w:pStyle w:val="8"/>
        <w:jc w:val="center"/>
        <w:rPr>
          <w:rFonts w:ascii="Times New Roman" w:eastAsia="Times New Roman" w:cs="Times New Roman"/>
          <w:b/>
          <w:bCs/>
          <w:sz w:val="44"/>
          <w:szCs w:val="44"/>
          <w:u w:val="single"/>
        </w:rPr>
      </w:pPr>
    </w:p>
    <w:p w14:paraId="30231551">
      <w:pPr>
        <w:pStyle w:val="8"/>
        <w:jc w:val="center"/>
        <w:rPr>
          <w:rFonts w:ascii="Times New Roman" w:eastAsia="Times New Roman" w:cs="Times New Roman"/>
          <w:b/>
          <w:bCs/>
          <w:sz w:val="44"/>
          <w:szCs w:val="44"/>
          <w:u w:val="single"/>
        </w:rPr>
      </w:pPr>
    </w:p>
    <w:p w14:paraId="5C7FF557">
      <w:pPr>
        <w:pStyle w:val="8"/>
        <w:jc w:val="center"/>
        <w:rPr>
          <w:rFonts w:ascii="Times New Roman" w:eastAsia="Times New Roman" w:cs="Times New Roman"/>
          <w:b/>
          <w:bCs/>
          <w:sz w:val="44"/>
          <w:szCs w:val="44"/>
          <w:u w:val="single"/>
        </w:rPr>
      </w:pPr>
    </w:p>
    <w:p w14:paraId="40B6E04C">
      <w:pPr>
        <w:pStyle w:val="8"/>
        <w:jc w:val="center"/>
        <w:rPr>
          <w:rFonts w:ascii="Times New Roman" w:eastAsia="Times New Roman" w:cs="Times New Roman"/>
          <w:b/>
          <w:bCs/>
          <w:sz w:val="44"/>
          <w:szCs w:val="44"/>
          <w:u w:val="single"/>
        </w:rPr>
      </w:pPr>
    </w:p>
    <w:p w14:paraId="4239D2B4">
      <w:pPr>
        <w:pStyle w:val="8"/>
        <w:jc w:val="center"/>
        <w:rPr>
          <w:rFonts w:ascii="Times New Roman" w:eastAsia="Times New Roman" w:cs="Times New Roman"/>
          <w:b/>
          <w:bCs/>
          <w:sz w:val="44"/>
          <w:szCs w:val="44"/>
          <w:u w:val="single"/>
        </w:rPr>
      </w:pPr>
    </w:p>
    <w:p w14:paraId="7619998D">
      <w:pPr>
        <w:pStyle w:val="8"/>
        <w:spacing w:line="560" w:lineRule="exact"/>
        <w:jc w:val="center"/>
        <w:rPr>
          <w:rFonts w:ascii="Times New Roman" w:eastAsia="Times New Roman" w:cs="Times New Roman"/>
          <w:b/>
          <w:bCs/>
          <w:sz w:val="44"/>
          <w:szCs w:val="44"/>
        </w:rPr>
      </w:pPr>
      <w:r>
        <w:rPr>
          <w:rFonts w:hint="eastAsia"/>
          <w:b/>
          <w:bCs/>
          <w:sz w:val="44"/>
          <w:szCs w:val="44"/>
        </w:rPr>
        <w:t>目录</w:t>
      </w:r>
    </w:p>
    <w:p w14:paraId="397D82D1">
      <w:pPr>
        <w:pStyle w:val="8"/>
        <w:spacing w:line="560" w:lineRule="exact"/>
        <w:rPr>
          <w:rFonts w:ascii="Times New Roman" w:eastAsia="Times New Roman" w:cs="Times New Roman"/>
          <w:b/>
          <w:bCs/>
          <w:sz w:val="44"/>
          <w:szCs w:val="44"/>
          <w:u w:val="single"/>
        </w:rPr>
      </w:pPr>
    </w:p>
    <w:p w14:paraId="704816C5">
      <w:pPr>
        <w:pStyle w:val="8"/>
        <w:spacing w:line="560" w:lineRule="exact"/>
        <w:rPr>
          <w:rFonts w:ascii="黑体" w:eastAsia="黑体" w:cs="Times New Roman"/>
          <w:sz w:val="32"/>
          <w:szCs w:val="32"/>
        </w:rPr>
      </w:pPr>
      <w:r>
        <w:rPr>
          <w:rFonts w:hint="eastAsia" w:ascii="黑体" w:eastAsia="黑体" w:cs="黑体"/>
          <w:sz w:val="32"/>
          <w:szCs w:val="32"/>
        </w:rPr>
        <w:t>第一部分</w:t>
      </w:r>
      <w:r>
        <w:rPr>
          <w:rFonts w:ascii="黑体" w:eastAsia="黑体" w:cs="黑体"/>
          <w:sz w:val="32"/>
          <w:szCs w:val="32"/>
        </w:rPr>
        <w:t xml:space="preserve">    </w:t>
      </w:r>
      <w:r>
        <w:rPr>
          <w:rFonts w:hint="eastAsia" w:ascii="黑体" w:eastAsia="黑体" w:cs="黑体"/>
          <w:sz w:val="32"/>
          <w:szCs w:val="32"/>
        </w:rPr>
        <w:t>浑南区教育系统概况</w:t>
      </w:r>
    </w:p>
    <w:p w14:paraId="51D1A946">
      <w:pPr>
        <w:pStyle w:val="8"/>
        <w:spacing w:line="560" w:lineRule="exact"/>
        <w:ind w:left="720" w:hanging="720"/>
        <w:rPr>
          <w:rFonts w:ascii="仿宋_GB2312" w:eastAsia="仿宋_GB2312" w:cs="Times New Roman"/>
          <w:sz w:val="32"/>
          <w:szCs w:val="32"/>
        </w:rPr>
      </w:pPr>
      <w:r>
        <w:rPr>
          <w:rFonts w:hint="eastAsia" w:ascii="Times New Roman" w:hAnsi="Times New Roman"/>
          <w:sz w:val="32"/>
          <w:szCs w:val="32"/>
        </w:rPr>
        <w:t>一、</w:t>
      </w:r>
      <w:r>
        <w:rPr>
          <w:rFonts w:hint="eastAsia" w:ascii="仿宋_GB2312" w:eastAsia="仿宋_GB2312" w:cs="仿宋_GB2312"/>
          <w:sz w:val="32"/>
          <w:szCs w:val="32"/>
        </w:rPr>
        <w:t>主要职责</w:t>
      </w:r>
    </w:p>
    <w:p w14:paraId="4613377F">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二、决算单位构成</w:t>
      </w:r>
    </w:p>
    <w:p w14:paraId="068F9676">
      <w:pPr>
        <w:pStyle w:val="8"/>
        <w:spacing w:line="560" w:lineRule="exact"/>
        <w:rPr>
          <w:rFonts w:hint="eastAsia" w:ascii="黑体" w:eastAsia="黑体" w:cs="黑体"/>
          <w:sz w:val="32"/>
          <w:szCs w:val="32"/>
        </w:rPr>
      </w:pPr>
      <w:r>
        <w:rPr>
          <w:rFonts w:hint="eastAsia" w:ascii="黑体" w:eastAsia="黑体" w:cs="黑体"/>
          <w:sz w:val="32"/>
          <w:szCs w:val="32"/>
        </w:rPr>
        <w:t>第二部分</w:t>
      </w:r>
      <w:r>
        <w:rPr>
          <w:rFonts w:ascii="黑体" w:eastAsia="黑体" w:cs="黑体"/>
          <w:sz w:val="32"/>
          <w:szCs w:val="32"/>
        </w:rPr>
        <w:t xml:space="preserve">   </w:t>
      </w:r>
      <w:r>
        <w:rPr>
          <w:rFonts w:hint="eastAsia" w:ascii="黑体" w:eastAsia="黑体" w:cs="黑体"/>
          <w:sz w:val="32"/>
          <w:szCs w:val="32"/>
        </w:rPr>
        <w:t>浑南区教育系统</w:t>
      </w:r>
      <w:r>
        <w:rPr>
          <w:rFonts w:ascii="黑体" w:eastAsia="黑体" w:cs="黑体"/>
          <w:sz w:val="32"/>
          <w:szCs w:val="32"/>
        </w:rPr>
        <w:t>2021</w:t>
      </w:r>
      <w:r>
        <w:rPr>
          <w:rFonts w:hint="eastAsia" w:ascii="黑体" w:eastAsia="黑体" w:cs="黑体"/>
          <w:sz w:val="32"/>
          <w:szCs w:val="32"/>
        </w:rPr>
        <w:t>年决算情况说明</w:t>
      </w:r>
    </w:p>
    <w:p w14:paraId="26128F79">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一、收入支出决算总体情况说明</w:t>
      </w:r>
    </w:p>
    <w:p w14:paraId="551C91CD">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二、财政拨款收入支出决算情况说明</w:t>
      </w:r>
    </w:p>
    <w:p w14:paraId="00248F9E">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三、一般公共预算财政拨款“三公”经费支出决算情况说明</w:t>
      </w:r>
    </w:p>
    <w:p w14:paraId="406910F8">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四、一般公共预算财政拨款基本支出决算情况说明</w:t>
      </w:r>
    </w:p>
    <w:p w14:paraId="390437FD">
      <w:pPr>
        <w:pStyle w:val="8"/>
        <w:spacing w:line="560" w:lineRule="exact"/>
        <w:rPr>
          <w:rFonts w:ascii="黑体" w:eastAsia="黑体" w:cs="Times New Roman"/>
          <w:sz w:val="32"/>
          <w:szCs w:val="32"/>
        </w:rPr>
      </w:pPr>
      <w:r>
        <w:rPr>
          <w:rFonts w:hint="eastAsia" w:ascii="仿宋_GB2312" w:eastAsia="仿宋_GB2312" w:cs="仿宋_GB2312"/>
          <w:sz w:val="32"/>
          <w:szCs w:val="32"/>
        </w:rPr>
        <w:t>五、其他重要事项的情况说明</w:t>
      </w:r>
    </w:p>
    <w:p w14:paraId="22D15279">
      <w:pPr>
        <w:pStyle w:val="8"/>
        <w:spacing w:line="560" w:lineRule="exact"/>
        <w:rPr>
          <w:rFonts w:ascii="黑体" w:eastAsia="黑体" w:cs="Times New Roman"/>
          <w:sz w:val="32"/>
          <w:szCs w:val="32"/>
        </w:rPr>
      </w:pPr>
      <w:r>
        <w:rPr>
          <w:rFonts w:hint="eastAsia" w:ascii="黑体" w:eastAsia="黑体" w:cs="黑体"/>
          <w:sz w:val="32"/>
          <w:szCs w:val="32"/>
        </w:rPr>
        <w:t>第三部分</w:t>
      </w:r>
      <w:r>
        <w:rPr>
          <w:rFonts w:ascii="黑体" w:eastAsia="黑体" w:cs="黑体"/>
          <w:sz w:val="32"/>
          <w:szCs w:val="32"/>
        </w:rPr>
        <w:t xml:space="preserve">    </w:t>
      </w:r>
      <w:r>
        <w:rPr>
          <w:rFonts w:hint="eastAsia" w:ascii="黑体" w:eastAsia="黑体" w:cs="黑体"/>
          <w:sz w:val="32"/>
          <w:szCs w:val="32"/>
        </w:rPr>
        <w:t>名词解释</w:t>
      </w:r>
    </w:p>
    <w:p w14:paraId="77AD8284">
      <w:pPr>
        <w:pStyle w:val="8"/>
        <w:spacing w:line="560" w:lineRule="exact"/>
        <w:rPr>
          <w:rFonts w:hint="eastAsia" w:ascii="黑体" w:eastAsia="黑体" w:cs="黑体"/>
          <w:sz w:val="32"/>
          <w:szCs w:val="32"/>
        </w:rPr>
      </w:pPr>
      <w:r>
        <w:rPr>
          <w:rFonts w:hint="eastAsia" w:ascii="黑体" w:eastAsia="黑体" w:cs="黑体"/>
          <w:sz w:val="32"/>
          <w:szCs w:val="32"/>
        </w:rPr>
        <w:t>第四部分</w:t>
      </w:r>
      <w:r>
        <w:rPr>
          <w:rFonts w:ascii="黑体" w:eastAsia="黑体" w:cs="黑体"/>
          <w:sz w:val="32"/>
          <w:szCs w:val="32"/>
        </w:rPr>
        <w:t xml:space="preserve">    </w:t>
      </w:r>
      <w:r>
        <w:rPr>
          <w:rFonts w:hint="eastAsia" w:ascii="黑体" w:eastAsia="黑体" w:cs="黑体"/>
          <w:sz w:val="32"/>
          <w:szCs w:val="32"/>
        </w:rPr>
        <w:t>浑南区教育系统</w:t>
      </w:r>
      <w:r>
        <w:rPr>
          <w:rFonts w:ascii="黑体" w:eastAsia="黑体" w:cs="黑体"/>
          <w:sz w:val="32"/>
          <w:szCs w:val="32"/>
        </w:rPr>
        <w:t>2021</w:t>
      </w:r>
      <w:r>
        <w:rPr>
          <w:rFonts w:hint="eastAsia" w:ascii="黑体" w:eastAsia="黑体" w:cs="黑体"/>
          <w:sz w:val="32"/>
          <w:szCs w:val="32"/>
        </w:rPr>
        <w:t>年决算报表</w:t>
      </w:r>
    </w:p>
    <w:p w14:paraId="7A0677B3">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一、</w:t>
      </w:r>
      <w:r>
        <w:rPr>
          <w:rFonts w:ascii="仿宋_GB2312" w:eastAsia="仿宋_GB2312" w:cs="仿宋_GB2312"/>
          <w:sz w:val="32"/>
          <w:szCs w:val="32"/>
        </w:rPr>
        <w:t>2021</w:t>
      </w:r>
      <w:r>
        <w:rPr>
          <w:rFonts w:hint="eastAsia" w:ascii="仿宋_GB2312" w:eastAsia="仿宋_GB2312" w:cs="仿宋_GB2312"/>
          <w:sz w:val="32"/>
          <w:szCs w:val="32"/>
        </w:rPr>
        <w:t>年度收入支出决算总表</w:t>
      </w:r>
    </w:p>
    <w:p w14:paraId="09839EB5">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二、</w:t>
      </w:r>
      <w:r>
        <w:rPr>
          <w:rFonts w:ascii="仿宋_GB2312" w:eastAsia="仿宋_GB2312" w:cs="仿宋_GB2312"/>
          <w:sz w:val="32"/>
          <w:szCs w:val="32"/>
        </w:rPr>
        <w:t>2021</w:t>
      </w:r>
      <w:r>
        <w:rPr>
          <w:rFonts w:hint="eastAsia" w:ascii="仿宋_GB2312" w:eastAsia="仿宋_GB2312" w:cs="仿宋_GB2312"/>
          <w:sz w:val="32"/>
          <w:szCs w:val="32"/>
        </w:rPr>
        <w:t>年度收入决算表</w:t>
      </w:r>
    </w:p>
    <w:p w14:paraId="527C97B8">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三、</w:t>
      </w:r>
      <w:r>
        <w:rPr>
          <w:rFonts w:ascii="仿宋_GB2312" w:eastAsia="仿宋_GB2312" w:cs="仿宋_GB2312"/>
          <w:sz w:val="32"/>
          <w:szCs w:val="32"/>
        </w:rPr>
        <w:t>2021</w:t>
      </w:r>
      <w:r>
        <w:rPr>
          <w:rFonts w:hint="eastAsia" w:ascii="仿宋_GB2312" w:eastAsia="仿宋_GB2312" w:cs="仿宋_GB2312"/>
          <w:sz w:val="32"/>
          <w:szCs w:val="32"/>
        </w:rPr>
        <w:t>年度支出决算表</w:t>
      </w:r>
    </w:p>
    <w:p w14:paraId="751CC7A0">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四、</w:t>
      </w:r>
      <w:r>
        <w:rPr>
          <w:rFonts w:ascii="仿宋_GB2312" w:eastAsia="仿宋_GB2312" w:cs="仿宋_GB2312"/>
          <w:sz w:val="32"/>
          <w:szCs w:val="32"/>
        </w:rPr>
        <w:t>2021</w:t>
      </w:r>
      <w:r>
        <w:rPr>
          <w:rFonts w:hint="eastAsia" w:ascii="仿宋_GB2312" w:eastAsia="仿宋_GB2312" w:cs="仿宋_GB2312"/>
          <w:sz w:val="32"/>
          <w:szCs w:val="32"/>
        </w:rPr>
        <w:t>年度财政拨款收入支出决算总表</w:t>
      </w:r>
    </w:p>
    <w:p w14:paraId="41F9182C">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五、</w:t>
      </w:r>
      <w:r>
        <w:rPr>
          <w:rFonts w:ascii="仿宋_GB2312" w:eastAsia="仿宋_GB2312" w:cs="仿宋_GB2312"/>
          <w:sz w:val="32"/>
          <w:szCs w:val="32"/>
        </w:rPr>
        <w:t>2021</w:t>
      </w:r>
      <w:r>
        <w:rPr>
          <w:rFonts w:hint="eastAsia" w:ascii="仿宋_GB2312" w:eastAsia="仿宋_GB2312" w:cs="仿宋_GB2312"/>
          <w:sz w:val="32"/>
          <w:szCs w:val="32"/>
        </w:rPr>
        <w:t>年度一般公共预算财政拨款支出决算表</w:t>
      </w:r>
    </w:p>
    <w:p w14:paraId="0370C117">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六、</w:t>
      </w:r>
      <w:r>
        <w:rPr>
          <w:rFonts w:ascii="仿宋_GB2312" w:eastAsia="仿宋_GB2312" w:cs="仿宋_GB2312"/>
          <w:sz w:val="32"/>
          <w:szCs w:val="32"/>
        </w:rPr>
        <w:t>2021</w:t>
      </w:r>
      <w:r>
        <w:rPr>
          <w:rFonts w:hint="eastAsia" w:ascii="仿宋_GB2312" w:eastAsia="仿宋_GB2312" w:cs="仿宋_GB2312"/>
          <w:sz w:val="32"/>
          <w:szCs w:val="32"/>
        </w:rPr>
        <w:t>年度一般公共预算财政拨款基本支出决算表</w:t>
      </w:r>
    </w:p>
    <w:p w14:paraId="7F17D994">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七、</w:t>
      </w:r>
      <w:r>
        <w:rPr>
          <w:rFonts w:ascii="仿宋_GB2312" w:eastAsia="仿宋_GB2312" w:cs="仿宋_GB2312"/>
          <w:sz w:val="32"/>
          <w:szCs w:val="32"/>
        </w:rPr>
        <w:t>2021</w:t>
      </w:r>
      <w:r>
        <w:rPr>
          <w:rFonts w:hint="eastAsia" w:ascii="仿宋_GB2312" w:eastAsia="仿宋_GB2312" w:cs="仿宋_GB2312"/>
          <w:sz w:val="32"/>
          <w:szCs w:val="32"/>
        </w:rPr>
        <w:t>年度政府性基金预算财政拨款收入支出决算表</w:t>
      </w:r>
    </w:p>
    <w:p w14:paraId="475C48AE">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八、</w:t>
      </w:r>
      <w:r>
        <w:rPr>
          <w:rFonts w:ascii="仿宋_GB2312" w:eastAsia="仿宋_GB2312" w:cs="仿宋_GB2312"/>
          <w:sz w:val="32"/>
          <w:szCs w:val="32"/>
        </w:rPr>
        <w:t>2021</w:t>
      </w:r>
      <w:r>
        <w:rPr>
          <w:rFonts w:hint="eastAsia" w:ascii="仿宋_GB2312" w:eastAsia="仿宋_GB2312" w:cs="仿宋_GB2312"/>
          <w:sz w:val="32"/>
          <w:szCs w:val="32"/>
        </w:rPr>
        <w:t>年度一般公共预算财政拨款“三公”经费支出决算表</w:t>
      </w:r>
    </w:p>
    <w:p w14:paraId="69931763">
      <w:pPr>
        <w:pStyle w:val="8"/>
        <w:spacing w:line="560" w:lineRule="exact"/>
        <w:rPr>
          <w:rFonts w:ascii="仿宋_GB2312" w:eastAsia="仿宋_GB2312" w:cs="Times New Roman"/>
          <w:sz w:val="32"/>
          <w:szCs w:val="32"/>
        </w:rPr>
      </w:pPr>
      <w:r>
        <w:rPr>
          <w:rFonts w:hint="eastAsia" w:ascii="仿宋_GB2312" w:eastAsia="仿宋_GB2312" w:cs="仿宋_GB2312"/>
          <w:sz w:val="32"/>
          <w:szCs w:val="32"/>
        </w:rPr>
        <w:t>九、</w:t>
      </w:r>
      <w:r>
        <w:rPr>
          <w:rFonts w:ascii="仿宋_GB2312" w:eastAsia="仿宋_GB2312" w:cs="仿宋_GB2312"/>
          <w:sz w:val="32"/>
          <w:szCs w:val="32"/>
        </w:rPr>
        <w:t>2021</w:t>
      </w:r>
      <w:r>
        <w:rPr>
          <w:rFonts w:hint="eastAsia" w:ascii="仿宋_GB2312" w:eastAsia="仿宋_GB2312" w:cs="仿宋_GB2312"/>
          <w:sz w:val="32"/>
          <w:szCs w:val="32"/>
        </w:rPr>
        <w:t>年度国有资本经营预算财政拨款支出决算表</w:t>
      </w:r>
    </w:p>
    <w:p w14:paraId="45BF5E3E">
      <w:pPr>
        <w:pStyle w:val="8"/>
        <w:spacing w:line="560" w:lineRule="exact"/>
        <w:jc w:val="center"/>
        <w:rPr>
          <w:rFonts w:cs="Times New Roman"/>
          <w:b/>
          <w:bCs/>
          <w:sz w:val="36"/>
          <w:szCs w:val="36"/>
        </w:rPr>
      </w:pPr>
    </w:p>
    <w:p w14:paraId="7E898179">
      <w:pPr>
        <w:pStyle w:val="8"/>
        <w:spacing w:line="560" w:lineRule="exact"/>
        <w:jc w:val="center"/>
        <w:rPr>
          <w:rFonts w:ascii="黑体" w:eastAsia="黑体" w:cs="Times New Roman"/>
          <w:sz w:val="32"/>
          <w:szCs w:val="32"/>
        </w:rPr>
      </w:pPr>
      <w:r>
        <w:rPr>
          <w:rFonts w:hint="eastAsia"/>
          <w:b/>
          <w:bCs/>
          <w:sz w:val="36"/>
          <w:szCs w:val="36"/>
        </w:rPr>
        <w:t>第一部分浑南区教育系统概况</w:t>
      </w:r>
    </w:p>
    <w:p w14:paraId="3B9C5BDE">
      <w:pPr>
        <w:pStyle w:val="8"/>
        <w:spacing w:line="560" w:lineRule="exact"/>
        <w:ind w:firstLine="640"/>
        <w:rPr>
          <w:rFonts w:ascii="黑体" w:eastAsia="黑体" w:cs="Times New Roman"/>
          <w:sz w:val="32"/>
          <w:szCs w:val="32"/>
        </w:rPr>
      </w:pPr>
      <w:r>
        <w:rPr>
          <w:rFonts w:hint="eastAsia" w:ascii="黑体" w:eastAsia="黑体" w:cs="黑体"/>
          <w:sz w:val="32"/>
          <w:szCs w:val="32"/>
        </w:rPr>
        <w:t>一、主要职责</w:t>
      </w:r>
    </w:p>
    <w:p w14:paraId="21506843">
      <w:pPr>
        <w:spacing w:line="560" w:lineRule="exact"/>
        <w:ind w:firstLine="640" w:firstLineChars="200"/>
        <w:rPr>
          <w:rFonts w:eastAsia="仿宋_GB2312"/>
          <w:sz w:val="32"/>
          <w:szCs w:val="32"/>
        </w:rPr>
      </w:pPr>
      <w:r>
        <w:rPr>
          <w:rFonts w:hint="eastAsia" w:eastAsia="仿宋_GB2312" w:cs="仿宋_GB2312"/>
          <w:sz w:val="32"/>
          <w:szCs w:val="32"/>
        </w:rPr>
        <w:t>（一）贯彻执行国家、省、市教育改革与发展方针、政策和法律法规、规章及省、市有关要求，拟订本区教育改革与发展规划和教育工作政策并组织实施。</w:t>
      </w:r>
    </w:p>
    <w:p w14:paraId="4E167F9F">
      <w:pPr>
        <w:spacing w:line="560" w:lineRule="exact"/>
        <w:ind w:firstLine="640" w:firstLineChars="200"/>
        <w:rPr>
          <w:rFonts w:eastAsia="仿宋_GB2312"/>
          <w:sz w:val="32"/>
          <w:szCs w:val="32"/>
        </w:rPr>
      </w:pPr>
      <w:r>
        <w:rPr>
          <w:rFonts w:hint="eastAsia" w:eastAsia="仿宋_GB2312" w:cs="仿宋_GB2312"/>
          <w:sz w:val="32"/>
          <w:szCs w:val="32"/>
        </w:rPr>
        <w:t>（二）负责全区中小学及幼儿园的统筹规划和协调管理；负责推进全区义务教育均衡发展和促进教育公平，优化学校布局，合理划分学区，保障适龄儿童、少年平等接受义务教育。</w:t>
      </w:r>
    </w:p>
    <w:p w14:paraId="59846F70">
      <w:pPr>
        <w:spacing w:line="560" w:lineRule="exact"/>
        <w:ind w:firstLine="640" w:firstLineChars="200"/>
        <w:rPr>
          <w:rFonts w:eastAsia="仿宋_GB2312"/>
          <w:sz w:val="32"/>
          <w:szCs w:val="32"/>
        </w:rPr>
      </w:pPr>
      <w:r>
        <w:rPr>
          <w:rFonts w:hint="eastAsia" w:eastAsia="仿宋_GB2312" w:cs="仿宋_GB2312"/>
          <w:sz w:val="32"/>
          <w:szCs w:val="32"/>
        </w:rPr>
        <w:t>（三）组织区域性教育综合改革工作，指导全区中小学及幼儿园的教育教学改革；负责全区教育基本信息的统计、分析和发布。</w:t>
      </w:r>
    </w:p>
    <w:p w14:paraId="4C8CE46F">
      <w:pPr>
        <w:spacing w:line="560" w:lineRule="exact"/>
        <w:ind w:firstLine="640" w:firstLineChars="200"/>
        <w:rPr>
          <w:rFonts w:eastAsia="仿宋_GB2312"/>
          <w:sz w:val="32"/>
          <w:szCs w:val="32"/>
        </w:rPr>
      </w:pPr>
      <w:r>
        <w:rPr>
          <w:rFonts w:hint="eastAsia" w:eastAsia="仿宋_GB2312" w:cs="仿宋_GB2312"/>
          <w:sz w:val="32"/>
          <w:szCs w:val="32"/>
        </w:rPr>
        <w:t>（四）负责全区学前教育、义务教育、普通高中教育、特殊教育和民族教育工作；牵头相关部门开展青少年校外教育、社区教育、终身教育等工作。</w:t>
      </w:r>
    </w:p>
    <w:p w14:paraId="34A55E19">
      <w:pPr>
        <w:spacing w:line="560" w:lineRule="exact"/>
        <w:ind w:firstLine="640" w:firstLineChars="200"/>
        <w:rPr>
          <w:rFonts w:eastAsia="仿宋_GB2312"/>
          <w:sz w:val="32"/>
          <w:szCs w:val="32"/>
        </w:rPr>
      </w:pPr>
      <w:r>
        <w:rPr>
          <w:rFonts w:hint="eastAsia" w:eastAsia="仿宋_GB2312" w:cs="仿宋_GB2312"/>
          <w:sz w:val="32"/>
          <w:szCs w:val="32"/>
        </w:rPr>
        <w:t>（五）负责本系统干部、教师的培训与交流，统筹规划和指导本系统人才队伍建设工作；会同有关部门管理本系统的人事、工资福利、机构编制等工作。</w:t>
      </w:r>
    </w:p>
    <w:p w14:paraId="29425341">
      <w:pPr>
        <w:spacing w:line="560" w:lineRule="exact"/>
        <w:ind w:firstLine="640" w:firstLineChars="200"/>
        <w:rPr>
          <w:rFonts w:eastAsia="仿宋_GB2312"/>
          <w:sz w:val="32"/>
          <w:szCs w:val="32"/>
        </w:rPr>
      </w:pPr>
      <w:r>
        <w:rPr>
          <w:rFonts w:hint="eastAsia" w:eastAsia="仿宋_GB2312" w:cs="仿宋_GB2312"/>
          <w:sz w:val="32"/>
          <w:szCs w:val="32"/>
        </w:rPr>
        <w:t>（六）负责驻区新建园所、民办教育机构的管理；负责驻区民办学校的管理。</w:t>
      </w:r>
    </w:p>
    <w:p w14:paraId="68B8C679">
      <w:pPr>
        <w:spacing w:line="560" w:lineRule="exact"/>
        <w:ind w:firstLine="640" w:firstLineChars="200"/>
        <w:rPr>
          <w:rFonts w:eastAsia="仿宋_GB2312"/>
          <w:sz w:val="32"/>
          <w:szCs w:val="32"/>
        </w:rPr>
      </w:pPr>
      <w:r>
        <w:rPr>
          <w:rFonts w:hint="eastAsia" w:eastAsia="仿宋_GB2312" w:cs="仿宋_GB2312"/>
          <w:sz w:val="32"/>
          <w:szCs w:val="32"/>
        </w:rPr>
        <w:t>（七）拟订全区中小学、幼儿园的基本建设中长期规划、年度基本建设及维修计划并组织实施。</w:t>
      </w:r>
    </w:p>
    <w:p w14:paraId="31E5138E">
      <w:pPr>
        <w:spacing w:line="560" w:lineRule="exact"/>
        <w:ind w:firstLine="640" w:firstLineChars="200"/>
        <w:rPr>
          <w:rFonts w:eastAsia="仿宋_GB2312"/>
          <w:sz w:val="32"/>
          <w:szCs w:val="32"/>
        </w:rPr>
      </w:pPr>
      <w:r>
        <w:rPr>
          <w:rFonts w:hint="eastAsia" w:eastAsia="仿宋_GB2312" w:cs="仿宋_GB2312"/>
          <w:sz w:val="32"/>
          <w:szCs w:val="32"/>
        </w:rPr>
        <w:t>（八）负责管理本系统教育经费，参与拟定年度教育事业经费（含专项经费）和教育费附加预算，并按规定程序实施。</w:t>
      </w:r>
    </w:p>
    <w:p w14:paraId="324718C9">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（九）负责全区中小学及幼儿园的德育工作、体育卫生与艺术教育工作、国防教育工作和安全工作；会同有关部门搞好综合治理、青少年保护、语言文字工作。</w:t>
      </w:r>
    </w:p>
    <w:p w14:paraId="1D646F8F">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（十）负责全区各类教育统一考试的组织实施管理；负责中小学、幼儿园的招生及学籍管理工作。</w:t>
      </w:r>
    </w:p>
    <w:p w14:paraId="42CA9D64">
      <w:pPr>
        <w:spacing w:line="560" w:lineRule="exact"/>
        <w:ind w:firstLine="640" w:firstLineChars="200"/>
        <w:rPr>
          <w:rFonts w:eastAsia="仿宋_GB2312"/>
          <w:sz w:val="32"/>
          <w:szCs w:val="32"/>
        </w:rPr>
      </w:pPr>
      <w:r>
        <w:rPr>
          <w:rFonts w:hint="eastAsia" w:eastAsia="仿宋_GB2312" w:cs="仿宋_GB2312"/>
          <w:sz w:val="32"/>
          <w:szCs w:val="32"/>
        </w:rPr>
        <w:t>（十一）承担全区教育督导实施工作，开展教育评估监测，承担区政府教育督导委员会的日常工作。</w:t>
      </w:r>
    </w:p>
    <w:p w14:paraId="299F76C9">
      <w:pPr>
        <w:spacing w:line="560" w:lineRule="exact"/>
        <w:ind w:firstLine="640" w:firstLineChars="200"/>
        <w:rPr>
          <w:rFonts w:eastAsia="仿宋_GB2312"/>
          <w:sz w:val="32"/>
          <w:szCs w:val="32"/>
        </w:rPr>
      </w:pPr>
      <w:r>
        <w:rPr>
          <w:rFonts w:hint="eastAsia" w:eastAsia="仿宋_GB2312" w:cs="仿宋_GB2312"/>
          <w:sz w:val="32"/>
          <w:szCs w:val="32"/>
        </w:rPr>
        <w:t>（十二）贯彻落实中央、省委和市委关于教育工作的方针、政策和有关规定，坚持正确的办学方向。指导全区各类学校党的建设、精神文明建设、思想政治工作、稳定工作、干部教育工作和统战、群团工作。</w:t>
      </w:r>
    </w:p>
    <w:p w14:paraId="62B740DF">
      <w:pPr>
        <w:spacing w:line="560" w:lineRule="exact"/>
        <w:ind w:firstLine="640" w:firstLineChars="200"/>
        <w:rPr>
          <w:rFonts w:eastAsia="仿宋_GB2312"/>
          <w:sz w:val="32"/>
          <w:szCs w:val="32"/>
        </w:rPr>
      </w:pPr>
      <w:r>
        <w:rPr>
          <w:rFonts w:hint="eastAsia" w:eastAsia="仿宋_GB2312" w:cs="仿宋_GB2312"/>
          <w:sz w:val="32"/>
          <w:szCs w:val="32"/>
        </w:rPr>
        <w:t>（十三）负责本单位安全生产工作。</w:t>
      </w:r>
    </w:p>
    <w:p w14:paraId="0C46D117">
      <w:pPr>
        <w:spacing w:line="560" w:lineRule="exact"/>
        <w:ind w:firstLine="640" w:firstLineChars="200"/>
        <w:rPr>
          <w:rFonts w:eastAsia="仿宋_GB2312"/>
          <w:sz w:val="32"/>
          <w:szCs w:val="32"/>
        </w:rPr>
      </w:pPr>
      <w:r>
        <w:rPr>
          <w:rFonts w:hint="eastAsia" w:eastAsia="仿宋_GB2312" w:cs="仿宋_GB2312"/>
          <w:sz w:val="32"/>
          <w:szCs w:val="32"/>
        </w:rPr>
        <w:t>（十四）完成区委、区政府交办的其他任务。</w:t>
      </w:r>
    </w:p>
    <w:p w14:paraId="2FAB8B71">
      <w:pPr>
        <w:pStyle w:val="8"/>
        <w:spacing w:line="560" w:lineRule="exact"/>
        <w:ind w:firstLine="640"/>
        <w:rPr>
          <w:rFonts w:ascii="黑体" w:eastAsia="黑体" w:cs="Times New Roman"/>
          <w:sz w:val="32"/>
          <w:szCs w:val="32"/>
        </w:rPr>
      </w:pPr>
      <w:r>
        <w:rPr>
          <w:rFonts w:hint="eastAsia" w:ascii="黑体" w:eastAsia="黑体" w:cs="黑体"/>
          <w:sz w:val="32"/>
          <w:szCs w:val="32"/>
        </w:rPr>
        <w:t>二、决算单位构成</w:t>
      </w:r>
    </w:p>
    <w:p w14:paraId="2C4373D7">
      <w:pPr>
        <w:spacing w:line="540" w:lineRule="exact"/>
        <w:ind w:firstLine="640" w:firstLineChars="200"/>
        <w:jc w:val="left"/>
        <w:rPr>
          <w:rFonts w:ascii="仿宋_GB2312" w:eastAsia="仿宋_GB2312"/>
          <w:b/>
          <w:bCs/>
          <w:sz w:val="32"/>
          <w:szCs w:val="32"/>
        </w:rPr>
      </w:pPr>
      <w:r>
        <w:rPr>
          <w:rFonts w:hint="eastAsia" w:ascii="仿宋_GB2312" w:eastAsia="仿宋_GB2312" w:cs="仿宋_GB2312"/>
          <w:b/>
          <w:bCs/>
          <w:sz w:val="32"/>
          <w:szCs w:val="32"/>
        </w:rPr>
        <w:t>纳入沈阳市浑南区教育系统</w:t>
      </w:r>
      <w:r>
        <w:rPr>
          <w:rFonts w:ascii="仿宋_GB2312" w:eastAsia="仿宋_GB2312" w:cs="仿宋_GB2312"/>
          <w:b/>
          <w:bCs/>
          <w:sz w:val="32"/>
          <w:szCs w:val="32"/>
        </w:rPr>
        <w:t>2021</w:t>
      </w:r>
      <w:r>
        <w:rPr>
          <w:rFonts w:hint="eastAsia" w:ascii="仿宋_GB2312" w:eastAsia="仿宋_GB2312" w:cs="仿宋_GB2312"/>
          <w:b/>
          <w:bCs/>
          <w:sz w:val="32"/>
          <w:szCs w:val="32"/>
        </w:rPr>
        <w:t>年决算编制范围的二级预算单位包括：</w:t>
      </w:r>
    </w:p>
    <w:p w14:paraId="13D34998">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1. </w:t>
      </w:r>
      <w:r>
        <w:rPr>
          <w:rFonts w:hint="eastAsia" w:ascii="仿宋_GB2312" w:hAnsi="仿宋_GB2312" w:eastAsia="仿宋_GB2312" w:cs="仿宋_GB2312"/>
          <w:sz w:val="32"/>
          <w:szCs w:val="32"/>
        </w:rPr>
        <w:t>沈阳市浑南区教育局本级</w:t>
      </w:r>
    </w:p>
    <w:p w14:paraId="30785F95">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2. </w:t>
      </w:r>
      <w:r>
        <w:rPr>
          <w:rFonts w:hint="eastAsia" w:ascii="仿宋_GB2312" w:hAnsi="仿宋_GB2312" w:eastAsia="仿宋_GB2312" w:cs="仿宋_GB2312"/>
          <w:sz w:val="32"/>
          <w:szCs w:val="32"/>
        </w:rPr>
        <w:t>沈阳市第五十一中学</w:t>
      </w:r>
    </w:p>
    <w:p w14:paraId="57B0834B">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3. </w:t>
      </w:r>
      <w:r>
        <w:rPr>
          <w:rFonts w:hint="eastAsia" w:ascii="仿宋_GB2312" w:hAnsi="仿宋_GB2312" w:eastAsia="仿宋_GB2312" w:cs="仿宋_GB2312"/>
          <w:sz w:val="32"/>
          <w:szCs w:val="32"/>
        </w:rPr>
        <w:t>沈阳市第五十一中学分校</w:t>
      </w:r>
    </w:p>
    <w:p w14:paraId="049E9474">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4. </w:t>
      </w:r>
      <w:r>
        <w:rPr>
          <w:rFonts w:hint="eastAsia" w:ascii="仿宋_GB2312" w:hAnsi="仿宋_GB2312" w:eastAsia="仿宋_GB2312" w:cs="仿宋_GB2312"/>
          <w:sz w:val="32"/>
          <w:szCs w:val="32"/>
        </w:rPr>
        <w:t>沈阳市浑南区第一初级中学</w:t>
      </w:r>
    </w:p>
    <w:p w14:paraId="0556D08D">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5. </w:t>
      </w:r>
      <w:r>
        <w:rPr>
          <w:rFonts w:hint="eastAsia" w:ascii="仿宋_GB2312" w:hAnsi="仿宋_GB2312" w:eastAsia="仿宋_GB2312" w:cs="仿宋_GB2312"/>
          <w:sz w:val="32"/>
          <w:szCs w:val="32"/>
        </w:rPr>
        <w:t>沈阳市浑南区第二初级中学</w:t>
      </w:r>
    </w:p>
    <w:p w14:paraId="34A04F00">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6. </w:t>
      </w:r>
      <w:r>
        <w:rPr>
          <w:rFonts w:hint="eastAsia" w:ascii="仿宋_GB2312" w:hAnsi="仿宋_GB2312" w:eastAsia="仿宋_GB2312" w:cs="仿宋_GB2312"/>
          <w:sz w:val="32"/>
          <w:szCs w:val="32"/>
        </w:rPr>
        <w:t>沈阳市浑南区第四中学</w:t>
      </w:r>
    </w:p>
    <w:p w14:paraId="397CFF20">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7. </w:t>
      </w:r>
      <w:r>
        <w:rPr>
          <w:rFonts w:hint="eastAsia" w:ascii="仿宋_GB2312" w:hAnsi="仿宋_GB2312" w:eastAsia="仿宋_GB2312" w:cs="仿宋_GB2312"/>
          <w:sz w:val="32"/>
          <w:szCs w:val="32"/>
        </w:rPr>
        <w:t>沈阳市浑南区第五初级中学</w:t>
      </w:r>
    </w:p>
    <w:p w14:paraId="70DA248D">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8. </w:t>
      </w:r>
      <w:r>
        <w:rPr>
          <w:rFonts w:hint="eastAsia" w:ascii="仿宋_GB2312" w:hAnsi="仿宋_GB2312" w:eastAsia="仿宋_GB2312" w:cs="仿宋_GB2312"/>
          <w:sz w:val="32"/>
          <w:szCs w:val="32"/>
        </w:rPr>
        <w:t>沈阳市浑南区第六初级中学</w:t>
      </w:r>
    </w:p>
    <w:p w14:paraId="6A5BFD02">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9. </w:t>
      </w:r>
      <w:r>
        <w:rPr>
          <w:rFonts w:hint="eastAsia" w:ascii="仿宋_GB2312" w:hAnsi="仿宋_GB2312" w:eastAsia="仿宋_GB2312" w:cs="仿宋_GB2312"/>
          <w:sz w:val="32"/>
          <w:szCs w:val="32"/>
        </w:rPr>
        <w:t>沈阳市浑南区实验中学</w:t>
      </w:r>
    </w:p>
    <w:p w14:paraId="41DC79C9">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10. </w:t>
      </w:r>
      <w:r>
        <w:rPr>
          <w:rFonts w:hint="eastAsia" w:ascii="仿宋_GB2312" w:hAnsi="仿宋_GB2312" w:eastAsia="仿宋_GB2312" w:cs="仿宋_GB2312"/>
          <w:sz w:val="32"/>
          <w:szCs w:val="32"/>
        </w:rPr>
        <w:t>沈阳市浑南区朝鲜族学校</w:t>
      </w:r>
    </w:p>
    <w:p w14:paraId="26DCC446">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11. </w:t>
      </w:r>
      <w:r>
        <w:rPr>
          <w:rFonts w:hint="eastAsia" w:ascii="仿宋_GB2312" w:hAnsi="仿宋_GB2312" w:eastAsia="仿宋_GB2312" w:cs="仿宋_GB2312"/>
          <w:sz w:val="32"/>
          <w:szCs w:val="32"/>
        </w:rPr>
        <w:t>沈阳市浑南区高坎中学</w:t>
      </w:r>
    </w:p>
    <w:p w14:paraId="7F7162E5">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12. </w:t>
      </w:r>
      <w:r>
        <w:rPr>
          <w:rFonts w:hint="eastAsia" w:ascii="仿宋_GB2312" w:hAnsi="仿宋_GB2312" w:eastAsia="仿宋_GB2312" w:cs="仿宋_GB2312"/>
          <w:sz w:val="32"/>
          <w:szCs w:val="32"/>
        </w:rPr>
        <w:t>沈阳市浑南区英达中学</w:t>
      </w:r>
    </w:p>
    <w:p w14:paraId="32D58DE2">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13. </w:t>
      </w:r>
      <w:r>
        <w:rPr>
          <w:rFonts w:hint="eastAsia" w:ascii="仿宋_GB2312" w:hAnsi="仿宋_GB2312" w:eastAsia="仿宋_GB2312" w:cs="仿宋_GB2312"/>
          <w:sz w:val="32"/>
          <w:szCs w:val="32"/>
        </w:rPr>
        <w:t>沈阳市第六十三中学</w:t>
      </w:r>
    </w:p>
    <w:p w14:paraId="297F08A3">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14. </w:t>
      </w:r>
      <w:r>
        <w:rPr>
          <w:rFonts w:hint="eastAsia" w:ascii="仿宋_GB2312" w:hAnsi="仿宋_GB2312" w:eastAsia="仿宋_GB2312" w:cs="仿宋_GB2312"/>
          <w:sz w:val="32"/>
          <w:szCs w:val="32"/>
        </w:rPr>
        <w:t>沈阳市第七十二中学</w:t>
      </w:r>
    </w:p>
    <w:p w14:paraId="7ED4227A">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15. </w:t>
      </w:r>
      <w:r>
        <w:rPr>
          <w:rFonts w:hint="eastAsia" w:ascii="仿宋_GB2312" w:hAnsi="仿宋_GB2312" w:eastAsia="仿宋_GB2312" w:cs="仿宋_GB2312"/>
          <w:sz w:val="32"/>
          <w:szCs w:val="32"/>
        </w:rPr>
        <w:t>沈阳市第七十三中学</w:t>
      </w:r>
    </w:p>
    <w:p w14:paraId="01C567EF">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16. </w:t>
      </w:r>
      <w:r>
        <w:rPr>
          <w:rFonts w:hint="eastAsia" w:ascii="仿宋_GB2312" w:hAnsi="仿宋_GB2312" w:eastAsia="仿宋_GB2312" w:cs="仿宋_GB2312"/>
          <w:sz w:val="32"/>
          <w:szCs w:val="32"/>
        </w:rPr>
        <w:t>沈阳市浑南区第一小学</w:t>
      </w:r>
    </w:p>
    <w:p w14:paraId="74AFA532">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17. </w:t>
      </w:r>
      <w:r>
        <w:rPr>
          <w:rFonts w:hint="eastAsia" w:ascii="仿宋_GB2312" w:hAnsi="仿宋_GB2312" w:eastAsia="仿宋_GB2312" w:cs="仿宋_GB2312"/>
          <w:sz w:val="32"/>
          <w:szCs w:val="32"/>
        </w:rPr>
        <w:t>沈阳市浑南区第二小学</w:t>
      </w:r>
    </w:p>
    <w:p w14:paraId="5C54BDDF">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18. </w:t>
      </w:r>
      <w:r>
        <w:rPr>
          <w:rFonts w:hint="eastAsia" w:ascii="仿宋_GB2312" w:hAnsi="仿宋_GB2312" w:eastAsia="仿宋_GB2312" w:cs="仿宋_GB2312"/>
          <w:sz w:val="32"/>
          <w:szCs w:val="32"/>
        </w:rPr>
        <w:t>沈阳市浑南区第三小学</w:t>
      </w:r>
    </w:p>
    <w:p w14:paraId="02465BD1">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19. </w:t>
      </w:r>
      <w:r>
        <w:rPr>
          <w:rFonts w:hint="eastAsia" w:ascii="仿宋_GB2312" w:hAnsi="仿宋_GB2312" w:eastAsia="仿宋_GB2312" w:cs="仿宋_GB2312"/>
          <w:sz w:val="32"/>
          <w:szCs w:val="32"/>
        </w:rPr>
        <w:t>沈阳市浑南区第四小学</w:t>
      </w:r>
    </w:p>
    <w:p w14:paraId="3FB8145B">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20. </w:t>
      </w:r>
      <w:r>
        <w:rPr>
          <w:rFonts w:hint="eastAsia" w:ascii="仿宋_GB2312" w:hAnsi="仿宋_GB2312" w:eastAsia="仿宋_GB2312" w:cs="仿宋_GB2312"/>
          <w:sz w:val="32"/>
          <w:szCs w:val="32"/>
        </w:rPr>
        <w:t>沈阳市浑南区第五小学</w:t>
      </w:r>
    </w:p>
    <w:p w14:paraId="7F06E266">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21. </w:t>
      </w:r>
      <w:r>
        <w:rPr>
          <w:rFonts w:hint="eastAsia" w:ascii="仿宋_GB2312" w:hAnsi="仿宋_GB2312" w:eastAsia="仿宋_GB2312" w:cs="仿宋_GB2312"/>
          <w:sz w:val="32"/>
          <w:szCs w:val="32"/>
        </w:rPr>
        <w:t>沈阳市浑南区第八小学</w:t>
      </w:r>
    </w:p>
    <w:p w14:paraId="2E270962">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22. </w:t>
      </w:r>
      <w:r>
        <w:rPr>
          <w:rFonts w:hint="eastAsia" w:ascii="仿宋_GB2312" w:hAnsi="仿宋_GB2312" w:eastAsia="仿宋_GB2312" w:cs="仿宋_GB2312"/>
          <w:sz w:val="32"/>
          <w:szCs w:val="32"/>
        </w:rPr>
        <w:t>沈阳市浑南区第九小学</w:t>
      </w:r>
    </w:p>
    <w:p w14:paraId="0483A152">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23. </w:t>
      </w:r>
      <w:r>
        <w:rPr>
          <w:rFonts w:hint="eastAsia" w:ascii="仿宋_GB2312" w:hAnsi="仿宋_GB2312" w:eastAsia="仿宋_GB2312" w:cs="仿宋_GB2312"/>
          <w:sz w:val="32"/>
          <w:szCs w:val="32"/>
        </w:rPr>
        <w:t>沈阳市浑南区第十一小学</w:t>
      </w:r>
    </w:p>
    <w:p w14:paraId="0104EE8B">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24. </w:t>
      </w:r>
      <w:r>
        <w:rPr>
          <w:rFonts w:hint="eastAsia" w:ascii="仿宋_GB2312" w:hAnsi="仿宋_GB2312" w:eastAsia="仿宋_GB2312" w:cs="仿宋_GB2312"/>
          <w:sz w:val="32"/>
          <w:szCs w:val="32"/>
        </w:rPr>
        <w:t>沈阳市浑南区第十二小学</w:t>
      </w:r>
    </w:p>
    <w:p w14:paraId="4C41E702">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25. </w:t>
      </w:r>
      <w:r>
        <w:rPr>
          <w:rFonts w:hint="eastAsia" w:ascii="仿宋_GB2312" w:hAnsi="仿宋_GB2312" w:eastAsia="仿宋_GB2312" w:cs="仿宋_GB2312"/>
          <w:sz w:val="32"/>
          <w:szCs w:val="32"/>
        </w:rPr>
        <w:t>沈阳市浑南区白塔小学</w:t>
      </w:r>
    </w:p>
    <w:p w14:paraId="0C95C9AA">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26. </w:t>
      </w:r>
      <w:r>
        <w:rPr>
          <w:rFonts w:hint="eastAsia" w:ascii="仿宋_GB2312" w:hAnsi="仿宋_GB2312" w:eastAsia="仿宋_GB2312" w:cs="仿宋_GB2312"/>
          <w:sz w:val="32"/>
          <w:szCs w:val="32"/>
        </w:rPr>
        <w:t>沈阳市浑南区浑河站中心小学</w:t>
      </w:r>
    </w:p>
    <w:p w14:paraId="53A01548">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27. </w:t>
      </w:r>
      <w:r>
        <w:rPr>
          <w:rFonts w:hint="eastAsia" w:ascii="仿宋_GB2312" w:hAnsi="仿宋_GB2312" w:eastAsia="仿宋_GB2312" w:cs="仿宋_GB2312"/>
          <w:sz w:val="32"/>
          <w:szCs w:val="32"/>
        </w:rPr>
        <w:t>沈阳市浑南区王滨希望学校</w:t>
      </w:r>
    </w:p>
    <w:p w14:paraId="4732869A">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28. </w:t>
      </w:r>
      <w:r>
        <w:rPr>
          <w:rFonts w:hint="eastAsia" w:ascii="仿宋_GB2312" w:hAnsi="仿宋_GB2312" w:eastAsia="仿宋_GB2312" w:cs="仿宋_GB2312"/>
          <w:sz w:val="32"/>
          <w:szCs w:val="32"/>
        </w:rPr>
        <w:t>沈阳市浑南区高坎中心小学</w:t>
      </w:r>
    </w:p>
    <w:p w14:paraId="634155EC">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29. </w:t>
      </w:r>
      <w:r>
        <w:rPr>
          <w:rFonts w:hint="eastAsia" w:ascii="仿宋_GB2312" w:hAnsi="仿宋_GB2312" w:eastAsia="仿宋_GB2312" w:cs="仿宋_GB2312"/>
          <w:sz w:val="32"/>
          <w:szCs w:val="32"/>
        </w:rPr>
        <w:t>沈阳市浑南区英达满族小学</w:t>
      </w:r>
    </w:p>
    <w:p w14:paraId="4B7847D4">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30. </w:t>
      </w:r>
      <w:r>
        <w:rPr>
          <w:rFonts w:hint="eastAsia" w:ascii="仿宋_GB2312" w:hAnsi="仿宋_GB2312" w:eastAsia="仿宋_GB2312" w:cs="仿宋_GB2312"/>
          <w:sz w:val="32"/>
          <w:szCs w:val="32"/>
        </w:rPr>
        <w:t>沈阳市浑南区东陵路小学</w:t>
      </w:r>
    </w:p>
    <w:p w14:paraId="630EDA5F">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31. </w:t>
      </w:r>
      <w:r>
        <w:rPr>
          <w:rFonts w:hint="eastAsia" w:ascii="仿宋_GB2312" w:hAnsi="仿宋_GB2312" w:eastAsia="仿宋_GB2312" w:cs="仿宋_GB2312"/>
          <w:sz w:val="32"/>
          <w:szCs w:val="32"/>
        </w:rPr>
        <w:t>沈阳市浑南区望滨小学</w:t>
      </w:r>
    </w:p>
    <w:p w14:paraId="74A42ADC">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32. </w:t>
      </w:r>
      <w:r>
        <w:rPr>
          <w:rFonts w:hint="eastAsia" w:ascii="仿宋_GB2312" w:hAnsi="仿宋_GB2312" w:eastAsia="仿宋_GB2312" w:cs="仿宋_GB2312"/>
          <w:sz w:val="32"/>
          <w:szCs w:val="32"/>
        </w:rPr>
        <w:t>沈阳市浑南区实验小学</w:t>
      </w:r>
    </w:p>
    <w:p w14:paraId="13494E1F">
      <w:pPr>
        <w:ind w:left="840"/>
        <w:jc w:val="left"/>
        <w:rPr>
          <w:rFonts w:ascii="仿宋_GB2312" w:hAnsi="仿宋_GB2312" w:eastAsia="仿宋_GB2312"/>
          <w:sz w:val="32"/>
          <w:szCs w:val="32"/>
        </w:rPr>
      </w:pPr>
      <w:r>
        <w:rPr>
          <w:rFonts w:ascii="仿宋_GB2312" w:hAnsi="仿宋_GB2312" w:eastAsia="仿宋_GB2312" w:cs="仿宋_GB2312"/>
          <w:sz w:val="32"/>
          <w:szCs w:val="32"/>
        </w:rPr>
        <w:t xml:space="preserve">33. </w:t>
      </w:r>
      <w:r>
        <w:rPr>
          <w:rFonts w:hint="eastAsia" w:ascii="仿宋_GB2312" w:hAnsi="仿宋_GB2312" w:eastAsia="仿宋_GB2312" w:cs="仿宋_GB2312"/>
          <w:sz w:val="32"/>
          <w:szCs w:val="32"/>
        </w:rPr>
        <w:t>北京师范大学沈阳附属学校</w:t>
      </w:r>
    </w:p>
    <w:p w14:paraId="4930B1F7">
      <w:pPr>
        <w:ind w:left="840"/>
        <w:jc w:val="left"/>
        <w:rPr>
          <w:rFonts w:ascii="仿宋_GB2312" w:hAnsi="仿宋_GB2312" w:eastAsia="仿宋_GB2312"/>
          <w:sz w:val="32"/>
          <w:szCs w:val="32"/>
        </w:rPr>
      </w:pPr>
      <w:r>
        <w:rPr>
          <w:rFonts w:ascii="仿宋_GB2312" w:hAnsi="仿宋_GB2312" w:eastAsia="仿宋_GB2312" w:cs="仿宋_GB2312"/>
          <w:sz w:val="32"/>
          <w:szCs w:val="32"/>
        </w:rPr>
        <w:t>34.</w:t>
      </w:r>
      <w:r>
        <w:rPr>
          <w:rFonts w:hint="eastAsia" w:ascii="仿宋_GB2312" w:hAnsi="仿宋_GB2312" w:eastAsia="仿宋_GB2312" w:cs="仿宋_GB2312"/>
          <w:sz w:val="32"/>
          <w:szCs w:val="32"/>
        </w:rPr>
        <w:t>沈阳市浑南区阳光学校</w:t>
      </w:r>
    </w:p>
    <w:p w14:paraId="63F4D355">
      <w:pPr>
        <w:ind w:left="840"/>
        <w:jc w:val="left"/>
        <w:rPr>
          <w:rFonts w:ascii="仿宋_GB2312" w:hAnsi="仿宋_GB2312" w:eastAsia="仿宋_GB2312"/>
          <w:sz w:val="32"/>
          <w:szCs w:val="32"/>
        </w:rPr>
      </w:pPr>
      <w:r>
        <w:rPr>
          <w:rFonts w:ascii="仿宋_GB2312" w:hAnsi="仿宋_GB2312" w:eastAsia="仿宋_GB2312" w:cs="仿宋_GB2312"/>
          <w:sz w:val="32"/>
          <w:szCs w:val="32"/>
        </w:rPr>
        <w:t>35.</w:t>
      </w:r>
      <w:r>
        <w:t xml:space="preserve"> </w:t>
      </w:r>
      <w:r>
        <w:rPr>
          <w:rFonts w:hint="eastAsia" w:ascii="仿宋_GB2312" w:hAnsi="仿宋_GB2312" w:eastAsia="仿宋_GB2312" w:cs="仿宋_GB2312"/>
          <w:sz w:val="32"/>
          <w:szCs w:val="32"/>
        </w:rPr>
        <w:t>沈阳市浑南区花语幼儿园</w:t>
      </w:r>
    </w:p>
    <w:p w14:paraId="68ED1A5C">
      <w:pPr>
        <w:ind w:left="840"/>
        <w:jc w:val="left"/>
        <w:rPr>
          <w:rFonts w:ascii="仿宋_GB2312" w:hAnsi="仿宋_GB2312" w:eastAsia="仿宋_GB2312"/>
          <w:sz w:val="32"/>
          <w:szCs w:val="32"/>
        </w:rPr>
      </w:pPr>
      <w:r>
        <w:rPr>
          <w:rFonts w:ascii="仿宋_GB2312" w:hAnsi="仿宋_GB2312" w:eastAsia="仿宋_GB2312" w:cs="仿宋_GB2312"/>
          <w:sz w:val="32"/>
          <w:szCs w:val="32"/>
        </w:rPr>
        <w:t>36.</w:t>
      </w:r>
      <w:r>
        <w:t xml:space="preserve"> </w:t>
      </w:r>
      <w:r>
        <w:rPr>
          <w:rFonts w:hint="eastAsia" w:ascii="仿宋_GB2312" w:hAnsi="仿宋_GB2312" w:eastAsia="仿宋_GB2312" w:cs="仿宋_GB2312"/>
          <w:sz w:val="32"/>
          <w:szCs w:val="32"/>
        </w:rPr>
        <w:t>沈阳市浑南区第一小学幼儿园</w:t>
      </w:r>
    </w:p>
    <w:p w14:paraId="6A6C06E8">
      <w:pPr>
        <w:ind w:left="840"/>
        <w:jc w:val="left"/>
        <w:rPr>
          <w:rFonts w:ascii="仿宋_GB2312" w:hAnsi="仿宋_GB2312" w:eastAsia="仿宋_GB2312"/>
          <w:sz w:val="32"/>
          <w:szCs w:val="32"/>
        </w:rPr>
      </w:pPr>
      <w:r>
        <w:rPr>
          <w:rFonts w:ascii="仿宋_GB2312" w:hAnsi="仿宋_GB2312" w:eastAsia="仿宋_GB2312" w:cs="仿宋_GB2312"/>
          <w:sz w:val="32"/>
          <w:szCs w:val="32"/>
        </w:rPr>
        <w:t>37.</w:t>
      </w:r>
      <w:r>
        <w:t xml:space="preserve"> </w:t>
      </w:r>
      <w:r>
        <w:rPr>
          <w:rFonts w:hint="eastAsia" w:ascii="仿宋_GB2312" w:hAnsi="仿宋_GB2312" w:eastAsia="仿宋_GB2312" w:cs="仿宋_GB2312"/>
          <w:sz w:val="32"/>
          <w:szCs w:val="32"/>
        </w:rPr>
        <w:t>沈阳市浑南区创新第一小学</w:t>
      </w:r>
    </w:p>
    <w:p w14:paraId="6422ADBD">
      <w:pPr>
        <w:ind w:left="840"/>
        <w:jc w:val="left"/>
        <w:rPr>
          <w:rFonts w:ascii="仿宋_GB2312" w:hAnsi="仿宋_GB2312" w:eastAsia="仿宋_GB2312"/>
          <w:sz w:val="32"/>
          <w:szCs w:val="32"/>
        </w:rPr>
      </w:pPr>
      <w:r>
        <w:rPr>
          <w:rFonts w:ascii="仿宋_GB2312" w:hAnsi="仿宋_GB2312" w:eastAsia="仿宋_GB2312" w:cs="仿宋_GB2312"/>
          <w:sz w:val="32"/>
          <w:szCs w:val="32"/>
        </w:rPr>
        <w:t>38.</w:t>
      </w:r>
      <w:r>
        <w:rPr>
          <w:rFonts w:hint="eastAsia" w:ascii="仿宋_GB2312" w:hAnsi="仿宋_GB2312" w:eastAsia="仿宋_GB2312" w:cs="仿宋_GB2312"/>
          <w:sz w:val="32"/>
          <w:szCs w:val="32"/>
        </w:rPr>
        <w:t>沈阳市第</w:t>
      </w:r>
      <w:r>
        <w:rPr>
          <w:rFonts w:ascii="仿宋_GB2312" w:hAnsi="仿宋_GB2312" w:eastAsia="仿宋_GB2312" w:cs="仿宋_GB2312"/>
          <w:sz w:val="32"/>
          <w:szCs w:val="32"/>
        </w:rPr>
        <w:t>126</w:t>
      </w:r>
      <w:r>
        <w:rPr>
          <w:rFonts w:hint="eastAsia" w:ascii="仿宋_GB2312" w:hAnsi="仿宋_GB2312" w:eastAsia="仿宋_GB2312" w:cs="仿宋_GB2312"/>
          <w:sz w:val="32"/>
          <w:szCs w:val="32"/>
        </w:rPr>
        <w:t>中学浑南分校</w:t>
      </w:r>
    </w:p>
    <w:p w14:paraId="1A3E6FB8">
      <w:pPr>
        <w:ind w:left="840"/>
        <w:jc w:val="left"/>
        <w:rPr>
          <w:rFonts w:ascii="仿宋_GB2312" w:hAnsi="仿宋_GB2312" w:eastAsia="仿宋_GB2312"/>
          <w:sz w:val="32"/>
          <w:szCs w:val="32"/>
        </w:rPr>
      </w:pPr>
      <w:r>
        <w:rPr>
          <w:rFonts w:ascii="仿宋_GB2312" w:hAnsi="仿宋_GB2312" w:eastAsia="仿宋_GB2312" w:cs="仿宋_GB2312"/>
          <w:sz w:val="32"/>
          <w:szCs w:val="32"/>
        </w:rPr>
        <w:t>39.</w:t>
      </w:r>
      <w:r>
        <w:rPr>
          <w:rFonts w:hint="eastAsia" w:ascii="仿宋_GB2312" w:hAnsi="仿宋_GB2312" w:eastAsia="仿宋_GB2312" w:cs="仿宋_GB2312"/>
          <w:sz w:val="32"/>
          <w:szCs w:val="32"/>
        </w:rPr>
        <w:t>沈阳市浑南区教育局幼儿园</w:t>
      </w:r>
    </w:p>
    <w:p w14:paraId="503C00AA">
      <w:pPr>
        <w:ind w:left="840"/>
        <w:jc w:val="left"/>
        <w:rPr>
          <w:rFonts w:ascii="仿宋_GB2312" w:hAnsi="仿宋_GB2312" w:eastAsia="仿宋_GB2312"/>
          <w:sz w:val="32"/>
          <w:szCs w:val="32"/>
        </w:rPr>
      </w:pPr>
      <w:r>
        <w:rPr>
          <w:rFonts w:ascii="仿宋_GB2312" w:hAnsi="仿宋_GB2312" w:eastAsia="仿宋_GB2312" w:cs="仿宋_GB2312"/>
          <w:sz w:val="32"/>
          <w:szCs w:val="32"/>
        </w:rPr>
        <w:t>40.</w:t>
      </w:r>
      <w:r>
        <w:rPr>
          <w:rFonts w:hint="eastAsia" w:ascii="仿宋_GB2312" w:hAnsi="仿宋_GB2312" w:eastAsia="仿宋_GB2312" w:cs="仿宋_GB2312"/>
          <w:sz w:val="32"/>
          <w:szCs w:val="32"/>
        </w:rPr>
        <w:t>沈阳市浑南区第二小学幼儿园</w:t>
      </w:r>
    </w:p>
    <w:p w14:paraId="5452B068">
      <w:pPr>
        <w:pStyle w:val="8"/>
        <w:spacing w:line="560" w:lineRule="exact"/>
        <w:jc w:val="center"/>
        <w:rPr>
          <w:rFonts w:cs="Times New Roman"/>
          <w:b/>
          <w:bCs/>
          <w:sz w:val="36"/>
          <w:szCs w:val="36"/>
        </w:rPr>
      </w:pPr>
    </w:p>
    <w:p w14:paraId="76B7AAB1">
      <w:pPr>
        <w:pStyle w:val="8"/>
        <w:spacing w:line="560" w:lineRule="exact"/>
        <w:jc w:val="center"/>
        <w:rPr>
          <w:rFonts w:cs="Times New Roman"/>
          <w:b/>
          <w:bCs/>
          <w:sz w:val="36"/>
          <w:szCs w:val="36"/>
        </w:rPr>
      </w:pPr>
    </w:p>
    <w:p w14:paraId="0D1937C4">
      <w:pPr>
        <w:pStyle w:val="8"/>
        <w:spacing w:line="560" w:lineRule="exact"/>
        <w:jc w:val="left"/>
        <w:rPr>
          <w:rFonts w:cs="Times New Roman"/>
          <w:b/>
          <w:bCs/>
          <w:sz w:val="36"/>
          <w:szCs w:val="36"/>
        </w:rPr>
      </w:pPr>
      <w:r>
        <w:rPr>
          <w:rFonts w:hint="eastAsia"/>
          <w:b/>
          <w:bCs/>
          <w:sz w:val="36"/>
          <w:szCs w:val="36"/>
        </w:rPr>
        <w:t>第二部分</w:t>
      </w:r>
      <w:r>
        <w:rPr>
          <w:b/>
          <w:bCs/>
          <w:sz w:val="36"/>
          <w:szCs w:val="36"/>
        </w:rPr>
        <w:t xml:space="preserve"> </w:t>
      </w:r>
      <w:r>
        <w:rPr>
          <w:rFonts w:hint="eastAsia"/>
          <w:b/>
          <w:bCs/>
          <w:sz w:val="36"/>
          <w:szCs w:val="36"/>
        </w:rPr>
        <w:t>浑南区教育系统</w:t>
      </w:r>
      <w:r>
        <w:rPr>
          <w:b/>
          <w:bCs/>
          <w:sz w:val="36"/>
          <w:szCs w:val="36"/>
        </w:rPr>
        <w:t>2021</w:t>
      </w:r>
      <w:r>
        <w:rPr>
          <w:rFonts w:hint="eastAsia"/>
          <w:b/>
          <w:bCs/>
          <w:sz w:val="36"/>
          <w:szCs w:val="36"/>
        </w:rPr>
        <w:t>年决算情况说明</w:t>
      </w:r>
    </w:p>
    <w:p w14:paraId="3517907F">
      <w:pPr>
        <w:pStyle w:val="8"/>
        <w:spacing w:line="560" w:lineRule="exact"/>
        <w:ind w:firstLine="640" w:firstLineChars="200"/>
        <w:rPr>
          <w:rFonts w:ascii="黑体" w:eastAsia="黑体" w:cs="Times New Roman"/>
          <w:sz w:val="32"/>
          <w:szCs w:val="32"/>
        </w:rPr>
      </w:pPr>
    </w:p>
    <w:p w14:paraId="4752815F">
      <w:pPr>
        <w:spacing w:line="540" w:lineRule="exact"/>
        <w:ind w:firstLine="627" w:firstLineChars="196"/>
        <w:rPr>
          <w:rFonts w:ascii="黑体" w:hAnsi="黑体" w:eastAsia="黑体"/>
          <w:b/>
          <w:bCs/>
          <w:color w:val="FF0000"/>
          <w:sz w:val="32"/>
          <w:szCs w:val="32"/>
        </w:rPr>
      </w:pPr>
      <w:r>
        <w:rPr>
          <w:rFonts w:hint="eastAsia" w:ascii="黑体" w:eastAsia="黑体" w:cs="黑体"/>
          <w:sz w:val="32"/>
          <w:szCs w:val="32"/>
        </w:rPr>
        <w:t>一、收入支出决算总体情况说明</w:t>
      </w:r>
    </w:p>
    <w:p w14:paraId="38114299">
      <w:pPr>
        <w:spacing w:line="540" w:lineRule="exact"/>
        <w:ind w:firstLine="627" w:firstLineChars="196"/>
        <w:rPr>
          <w:rFonts w:ascii="楷体_GB2312" w:eastAsia="楷体_GB2312" w:cs="楷体_GB2312"/>
          <w:b/>
          <w:bCs/>
          <w:sz w:val="32"/>
          <w:szCs w:val="32"/>
        </w:rPr>
      </w:pPr>
      <w:r>
        <w:rPr>
          <w:rFonts w:hint="eastAsia" w:ascii="楷体_GB2312" w:eastAsia="楷体_GB2312" w:cs="楷体_GB2312"/>
          <w:b/>
          <w:bCs/>
          <w:sz w:val="32"/>
          <w:szCs w:val="32"/>
        </w:rPr>
        <w:t>（一）收入总计114929.37万元，包括：</w:t>
      </w:r>
      <w:r>
        <w:rPr>
          <w:rFonts w:ascii="楷体_GB2312" w:eastAsia="楷体_GB2312" w:cs="楷体_GB2312"/>
          <w:b/>
          <w:bCs/>
          <w:sz w:val="32"/>
          <w:szCs w:val="32"/>
        </w:rPr>
        <w:t xml:space="preserve"> </w:t>
      </w:r>
    </w:p>
    <w:p w14:paraId="168637C7">
      <w:pPr>
        <w:pStyle w:val="8"/>
        <w:spacing w:line="560" w:lineRule="exact"/>
        <w:ind w:firstLine="66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财政拨款收入82251.5万元，占收入总计的71.57</w:t>
      </w:r>
      <w:r>
        <w:rPr>
          <w:rFonts w:ascii="仿宋_GB2312" w:eastAsia="仿宋_GB2312" w:cs="仿宋_GB2312"/>
          <w:sz w:val="32"/>
          <w:szCs w:val="32"/>
        </w:rPr>
        <w:t>%</w:t>
      </w:r>
      <w:r>
        <w:rPr>
          <w:rFonts w:hint="eastAsia" w:ascii="仿宋_GB2312" w:eastAsia="仿宋_GB2312" w:cs="仿宋_GB2312"/>
          <w:sz w:val="32"/>
          <w:szCs w:val="32"/>
        </w:rPr>
        <w:t>。其中：一般公共预算财政拨款收入82251.5万元，政府性基金收入</w:t>
      </w:r>
      <w:r>
        <w:rPr>
          <w:rFonts w:ascii="仿宋_GB2312" w:eastAsia="仿宋_GB2312" w:cs="仿宋_GB2312"/>
          <w:sz w:val="32"/>
          <w:szCs w:val="32"/>
        </w:rPr>
        <w:t>0</w:t>
      </w:r>
      <w:r>
        <w:rPr>
          <w:rFonts w:hint="eastAsia" w:ascii="仿宋_GB2312" w:eastAsia="仿宋_GB2312" w:cs="仿宋_GB2312"/>
          <w:sz w:val="32"/>
          <w:szCs w:val="32"/>
        </w:rPr>
        <w:t>万元，国有资本经营预算财政拨款收入</w:t>
      </w:r>
      <w:r>
        <w:rPr>
          <w:rFonts w:ascii="仿宋_GB2312" w:eastAsia="仿宋_GB2312" w:cs="仿宋_GB2312"/>
          <w:sz w:val="32"/>
          <w:szCs w:val="32"/>
        </w:rPr>
        <w:t>0</w:t>
      </w:r>
      <w:r>
        <w:rPr>
          <w:rFonts w:hint="eastAsia" w:ascii="仿宋_GB2312" w:eastAsia="仿宋_GB2312" w:cs="仿宋_GB2312"/>
          <w:sz w:val="32"/>
          <w:szCs w:val="32"/>
        </w:rPr>
        <w:t>万元。</w:t>
      </w:r>
    </w:p>
    <w:p w14:paraId="337DB271">
      <w:pPr>
        <w:pStyle w:val="8"/>
        <w:spacing w:line="560" w:lineRule="exact"/>
        <w:ind w:firstLine="660"/>
        <w:rPr>
          <w:rFonts w:ascii="仿宋_GB2312" w:eastAsia="仿宋_GB2312" w:cs="Times New Roman"/>
          <w:sz w:val="32"/>
          <w:szCs w:val="32"/>
        </w:rPr>
      </w:pPr>
      <w:r>
        <w:rPr>
          <w:rFonts w:hint="eastAsia" w:ascii="仿宋_GB2312" w:eastAsia="仿宋_GB2312" w:cs="仿宋_GB2312"/>
          <w:sz w:val="32"/>
          <w:szCs w:val="32"/>
        </w:rPr>
        <w:t>2.事业收入959.29万元，占收入总计的0.83%。主要是保育教育费收入、高中学费住宿费收入。</w:t>
      </w:r>
    </w:p>
    <w:p w14:paraId="37DED54F">
      <w:pPr>
        <w:pStyle w:val="8"/>
        <w:spacing w:line="560" w:lineRule="exact"/>
        <w:ind w:firstLine="660"/>
        <w:rPr>
          <w:rFonts w:ascii="仿宋_GB2312" w:eastAsia="仿宋_GB2312" w:cs="Times New Roman"/>
          <w:sz w:val="32"/>
          <w:szCs w:val="32"/>
        </w:rPr>
      </w:pPr>
      <w:r>
        <w:rPr>
          <w:rFonts w:hint="eastAsia" w:ascii="仿宋_GB2312" w:eastAsia="仿宋_GB2312" w:cs="仿宋_GB2312"/>
          <w:sz w:val="32"/>
          <w:szCs w:val="32"/>
        </w:rPr>
        <w:t>3</w:t>
      </w:r>
      <w:r>
        <w:rPr>
          <w:rFonts w:ascii="仿宋_GB2312" w:eastAsia="仿宋_GB2312" w:cs="仿宋_GB2312"/>
          <w:sz w:val="32"/>
          <w:szCs w:val="32"/>
        </w:rPr>
        <w:t>.</w:t>
      </w:r>
      <w:r>
        <w:rPr>
          <w:rFonts w:hint="eastAsia" w:ascii="仿宋_GB2312" w:eastAsia="仿宋_GB2312" w:cs="仿宋_GB2312"/>
          <w:sz w:val="32"/>
          <w:szCs w:val="32"/>
        </w:rPr>
        <w:t>其他收入13904.88万元，占收入总计的12.1</w:t>
      </w:r>
      <w:r>
        <w:rPr>
          <w:rFonts w:ascii="仿宋_GB2312" w:eastAsia="仿宋_GB2312" w:cs="仿宋_GB2312"/>
          <w:sz w:val="32"/>
          <w:szCs w:val="32"/>
        </w:rPr>
        <w:t>%</w:t>
      </w:r>
      <w:r>
        <w:rPr>
          <w:rFonts w:hint="eastAsia" w:ascii="仿宋_GB2312" w:eastAsia="仿宋_GB2312" w:cs="仿宋_GB2312"/>
          <w:sz w:val="32"/>
          <w:szCs w:val="32"/>
        </w:rPr>
        <w:t>。主要非同级财政补助资金等收入。</w:t>
      </w:r>
    </w:p>
    <w:p w14:paraId="0FDB03DC">
      <w:pPr>
        <w:pStyle w:val="8"/>
        <w:spacing w:line="560" w:lineRule="exact"/>
        <w:ind w:firstLine="660"/>
        <w:rPr>
          <w:rFonts w:ascii="仿宋_GB2312" w:eastAsia="仿宋_GB2312" w:cs="Times New Roman"/>
          <w:sz w:val="32"/>
          <w:szCs w:val="32"/>
        </w:rPr>
      </w:pPr>
      <w:r>
        <w:rPr>
          <w:rFonts w:hint="eastAsia" w:ascii="仿宋_GB2312" w:eastAsia="仿宋_GB2312" w:cs="仿宋_GB2312"/>
          <w:sz w:val="32"/>
          <w:szCs w:val="32"/>
        </w:rPr>
        <w:t>4</w:t>
      </w:r>
      <w:r>
        <w:rPr>
          <w:rFonts w:ascii="仿宋_GB2312" w:eastAsia="仿宋_GB2312" w:cs="仿宋_GB2312"/>
          <w:sz w:val="32"/>
          <w:szCs w:val="32"/>
        </w:rPr>
        <w:t>.</w:t>
      </w:r>
      <w:r>
        <w:rPr>
          <w:rFonts w:hint="eastAsia" w:ascii="仿宋_GB2312" w:eastAsia="仿宋_GB2312" w:cs="仿宋_GB2312"/>
          <w:sz w:val="32"/>
          <w:szCs w:val="32"/>
        </w:rPr>
        <w:t>上年结转和结余17813.7万元，占收入总计的15.5</w:t>
      </w:r>
      <w:r>
        <w:rPr>
          <w:rFonts w:ascii="仿宋_GB2312" w:eastAsia="仿宋_GB2312" w:cs="仿宋_GB2312"/>
          <w:sz w:val="32"/>
          <w:szCs w:val="32"/>
        </w:rPr>
        <w:t>%</w:t>
      </w:r>
      <w:r>
        <w:rPr>
          <w:rFonts w:hint="eastAsia" w:ascii="仿宋_GB2312" w:eastAsia="仿宋_GB2312" w:cs="仿宋_GB2312"/>
          <w:sz w:val="32"/>
          <w:szCs w:val="32"/>
        </w:rPr>
        <w:t>。主要是结转的上级专项资金等。</w:t>
      </w:r>
    </w:p>
    <w:p w14:paraId="16FE81F8">
      <w:pPr>
        <w:pStyle w:val="8"/>
        <w:spacing w:line="560" w:lineRule="exact"/>
        <w:ind w:firstLine="660"/>
        <w:rPr>
          <w:rFonts w:ascii="黑体" w:hAnsi="黑体" w:eastAsia="黑体" w:cs="Times New Roman"/>
          <w:b/>
          <w:bCs/>
          <w:color w:val="FF0000"/>
          <w:sz w:val="32"/>
          <w:szCs w:val="32"/>
        </w:rPr>
      </w:pPr>
      <w:r>
        <w:rPr>
          <w:rFonts w:hint="eastAsia" w:ascii="仿宋_GB2312" w:eastAsia="仿宋_GB2312" w:cs="仿宋_GB2312"/>
          <w:sz w:val="32"/>
          <w:szCs w:val="32"/>
        </w:rPr>
        <w:t>与上年相比，今年收入增加6410.69万元，增加5.9</w:t>
      </w:r>
      <w:r>
        <w:rPr>
          <w:rFonts w:ascii="仿宋_GB2312" w:eastAsia="仿宋_GB2312" w:cs="仿宋_GB2312"/>
          <w:sz w:val="32"/>
          <w:szCs w:val="32"/>
        </w:rPr>
        <w:t>%</w:t>
      </w:r>
      <w:r>
        <w:rPr>
          <w:rFonts w:hint="eastAsia" w:ascii="仿宋_GB2312" w:eastAsia="仿宋_GB2312" w:cs="仿宋_GB2312"/>
          <w:sz w:val="32"/>
          <w:szCs w:val="32"/>
        </w:rPr>
        <w:t>，主要原因：</w:t>
      </w:r>
      <w:r>
        <w:rPr>
          <w:rFonts w:hint="eastAsia" w:ascii="黑体" w:eastAsia="黑体" w:cs="黑体"/>
          <w:sz w:val="32"/>
          <w:szCs w:val="32"/>
        </w:rPr>
        <w:t>一是</w:t>
      </w:r>
      <w:r>
        <w:rPr>
          <w:rFonts w:hint="eastAsia" w:ascii="仿宋_GB2312" w:eastAsia="仿宋_GB2312" w:cs="仿宋_GB2312"/>
          <w:sz w:val="32"/>
          <w:szCs w:val="32"/>
        </w:rPr>
        <w:t>一般公共预算财政拨款较上年度增加3069.43万元；</w:t>
      </w:r>
      <w:r>
        <w:rPr>
          <w:rFonts w:hint="eastAsia" w:ascii="黑体" w:eastAsia="黑体" w:cs="黑体"/>
          <w:sz w:val="32"/>
          <w:szCs w:val="32"/>
        </w:rPr>
        <w:t>二是</w:t>
      </w:r>
      <w:r>
        <w:rPr>
          <w:rFonts w:hint="eastAsia" w:ascii="仿宋_GB2312" w:eastAsia="仿宋_GB2312" w:cs="仿宋_GB2312"/>
          <w:sz w:val="32"/>
          <w:szCs w:val="32"/>
        </w:rPr>
        <w:t>上年结转结余金额较上年度增加。</w:t>
      </w:r>
    </w:p>
    <w:p w14:paraId="44E5681D">
      <w:pPr>
        <w:pStyle w:val="8"/>
        <w:spacing w:line="560" w:lineRule="exact"/>
        <w:ind w:firstLine="660"/>
        <w:rPr>
          <w:rFonts w:ascii="黑体" w:hAnsi="黑体" w:eastAsia="黑体" w:cs="Times New Roman"/>
          <w:b/>
          <w:bCs/>
          <w:color w:val="FF0000"/>
          <w:sz w:val="32"/>
          <w:szCs w:val="32"/>
        </w:rPr>
      </w:pPr>
      <w:r>
        <w:rPr>
          <w:rFonts w:hint="eastAsia" w:ascii="楷体_GB2312" w:eastAsia="楷体_GB2312" w:cs="楷体_GB2312"/>
          <w:b/>
          <w:bCs/>
          <w:sz w:val="32"/>
          <w:szCs w:val="32"/>
        </w:rPr>
        <w:t>（二）支出总计111687.58万元，包括：</w:t>
      </w:r>
    </w:p>
    <w:p w14:paraId="2E6D94CD">
      <w:pPr>
        <w:pStyle w:val="8"/>
        <w:spacing w:line="560" w:lineRule="exact"/>
        <w:ind w:firstLine="660"/>
        <w:rPr>
          <w:rFonts w:ascii="黑体" w:hAnsi="黑体" w:eastAsia="黑体" w:cs="Times New Roman"/>
          <w:b/>
          <w:bCs/>
          <w:color w:val="FF000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基本支出44519.69万元，占支出总计的39.86</w:t>
      </w:r>
      <w:r>
        <w:rPr>
          <w:rFonts w:ascii="仿宋_GB2312" w:eastAsia="仿宋_GB2312" w:cs="仿宋_GB2312"/>
          <w:sz w:val="32"/>
          <w:szCs w:val="32"/>
        </w:rPr>
        <w:t>%</w:t>
      </w:r>
      <w:r>
        <w:rPr>
          <w:rFonts w:hint="eastAsia" w:ascii="仿宋_GB2312" w:eastAsia="仿宋_GB2312" w:cs="仿宋_GB2312"/>
          <w:sz w:val="32"/>
          <w:szCs w:val="32"/>
        </w:rPr>
        <w:t>。主要是为保障机构正常运转、完成日常工作任务而发生的各项支出，其中：工资福利支出31913.97万元，对个人和家庭的补助支出5194.6万元，商品和服务支出6684.01万元，资本性支出727.11万元。</w:t>
      </w:r>
    </w:p>
    <w:p w14:paraId="40CE024C">
      <w:pPr>
        <w:pStyle w:val="8"/>
        <w:spacing w:line="560" w:lineRule="atLeast"/>
        <w:ind w:firstLine="660"/>
        <w:rPr>
          <w:rFonts w:ascii="仿宋_GB2312" w:eastAsia="仿宋_GB2312" w:cs="Times New Roman"/>
          <w:sz w:val="32"/>
          <w:szCs w:val="32"/>
        </w:rPr>
      </w:pPr>
      <w:r>
        <w:rPr>
          <w:rFonts w:ascii="仿宋_GB2312" w:eastAsia="仿宋_GB2312" w:cs="仿宋_GB2312"/>
          <w:sz w:val="32"/>
          <w:szCs w:val="32"/>
        </w:rPr>
        <w:t>2.</w:t>
      </w:r>
      <w:r>
        <w:rPr>
          <w:rFonts w:hint="eastAsia" w:ascii="仿宋_GB2312" w:eastAsia="仿宋_GB2312" w:cs="仿宋_GB2312"/>
          <w:sz w:val="32"/>
          <w:szCs w:val="32"/>
        </w:rPr>
        <w:t>项目支出67167.89万元，占支出总计的60.14</w:t>
      </w:r>
      <w:r>
        <w:rPr>
          <w:rFonts w:ascii="仿宋_GB2312" w:eastAsia="仿宋_GB2312" w:cs="仿宋_GB2312"/>
          <w:sz w:val="32"/>
          <w:szCs w:val="32"/>
        </w:rPr>
        <w:t>%</w:t>
      </w:r>
      <w:r>
        <w:rPr>
          <w:rFonts w:hint="eastAsia" w:ascii="仿宋_GB2312" w:eastAsia="仿宋_GB2312" w:cs="仿宋_GB2312"/>
          <w:sz w:val="32"/>
          <w:szCs w:val="32"/>
        </w:rPr>
        <w:t>。主要包括房屋建筑物构建、公共教育支出、校车和伙食补贴、公办幼儿园学位扩增、基本建设教育补助资金、新建学校预存电费、基础教育改善办学条件、校舍维修资金等业务支出。</w:t>
      </w:r>
    </w:p>
    <w:p w14:paraId="16D8EF2B">
      <w:pPr>
        <w:spacing w:line="540" w:lineRule="exact"/>
        <w:ind w:firstLine="660"/>
        <w:rPr>
          <w:rFonts w:ascii="仿宋_GB2312" w:hAnsi="宋体" w:eastAsia="仿宋_GB2312"/>
          <w:sz w:val="32"/>
          <w:szCs w:val="32"/>
        </w:rPr>
      </w:pPr>
      <w:r>
        <w:rPr>
          <w:rFonts w:hint="eastAsia" w:ascii="仿宋_GB2312" w:eastAsia="仿宋_GB2312" w:cs="仿宋_GB2312"/>
          <w:sz w:val="32"/>
          <w:szCs w:val="32"/>
        </w:rPr>
        <w:t>与上年相比，今年支出增加24694.15万元，增长28.39</w:t>
      </w:r>
      <w:r>
        <w:rPr>
          <w:rFonts w:ascii="仿宋_GB2312" w:eastAsia="仿宋_GB2312" w:cs="仿宋_GB2312"/>
          <w:sz w:val="32"/>
          <w:szCs w:val="32"/>
        </w:rPr>
        <w:t>%</w:t>
      </w:r>
      <w:r>
        <w:rPr>
          <w:rFonts w:hint="eastAsia" w:ascii="仿宋_GB2312" w:eastAsia="仿宋_GB2312" w:cs="仿宋_GB2312"/>
          <w:sz w:val="32"/>
          <w:szCs w:val="32"/>
        </w:rPr>
        <w:t>，主要原因我区新建学校陆续投入使用，基本建设资金、教育教学设施设备、校园文化建设等资金投入都教上一年度有所增加。</w:t>
      </w:r>
    </w:p>
    <w:p w14:paraId="26E0DE4D">
      <w:pPr>
        <w:pStyle w:val="8"/>
        <w:spacing w:line="560" w:lineRule="exact"/>
        <w:ind w:firstLine="660"/>
        <w:rPr>
          <w:rFonts w:ascii="楷体_GB2312" w:eastAsia="楷体_GB2312" w:cs="Times New Roman"/>
          <w:b/>
          <w:bCs/>
          <w:sz w:val="32"/>
          <w:szCs w:val="32"/>
        </w:rPr>
      </w:pPr>
      <w:r>
        <w:rPr>
          <w:rFonts w:hint="eastAsia" w:ascii="楷体_GB2312" w:eastAsia="楷体_GB2312" w:cs="楷体_GB2312"/>
          <w:b/>
          <w:bCs/>
          <w:sz w:val="32"/>
          <w:szCs w:val="32"/>
        </w:rPr>
        <w:t>（三）年末结转和结余3241.79万元</w:t>
      </w:r>
    </w:p>
    <w:p w14:paraId="0D45D494">
      <w:pPr>
        <w:spacing w:line="540" w:lineRule="exact"/>
        <w:ind w:firstLine="660"/>
        <w:rPr>
          <w:rFonts w:ascii="仿宋_GB2312" w:hAnsi="宋体" w:eastAsia="仿宋_GB2312"/>
          <w:sz w:val="32"/>
          <w:szCs w:val="32"/>
        </w:rPr>
      </w:pPr>
      <w:r>
        <w:rPr>
          <w:rFonts w:hint="eastAsia" w:ascii="仿宋_GB2312" w:eastAsia="仿宋_GB2312" w:cs="仿宋_GB2312"/>
          <w:sz w:val="32"/>
          <w:szCs w:val="32"/>
        </w:rPr>
        <w:t>主要是为了保障机构正常运转、完成日常工作任务等原因形成的基本支出结余。与上年相比，今年结转结余减少16720.25万元，降低83.76</w:t>
      </w:r>
      <w:r>
        <w:rPr>
          <w:rFonts w:ascii="仿宋_GB2312" w:eastAsia="仿宋_GB2312" w:cs="仿宋_GB2312"/>
          <w:sz w:val="32"/>
          <w:szCs w:val="32"/>
        </w:rPr>
        <w:t>%</w:t>
      </w:r>
      <w:r>
        <w:rPr>
          <w:rFonts w:hint="eastAsia" w:ascii="仿宋_GB2312" w:eastAsia="仿宋_GB2312" w:cs="仿宋_GB2312"/>
          <w:sz w:val="32"/>
          <w:szCs w:val="32"/>
        </w:rPr>
        <w:t>，主要原因：</w:t>
      </w:r>
      <w:r>
        <w:rPr>
          <w:rFonts w:hint="eastAsia" w:ascii="黑体" w:eastAsia="黑体" w:cs="黑体"/>
          <w:sz w:val="32"/>
          <w:szCs w:val="32"/>
        </w:rPr>
        <w:t>一是</w:t>
      </w:r>
      <w:r>
        <w:rPr>
          <w:rFonts w:hint="eastAsia" w:ascii="仿宋_GB2312" w:hAnsi="黑体" w:eastAsia="仿宋_GB2312" w:cs="仿宋_GB2312"/>
          <w:sz w:val="32"/>
          <w:szCs w:val="32"/>
        </w:rPr>
        <w:t>本年度</w:t>
      </w:r>
      <w:r>
        <w:rPr>
          <w:rFonts w:hint="eastAsia" w:ascii="仿宋_GB2312" w:hAnsi="宋体" w:eastAsia="仿宋_GB2312" w:cs="仿宋_GB2312"/>
          <w:sz w:val="32"/>
          <w:szCs w:val="32"/>
        </w:rPr>
        <w:t>基建项目及设备采购项目具备付款条件予以支付</w:t>
      </w:r>
      <w:r>
        <w:rPr>
          <w:rFonts w:hint="eastAsia" w:ascii="仿宋_GB2312" w:eastAsia="仿宋_GB2312" w:cs="仿宋_GB2312"/>
          <w:sz w:val="32"/>
          <w:szCs w:val="32"/>
        </w:rPr>
        <w:t>；</w:t>
      </w:r>
      <w:r>
        <w:rPr>
          <w:rFonts w:hint="eastAsia" w:ascii="黑体" w:eastAsia="黑体" w:cs="黑体"/>
          <w:sz w:val="32"/>
          <w:szCs w:val="32"/>
        </w:rPr>
        <w:t>二是</w:t>
      </w:r>
      <w:r>
        <w:rPr>
          <w:rFonts w:hint="eastAsia" w:ascii="仿宋_GB2312" w:eastAsia="仿宋_GB2312" w:cs="仿宋_GB2312"/>
          <w:sz w:val="32"/>
          <w:szCs w:val="32"/>
        </w:rPr>
        <w:t>会计核算方式以收付实现制为主。</w:t>
      </w:r>
    </w:p>
    <w:p w14:paraId="6A6411B3">
      <w:pPr>
        <w:pStyle w:val="8"/>
        <w:spacing w:line="560" w:lineRule="exact"/>
        <w:ind w:firstLine="660"/>
        <w:rPr>
          <w:rFonts w:ascii="黑体" w:eastAsia="黑体" w:cs="Times New Roman"/>
          <w:sz w:val="32"/>
          <w:szCs w:val="32"/>
        </w:rPr>
      </w:pPr>
      <w:r>
        <w:rPr>
          <w:rFonts w:hint="eastAsia" w:ascii="黑体" w:eastAsia="黑体" w:cs="黑体"/>
          <w:sz w:val="32"/>
          <w:szCs w:val="32"/>
        </w:rPr>
        <w:t>二、财政拨款收入支出决算情况说明</w:t>
      </w:r>
    </w:p>
    <w:p w14:paraId="0AD23DCF">
      <w:pPr>
        <w:pStyle w:val="8"/>
        <w:spacing w:line="560" w:lineRule="exact"/>
        <w:ind w:firstLine="660"/>
        <w:rPr>
          <w:rFonts w:ascii="楷体_GB2312" w:eastAsia="楷体_GB2312" w:cs="Times New Roman"/>
          <w:b/>
          <w:bCs/>
          <w:sz w:val="32"/>
          <w:szCs w:val="32"/>
        </w:rPr>
      </w:pPr>
      <w:r>
        <w:rPr>
          <w:rFonts w:hint="eastAsia" w:ascii="楷体_GB2312" w:eastAsia="楷体_GB2312" w:cs="楷体_GB2312"/>
          <w:b/>
          <w:bCs/>
          <w:sz w:val="32"/>
          <w:szCs w:val="32"/>
        </w:rPr>
        <w:t>（一）总体情况</w:t>
      </w:r>
    </w:p>
    <w:p w14:paraId="4F417AD1">
      <w:pPr>
        <w:spacing w:line="540" w:lineRule="exact"/>
        <w:ind w:firstLine="660"/>
        <w:rPr>
          <w:rFonts w:ascii="仿宋_GB2312" w:hAnsi="宋体" w:eastAsia="仿宋_GB2312"/>
          <w:sz w:val="32"/>
          <w:szCs w:val="32"/>
        </w:rPr>
      </w:pPr>
      <w:r>
        <w:rPr>
          <w:rFonts w:ascii="仿宋_GB2312" w:eastAsia="仿宋_GB2312" w:cs="仿宋_GB2312"/>
          <w:sz w:val="32"/>
          <w:szCs w:val="32"/>
        </w:rPr>
        <w:t>2021</w:t>
      </w:r>
      <w:r>
        <w:rPr>
          <w:rFonts w:hint="eastAsia" w:ascii="仿宋_GB2312" w:eastAsia="仿宋_GB2312" w:cs="仿宋_GB2312"/>
          <w:sz w:val="32"/>
          <w:szCs w:val="32"/>
        </w:rPr>
        <w:t>年度财政拨款支出98595.96万元，其中：基本支出44079.37万元，项目支出54516.59万元。与上年相比，财政拨款支出增加11602.53万元，增长13.33</w:t>
      </w:r>
      <w:r>
        <w:rPr>
          <w:rFonts w:ascii="仿宋_GB2312" w:eastAsia="仿宋_GB2312" w:cs="仿宋_GB2312"/>
          <w:sz w:val="32"/>
          <w:szCs w:val="32"/>
        </w:rPr>
        <w:t>%</w:t>
      </w:r>
      <w:r>
        <w:rPr>
          <w:rFonts w:hint="eastAsia" w:ascii="仿宋_GB2312" w:eastAsia="仿宋_GB2312" w:cs="仿宋_GB2312"/>
          <w:sz w:val="32"/>
          <w:szCs w:val="32"/>
        </w:rPr>
        <w:t>，主要原因：我区新建学校陆续投入使用，基本建设资金、教育教学设施设备、校园文化建设等资金投入都教上一年度有所增加。与年初预算相比，</w:t>
      </w:r>
      <w:r>
        <w:rPr>
          <w:rFonts w:ascii="仿宋_GB2312" w:eastAsia="仿宋_GB2312" w:cs="仿宋_GB2312"/>
          <w:sz w:val="32"/>
          <w:szCs w:val="32"/>
        </w:rPr>
        <w:t>2021</w:t>
      </w:r>
      <w:r>
        <w:rPr>
          <w:rFonts w:hint="eastAsia" w:ascii="仿宋_GB2312" w:eastAsia="仿宋_GB2312" w:cs="仿宋_GB2312"/>
          <w:sz w:val="32"/>
          <w:szCs w:val="32"/>
        </w:rPr>
        <w:t>年度财政拨款支出完成年初预算的162</w:t>
      </w:r>
      <w:r>
        <w:rPr>
          <w:rFonts w:ascii="仿宋_GB2312" w:eastAsia="仿宋_GB2312" w:cs="仿宋_GB2312"/>
          <w:sz w:val="32"/>
          <w:szCs w:val="32"/>
        </w:rPr>
        <w:t>%</w:t>
      </w:r>
      <w:r>
        <w:rPr>
          <w:rFonts w:hint="eastAsia" w:ascii="仿宋_GB2312" w:eastAsia="仿宋_GB2312" w:cs="仿宋_GB2312"/>
          <w:sz w:val="32"/>
          <w:szCs w:val="32"/>
        </w:rPr>
        <w:t>，其中：基本支出完成年初预算的124.48</w:t>
      </w:r>
      <w:r>
        <w:rPr>
          <w:rFonts w:ascii="仿宋_GB2312" w:eastAsia="仿宋_GB2312" w:cs="仿宋_GB2312"/>
          <w:sz w:val="32"/>
          <w:szCs w:val="32"/>
        </w:rPr>
        <w:t>%</w:t>
      </w:r>
      <w:r>
        <w:rPr>
          <w:rFonts w:hint="eastAsia" w:ascii="仿宋_GB2312" w:eastAsia="仿宋_GB2312" w:cs="仿宋_GB2312"/>
          <w:sz w:val="32"/>
          <w:szCs w:val="32"/>
        </w:rPr>
        <w:t>，项目支出完成年初预算的183.37</w:t>
      </w:r>
      <w:r>
        <w:rPr>
          <w:rFonts w:ascii="仿宋_GB2312" w:eastAsia="仿宋_GB2312" w:cs="仿宋_GB2312"/>
          <w:sz w:val="32"/>
          <w:szCs w:val="32"/>
        </w:rPr>
        <w:t>%</w:t>
      </w:r>
      <w:r>
        <w:rPr>
          <w:rFonts w:hint="eastAsia" w:ascii="仿宋_GB2312" w:eastAsia="仿宋_GB2312" w:cs="仿宋_GB2312"/>
          <w:sz w:val="32"/>
          <w:szCs w:val="32"/>
        </w:rPr>
        <w:t>。</w:t>
      </w:r>
    </w:p>
    <w:p w14:paraId="061F6ECE">
      <w:pPr>
        <w:spacing w:line="560" w:lineRule="exact"/>
        <w:ind w:firstLine="660"/>
        <w:rPr>
          <w:rFonts w:ascii="黑体" w:hAnsi="黑体" w:eastAsia="黑体"/>
          <w:b/>
          <w:bCs/>
          <w:color w:val="FF0000"/>
          <w:sz w:val="32"/>
          <w:szCs w:val="32"/>
        </w:rPr>
      </w:pPr>
      <w:r>
        <w:rPr>
          <w:rFonts w:hint="eastAsia" w:ascii="楷体_GB2312" w:hAnsi="宋体" w:eastAsia="楷体_GB2312" w:cs="楷体_GB2312"/>
          <w:b/>
          <w:bCs/>
          <w:sz w:val="32"/>
          <w:szCs w:val="32"/>
        </w:rPr>
        <w:t>（二）一般公共预算财政拨款支出情况。</w:t>
      </w:r>
    </w:p>
    <w:p w14:paraId="272C7F94">
      <w:pPr>
        <w:spacing w:line="560" w:lineRule="exact"/>
        <w:ind w:firstLine="660"/>
        <w:rPr>
          <w:rFonts w:ascii="仿宋_GB2312" w:hAnsi="宋体" w:eastAsia="仿宋_GB2312"/>
          <w:sz w:val="32"/>
          <w:szCs w:val="32"/>
        </w:rPr>
      </w:pPr>
      <w:r>
        <w:rPr>
          <w:rFonts w:ascii="仿宋_GB2312" w:hAnsi="宋体" w:eastAsia="仿宋_GB2312" w:cs="仿宋_GB2312"/>
          <w:sz w:val="32"/>
          <w:szCs w:val="32"/>
        </w:rPr>
        <w:t>2021</w:t>
      </w:r>
      <w:r>
        <w:rPr>
          <w:rFonts w:hint="eastAsia" w:ascii="仿宋_GB2312" w:hAnsi="宋体" w:eastAsia="仿宋_GB2312" w:cs="仿宋_GB2312"/>
          <w:sz w:val="32"/>
          <w:szCs w:val="32"/>
        </w:rPr>
        <w:t>年度一般公共预算财政拨款支出</w:t>
      </w:r>
      <w:r>
        <w:rPr>
          <w:rFonts w:hint="eastAsia" w:ascii="仿宋_GB2312" w:eastAsia="仿宋_GB2312" w:cs="仿宋_GB2312"/>
          <w:sz w:val="32"/>
          <w:szCs w:val="32"/>
        </w:rPr>
        <w:t>98595.96</w:t>
      </w:r>
      <w:r>
        <w:rPr>
          <w:rFonts w:hint="eastAsia" w:ascii="仿宋_GB2312" w:hAnsi="宋体" w:eastAsia="仿宋_GB2312" w:cs="仿宋_GB2312"/>
          <w:sz w:val="32"/>
          <w:szCs w:val="32"/>
        </w:rPr>
        <w:t>万元，按支出功能分类科目分，包括：一般公共服务支出</w:t>
      </w:r>
      <w:r>
        <w:rPr>
          <w:rFonts w:ascii="仿宋_GB2312" w:hAnsi="宋体" w:eastAsia="仿宋_GB2312" w:cs="仿宋_GB2312"/>
          <w:sz w:val="32"/>
          <w:szCs w:val="32"/>
        </w:rPr>
        <w:t>9.48</w:t>
      </w:r>
      <w:r>
        <w:rPr>
          <w:rFonts w:hint="eastAsia" w:ascii="仿宋_GB2312" w:hAnsi="宋体" w:eastAsia="仿宋_GB2312" w:cs="仿宋_GB2312"/>
          <w:sz w:val="32"/>
          <w:szCs w:val="32"/>
        </w:rPr>
        <w:t>万元，占0.01</w:t>
      </w:r>
      <w:r>
        <w:rPr>
          <w:rFonts w:ascii="仿宋_GB2312" w:hAnsi="宋体" w:eastAsia="仿宋_GB2312" w:cs="仿宋_GB2312"/>
          <w:sz w:val="32"/>
          <w:szCs w:val="32"/>
        </w:rPr>
        <w:t>%</w:t>
      </w:r>
      <w:r>
        <w:rPr>
          <w:rFonts w:hint="eastAsia" w:ascii="仿宋_GB2312" w:hAnsi="宋体" w:eastAsia="仿宋_GB2312" w:cs="仿宋_GB2312"/>
          <w:sz w:val="32"/>
          <w:szCs w:val="32"/>
        </w:rPr>
        <w:t>；教育支出84421.76万元，占85.62</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；社会保障和就业支出3234.24万元，占3.28</w:t>
      </w:r>
      <w:r>
        <w:rPr>
          <w:rFonts w:ascii="仿宋_GB2312" w:hAnsi="宋体" w:eastAsia="仿宋_GB2312" w:cs="仿宋_GB2312"/>
          <w:sz w:val="32"/>
          <w:szCs w:val="32"/>
        </w:rPr>
        <w:t>%</w:t>
      </w:r>
      <w:r>
        <w:rPr>
          <w:rFonts w:hint="eastAsia" w:ascii="仿宋_GB2312" w:hAnsi="宋体" w:eastAsia="仿宋_GB2312" w:cs="仿宋_GB2312"/>
          <w:sz w:val="32"/>
          <w:szCs w:val="32"/>
        </w:rPr>
        <w:t>；卫生健康支出1750.57万元，占1.78</w:t>
      </w:r>
      <w:r>
        <w:rPr>
          <w:rFonts w:ascii="仿宋_GB2312" w:hAnsi="宋体" w:eastAsia="仿宋_GB2312" w:cs="仿宋_GB2312"/>
          <w:sz w:val="32"/>
          <w:szCs w:val="32"/>
        </w:rPr>
        <w:t>%</w:t>
      </w:r>
      <w:r>
        <w:rPr>
          <w:rFonts w:hint="eastAsia" w:ascii="仿宋_GB2312" w:hAnsi="宋体" w:eastAsia="仿宋_GB2312" w:cs="仿宋_GB2312"/>
          <w:sz w:val="32"/>
          <w:szCs w:val="32"/>
        </w:rPr>
        <w:t>；城乡社区支出8902.17万元，占9.03</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；住房保障支出277.75万元，占0.28</w:t>
      </w:r>
      <w:r>
        <w:rPr>
          <w:rFonts w:ascii="仿宋_GB2312" w:hAnsi="宋体" w:eastAsia="仿宋_GB2312" w:cs="仿宋_GB2312"/>
          <w:sz w:val="32"/>
          <w:szCs w:val="32"/>
        </w:rPr>
        <w:t>%</w:t>
      </w:r>
      <w:r>
        <w:rPr>
          <w:rFonts w:hint="eastAsia" w:ascii="仿宋_GB2312" w:hAnsi="宋体" w:eastAsia="仿宋_GB2312" w:cs="仿宋_GB2312"/>
          <w:sz w:val="32"/>
          <w:szCs w:val="32"/>
        </w:rPr>
        <w:t>。</w:t>
      </w:r>
    </w:p>
    <w:p w14:paraId="7285A4F4">
      <w:pPr>
        <w:spacing w:line="560" w:lineRule="exact"/>
        <w:ind w:firstLine="660"/>
        <w:rPr>
          <w:rFonts w:ascii="仿宋_GB2312" w:hAnsi="宋体" w:eastAsia="仿宋_GB2312"/>
          <w:sz w:val="32"/>
          <w:szCs w:val="32"/>
        </w:rPr>
      </w:pPr>
      <w:r>
        <w:rPr>
          <w:rFonts w:ascii="仿宋_GB2312" w:hAnsi="宋体" w:eastAsia="仿宋_GB2312" w:cs="仿宋_GB2312"/>
          <w:sz w:val="32"/>
          <w:szCs w:val="32"/>
        </w:rPr>
        <w:t>1.</w:t>
      </w:r>
      <w:r>
        <w:rPr>
          <w:rFonts w:hint="eastAsia" w:ascii="仿宋_GB2312" w:hAnsi="宋体" w:eastAsia="仿宋_GB2312" w:cs="仿宋_GB2312"/>
          <w:sz w:val="32"/>
          <w:szCs w:val="32"/>
        </w:rPr>
        <w:t>一般公共服务支出</w:t>
      </w:r>
      <w:r>
        <w:rPr>
          <w:rFonts w:ascii="仿宋_GB2312" w:hAnsi="宋体" w:eastAsia="仿宋_GB2312" w:cs="仿宋_GB2312"/>
          <w:sz w:val="32"/>
          <w:szCs w:val="32"/>
        </w:rPr>
        <w:t>9.48</w:t>
      </w:r>
      <w:r>
        <w:rPr>
          <w:rFonts w:hint="eastAsia" w:ascii="仿宋_GB2312" w:hAnsi="宋体" w:eastAsia="仿宋_GB2312" w:cs="仿宋_GB2312"/>
          <w:sz w:val="32"/>
          <w:szCs w:val="32"/>
        </w:rPr>
        <w:t>万元，具体包括：</w:t>
      </w:r>
    </w:p>
    <w:p w14:paraId="63E11F30">
      <w:pPr>
        <w:spacing w:line="560" w:lineRule="exact"/>
        <w:ind w:firstLine="660"/>
        <w:rPr>
          <w:rFonts w:ascii="仿宋_GB2312" w:hAnsi="宋体" w:eastAsia="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1</w:t>
      </w:r>
      <w:r>
        <w:rPr>
          <w:rFonts w:hint="eastAsia" w:ascii="仿宋_GB2312" w:hAnsi="宋体" w:eastAsia="仿宋_GB2312" w:cs="仿宋_GB2312"/>
          <w:sz w:val="32"/>
          <w:szCs w:val="32"/>
        </w:rPr>
        <w:t>）一般公共服务支出（类）财政事务（款）行政运行（项）</w:t>
      </w:r>
      <w:r>
        <w:rPr>
          <w:rFonts w:ascii="仿宋_GB2312" w:hAnsi="宋体" w:eastAsia="仿宋_GB2312" w:cs="仿宋_GB2312"/>
          <w:sz w:val="32"/>
          <w:szCs w:val="32"/>
        </w:rPr>
        <w:t>9.48</w:t>
      </w:r>
      <w:r>
        <w:rPr>
          <w:rFonts w:hint="eastAsia" w:ascii="仿宋_GB2312" w:hAnsi="宋体" w:eastAsia="仿宋_GB2312" w:cs="仿宋_GB2312"/>
          <w:sz w:val="32"/>
          <w:szCs w:val="32"/>
        </w:rPr>
        <w:t>万元，主要是信访事务等支出，完成年初预算的</w:t>
      </w:r>
      <w:r>
        <w:rPr>
          <w:rFonts w:ascii="仿宋_GB2312" w:hAnsi="宋体" w:eastAsia="仿宋_GB2312" w:cs="仿宋_GB2312"/>
          <w:sz w:val="32"/>
          <w:szCs w:val="32"/>
        </w:rPr>
        <w:t>100%</w:t>
      </w:r>
      <w:r>
        <w:rPr>
          <w:rFonts w:hint="eastAsia" w:ascii="仿宋_GB2312" w:eastAsia="仿宋_GB2312"/>
          <w:sz w:val="32"/>
          <w:szCs w:val="32"/>
          <w:lang w:val="en-US" w:eastAsia="zh-CN"/>
        </w:rPr>
        <w:t>，决算数等于年初预算数的原因是完全按照预算执行</w:t>
      </w:r>
      <w:r>
        <w:rPr>
          <w:rFonts w:hint="eastAsia" w:ascii="仿宋_GB2312" w:hAnsi="宋体" w:eastAsia="仿宋_GB2312" w:cs="仿宋_GB2312"/>
          <w:sz w:val="32"/>
          <w:szCs w:val="32"/>
        </w:rPr>
        <w:t>。</w:t>
      </w:r>
    </w:p>
    <w:p w14:paraId="5E06A8C2">
      <w:pPr>
        <w:spacing w:line="560" w:lineRule="exact"/>
        <w:ind w:firstLine="660"/>
        <w:rPr>
          <w:rFonts w:ascii="仿宋_GB2312" w:hAnsi="宋体" w:eastAsia="仿宋_GB2312"/>
          <w:sz w:val="32"/>
          <w:szCs w:val="32"/>
        </w:rPr>
      </w:pPr>
      <w:r>
        <w:rPr>
          <w:rFonts w:ascii="仿宋_GB2312" w:hAnsi="宋体" w:eastAsia="仿宋_GB2312" w:cs="仿宋_GB2312"/>
          <w:sz w:val="32"/>
          <w:szCs w:val="32"/>
        </w:rPr>
        <w:t>2.</w:t>
      </w:r>
      <w:r>
        <w:rPr>
          <w:rFonts w:hint="eastAsia" w:ascii="仿宋_GB2312" w:hAnsi="宋体" w:eastAsia="仿宋_GB2312" w:cs="仿宋_GB2312"/>
          <w:sz w:val="32"/>
          <w:szCs w:val="32"/>
        </w:rPr>
        <w:t>教育支出84421.76万元，具体包括：</w:t>
      </w:r>
    </w:p>
    <w:p w14:paraId="4B5BA807">
      <w:pPr>
        <w:spacing w:line="540" w:lineRule="exact"/>
        <w:ind w:firstLine="660"/>
        <w:rPr>
          <w:rFonts w:ascii="仿宋_GB2312" w:hAnsi="宋体" w:eastAsia="仿宋_GB2312"/>
          <w:sz w:val="32"/>
          <w:szCs w:val="32"/>
        </w:rPr>
      </w:pP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）行政运行</w:t>
      </w:r>
      <w:r>
        <w:rPr>
          <w:rFonts w:ascii="仿宋_GB2312" w:eastAsia="仿宋_GB2312" w:cs="仿宋_GB2312"/>
          <w:sz w:val="32"/>
          <w:szCs w:val="32"/>
        </w:rPr>
        <w:t>253.76</w:t>
      </w:r>
      <w:r>
        <w:rPr>
          <w:rFonts w:hint="eastAsia" w:ascii="仿宋_GB2312" w:eastAsia="仿宋_GB2312" w:cs="仿宋_GB2312"/>
          <w:sz w:val="32"/>
          <w:szCs w:val="32"/>
        </w:rPr>
        <w:t>万元，主要是用于在职人员工资保险、公积金、办公经费等支出，完成年初预算的</w:t>
      </w:r>
      <w:r>
        <w:rPr>
          <w:rFonts w:ascii="仿宋_GB2312" w:eastAsia="仿宋_GB2312" w:cs="仿宋_GB2312"/>
          <w:sz w:val="32"/>
          <w:szCs w:val="32"/>
        </w:rPr>
        <w:t>107.63%</w:t>
      </w:r>
      <w:r>
        <w:rPr>
          <w:rFonts w:hint="eastAsia" w:ascii="仿宋_GB2312" w:eastAsia="仿宋_GB2312" w:cs="仿宋_GB2312"/>
          <w:sz w:val="32"/>
          <w:szCs w:val="32"/>
        </w:rPr>
        <w:t>，</w:t>
      </w:r>
      <w:r>
        <w:rPr>
          <w:rFonts w:hint="eastAsia" w:ascii="仿宋_GB2312" w:hAnsi="宋体" w:eastAsia="仿宋_GB2312" w:cs="仿宋_GB2312"/>
          <w:sz w:val="32"/>
          <w:szCs w:val="32"/>
        </w:rPr>
        <w:t>决算数大于年初预算数的原因主要是本年度有</w:t>
      </w:r>
      <w:r>
        <w:rPr>
          <w:rFonts w:ascii="仿宋_GB2312" w:hAnsi="宋体" w:eastAsia="仿宋_GB2312" w:cs="仿宋_GB2312"/>
          <w:sz w:val="32"/>
          <w:szCs w:val="32"/>
        </w:rPr>
        <w:t>2</w:t>
      </w:r>
      <w:r>
        <w:rPr>
          <w:rFonts w:hint="eastAsia" w:ascii="仿宋_GB2312" w:hAnsi="宋体" w:eastAsia="仿宋_GB2312" w:cs="仿宋_GB2312"/>
          <w:sz w:val="32"/>
          <w:szCs w:val="32"/>
        </w:rPr>
        <w:t>名人员新调入，人人员工资实际支出大于预算金额。</w:t>
      </w:r>
    </w:p>
    <w:p w14:paraId="7251721F">
      <w:pPr>
        <w:pStyle w:val="8"/>
        <w:spacing w:line="560" w:lineRule="atLeast"/>
        <w:ind w:firstLine="660"/>
        <w:rPr>
          <w:rFonts w:ascii="仿宋_GB2312" w:eastAsia="仿宋_GB2312" w:cs="Times New Roman"/>
          <w:sz w:val="32"/>
          <w:szCs w:val="32"/>
        </w:rPr>
      </w:pP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）一般</w:t>
      </w:r>
      <w:bookmarkStart w:id="0" w:name="_GoBack"/>
      <w:bookmarkEnd w:id="0"/>
      <w:r>
        <w:rPr>
          <w:rFonts w:hint="eastAsia" w:ascii="仿宋_GB2312" w:eastAsia="仿宋_GB2312" w:cs="仿宋_GB2312"/>
          <w:sz w:val="32"/>
          <w:szCs w:val="32"/>
          <w:lang w:eastAsia="zh-CN"/>
        </w:rPr>
        <w:t>行政管理事务</w:t>
      </w:r>
      <w:r>
        <w:rPr>
          <w:rFonts w:ascii="仿宋_GB2312" w:eastAsia="仿宋_GB2312" w:cs="仿宋_GB2312"/>
          <w:sz w:val="32"/>
          <w:szCs w:val="32"/>
        </w:rPr>
        <w:t>129.37</w:t>
      </w:r>
      <w:r>
        <w:rPr>
          <w:rFonts w:hint="eastAsia" w:ascii="仿宋_GB2312" w:eastAsia="仿宋_GB2312" w:cs="仿宋_GB2312"/>
          <w:sz w:val="32"/>
          <w:szCs w:val="32"/>
        </w:rPr>
        <w:t>万元，主要用于在职人员绩效工资支出，完成年初预算的</w:t>
      </w:r>
      <w:r>
        <w:rPr>
          <w:rFonts w:ascii="仿宋_GB2312" w:eastAsia="仿宋_GB2312" w:cs="仿宋_GB2312"/>
          <w:sz w:val="32"/>
          <w:szCs w:val="32"/>
        </w:rPr>
        <w:t>73.35%</w:t>
      </w:r>
      <w:r>
        <w:rPr>
          <w:rFonts w:hint="eastAsia" w:ascii="仿宋_GB2312" w:eastAsia="仿宋_GB2312" w:cs="仿宋_GB2312"/>
          <w:sz w:val="32"/>
          <w:szCs w:val="32"/>
        </w:rPr>
        <w:t>。决算数小于年初预算数的原因主要是本年度绩效、车补等项目实际支出数较预算减少。</w:t>
      </w:r>
    </w:p>
    <w:p w14:paraId="0146F74E">
      <w:pPr>
        <w:pStyle w:val="8"/>
        <w:spacing w:line="560" w:lineRule="atLeast"/>
        <w:ind w:firstLine="660"/>
        <w:rPr>
          <w:rFonts w:ascii="仿宋_GB2312" w:eastAsia="仿宋_GB2312" w:cs="Times New Roman"/>
          <w:sz w:val="32"/>
          <w:szCs w:val="32"/>
        </w:rPr>
      </w:pP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）其他教育管理事物支出</w:t>
      </w:r>
      <w:r>
        <w:rPr>
          <w:rFonts w:ascii="仿宋_GB2312" w:eastAsia="仿宋_GB2312" w:cs="仿宋_GB2312"/>
          <w:sz w:val="32"/>
          <w:szCs w:val="32"/>
        </w:rPr>
        <w:t>11.7</w:t>
      </w:r>
      <w:r>
        <w:rPr>
          <w:rFonts w:hint="eastAsia" w:ascii="仿宋_GB2312" w:eastAsia="仿宋_GB2312" w:cs="仿宋_GB2312"/>
          <w:sz w:val="32"/>
          <w:szCs w:val="32"/>
        </w:rPr>
        <w:t>万元，主要用于办公费、差旅费、生活补助等相关支出，完成年初预算的</w:t>
      </w:r>
      <w:r>
        <w:rPr>
          <w:rFonts w:ascii="仿宋_GB2312" w:eastAsia="仿宋_GB2312" w:cs="仿宋_GB2312"/>
          <w:sz w:val="32"/>
          <w:szCs w:val="32"/>
        </w:rPr>
        <w:t>975%</w:t>
      </w:r>
      <w:r>
        <w:rPr>
          <w:rFonts w:hint="eastAsia" w:ascii="仿宋_GB2312" w:eastAsia="仿宋_GB2312" w:cs="仿宋_GB2312"/>
          <w:sz w:val="32"/>
          <w:szCs w:val="32"/>
        </w:rPr>
        <w:t>，决算数大于年初预算数的原因主要是本年度生活补助等项目实际支出数较预算增加。</w:t>
      </w:r>
    </w:p>
    <w:p w14:paraId="2764DD85">
      <w:pPr>
        <w:spacing w:line="540" w:lineRule="exact"/>
        <w:ind w:firstLine="660"/>
        <w:rPr>
          <w:rFonts w:ascii="仿宋_GB2312" w:eastAsia="仿宋_GB2312"/>
          <w:sz w:val="32"/>
          <w:szCs w:val="32"/>
        </w:rPr>
      </w:pP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）学前教育6565.51万元，主要用于幼儿园学前奖补相关支出，完成年初预算的96.91</w:t>
      </w:r>
      <w:r>
        <w:rPr>
          <w:rFonts w:ascii="仿宋_GB2312" w:eastAsia="仿宋_GB2312" w:cs="仿宋_GB2312"/>
          <w:sz w:val="32"/>
          <w:szCs w:val="32"/>
        </w:rPr>
        <w:t>%</w:t>
      </w:r>
      <w:r>
        <w:rPr>
          <w:rFonts w:hint="eastAsia" w:ascii="仿宋_GB2312" w:eastAsia="仿宋_GB2312" w:cs="仿宋_GB2312"/>
          <w:sz w:val="32"/>
          <w:szCs w:val="32"/>
        </w:rPr>
        <w:t>，</w:t>
      </w:r>
      <w:r>
        <w:rPr>
          <w:rFonts w:hint="eastAsia" w:ascii="仿宋_GB2312" w:hAnsi="宋体" w:eastAsia="仿宋_GB2312" w:cs="仿宋_GB2312"/>
          <w:sz w:val="32"/>
          <w:szCs w:val="32"/>
        </w:rPr>
        <w:t>决算数</w:t>
      </w:r>
      <w:r>
        <w:rPr>
          <w:rFonts w:hint="eastAsia" w:ascii="仿宋_GB2312" w:eastAsia="仿宋_GB2312" w:cs="仿宋_GB2312"/>
          <w:sz w:val="32"/>
          <w:szCs w:val="32"/>
        </w:rPr>
        <w:t>小于</w:t>
      </w:r>
      <w:r>
        <w:rPr>
          <w:rFonts w:hint="eastAsia" w:ascii="仿宋_GB2312" w:hAnsi="宋体" w:eastAsia="仿宋_GB2312" w:cs="仿宋_GB2312"/>
          <w:sz w:val="32"/>
          <w:szCs w:val="32"/>
        </w:rPr>
        <w:t>年初预算数的原因主要是</w:t>
      </w:r>
      <w:r>
        <w:rPr>
          <w:rFonts w:hint="eastAsia" w:ascii="仿宋_GB2312" w:eastAsia="仿宋_GB2312" w:cs="仿宋_GB2312"/>
          <w:sz w:val="32"/>
          <w:szCs w:val="32"/>
        </w:rPr>
        <w:t>幼儿园学前奖补资金、保育教育费按照实际需求申请拨付，受疫情影响，幼儿园保育教育费需求减少</w:t>
      </w:r>
      <w:r>
        <w:rPr>
          <w:rFonts w:hint="eastAsia" w:ascii="仿宋_GB2312" w:hAnsi="宋体" w:eastAsia="仿宋_GB2312" w:cs="仿宋_GB2312"/>
          <w:sz w:val="32"/>
          <w:szCs w:val="32"/>
        </w:rPr>
        <w:t>。</w:t>
      </w:r>
    </w:p>
    <w:p w14:paraId="01A81626">
      <w:pPr>
        <w:spacing w:line="540" w:lineRule="exact"/>
        <w:ind w:firstLine="660"/>
        <w:rPr>
          <w:rFonts w:ascii="仿宋_GB2312" w:eastAsia="仿宋_GB2312"/>
          <w:sz w:val="32"/>
          <w:szCs w:val="32"/>
        </w:rPr>
      </w:pPr>
      <w:r>
        <w:rPr>
          <w:rFonts w:hint="eastAsia" w:ascii="仿宋_GB2312" w:eastAsia="仿宋_GB2312" w:cs="仿宋_GB2312"/>
          <w:sz w:val="32"/>
          <w:szCs w:val="32"/>
        </w:rPr>
        <w:t>（</w:t>
      </w:r>
      <w:r>
        <w:rPr>
          <w:rFonts w:ascii="仿宋_GB2312" w:eastAsia="仿宋_GB2312" w:cs="仿宋_GB2312"/>
          <w:sz w:val="32"/>
          <w:szCs w:val="32"/>
        </w:rPr>
        <w:t>5</w:t>
      </w:r>
      <w:r>
        <w:rPr>
          <w:rFonts w:hint="eastAsia" w:ascii="仿宋_GB2312" w:eastAsia="仿宋_GB2312" w:cs="仿宋_GB2312"/>
          <w:sz w:val="32"/>
          <w:szCs w:val="32"/>
        </w:rPr>
        <w:t>）小学教育26633.14万元，主要用于支付学校基本建设支出、生均公用经费支出等，完成年初预算的225.65</w:t>
      </w:r>
      <w:r>
        <w:rPr>
          <w:rFonts w:ascii="仿宋_GB2312" w:eastAsia="仿宋_GB2312" w:cs="仿宋_GB2312"/>
          <w:sz w:val="32"/>
          <w:szCs w:val="32"/>
        </w:rPr>
        <w:t>%</w:t>
      </w:r>
      <w:r>
        <w:rPr>
          <w:rFonts w:hint="eastAsia" w:ascii="仿宋_GB2312" w:eastAsia="仿宋_GB2312" w:cs="仿宋_GB2312"/>
          <w:sz w:val="32"/>
          <w:szCs w:val="32"/>
        </w:rPr>
        <w:t>，</w:t>
      </w:r>
      <w:r>
        <w:rPr>
          <w:rFonts w:hint="eastAsia" w:ascii="仿宋_GB2312" w:hAnsi="宋体" w:eastAsia="仿宋_GB2312" w:cs="仿宋_GB2312"/>
          <w:sz w:val="32"/>
          <w:szCs w:val="32"/>
        </w:rPr>
        <w:t>决算数</w:t>
      </w:r>
      <w:r>
        <w:rPr>
          <w:rFonts w:hint="eastAsia" w:ascii="仿宋_GB2312" w:eastAsia="仿宋_GB2312" w:cs="仿宋_GB2312"/>
          <w:sz w:val="32"/>
          <w:szCs w:val="32"/>
        </w:rPr>
        <w:t>大于</w:t>
      </w:r>
      <w:r>
        <w:rPr>
          <w:rFonts w:hint="eastAsia" w:ascii="仿宋_GB2312" w:hAnsi="宋体" w:eastAsia="仿宋_GB2312" w:cs="仿宋_GB2312"/>
          <w:sz w:val="32"/>
          <w:szCs w:val="32"/>
        </w:rPr>
        <w:t>年初预算数的原因主要是</w:t>
      </w:r>
      <w:r>
        <w:rPr>
          <w:rFonts w:hint="eastAsia" w:ascii="仿宋_GB2312" w:eastAsia="仿宋_GB2312" w:cs="仿宋_GB2312"/>
          <w:sz w:val="32"/>
          <w:szCs w:val="32"/>
        </w:rPr>
        <w:t>本年度新建校工程款支出较多，此部分资金列入政府公共性资金预算，未在教育局专项预算中填报。</w:t>
      </w:r>
    </w:p>
    <w:p w14:paraId="7BB02D19">
      <w:pPr>
        <w:spacing w:line="540" w:lineRule="exact"/>
        <w:ind w:firstLine="660"/>
        <w:rPr>
          <w:rFonts w:ascii="仿宋_GB2312" w:eastAsia="仿宋_GB2312"/>
          <w:sz w:val="32"/>
          <w:szCs w:val="32"/>
        </w:rPr>
      </w:pPr>
      <w:r>
        <w:rPr>
          <w:rFonts w:hint="eastAsia" w:ascii="仿宋_GB2312" w:eastAsia="仿宋_GB2312" w:cs="仿宋_GB2312"/>
          <w:sz w:val="32"/>
          <w:szCs w:val="32"/>
        </w:rPr>
        <w:t>（</w:t>
      </w:r>
      <w:r>
        <w:rPr>
          <w:rFonts w:ascii="仿宋_GB2312" w:eastAsia="仿宋_GB2312" w:cs="仿宋_GB2312"/>
          <w:sz w:val="32"/>
          <w:szCs w:val="32"/>
        </w:rPr>
        <w:t>6</w:t>
      </w:r>
      <w:r>
        <w:rPr>
          <w:rFonts w:hint="eastAsia" w:ascii="仿宋_GB2312" w:eastAsia="仿宋_GB2312" w:cs="仿宋_GB2312"/>
          <w:sz w:val="32"/>
          <w:szCs w:val="32"/>
        </w:rPr>
        <w:t>）初中教育29294.47万元，主要用于生均公用经费支出、房屋建筑物构建相关支出等，完成年初预算的211.65</w:t>
      </w:r>
      <w:r>
        <w:rPr>
          <w:rFonts w:ascii="仿宋_GB2312" w:eastAsia="仿宋_GB2312" w:cs="仿宋_GB2312"/>
          <w:sz w:val="32"/>
          <w:szCs w:val="32"/>
        </w:rPr>
        <w:t>%</w:t>
      </w:r>
      <w:r>
        <w:rPr>
          <w:rFonts w:hint="eastAsia" w:ascii="仿宋_GB2312" w:eastAsia="仿宋_GB2312" w:cs="仿宋_GB2312"/>
          <w:sz w:val="32"/>
          <w:szCs w:val="32"/>
        </w:rPr>
        <w:t>，</w:t>
      </w:r>
      <w:r>
        <w:rPr>
          <w:rFonts w:hint="eastAsia" w:ascii="仿宋_GB2312" w:hAnsi="宋体" w:eastAsia="仿宋_GB2312" w:cs="仿宋_GB2312"/>
          <w:sz w:val="32"/>
          <w:szCs w:val="32"/>
        </w:rPr>
        <w:t>决算数</w:t>
      </w:r>
      <w:r>
        <w:rPr>
          <w:rFonts w:hint="eastAsia" w:ascii="仿宋_GB2312" w:eastAsia="仿宋_GB2312" w:cs="仿宋_GB2312"/>
          <w:sz w:val="32"/>
          <w:szCs w:val="32"/>
        </w:rPr>
        <w:t>大于</w:t>
      </w:r>
      <w:r>
        <w:rPr>
          <w:rFonts w:hint="eastAsia" w:ascii="仿宋_GB2312" w:hAnsi="宋体" w:eastAsia="仿宋_GB2312" w:cs="仿宋_GB2312"/>
          <w:sz w:val="32"/>
          <w:szCs w:val="32"/>
        </w:rPr>
        <w:t>年初预算数的原因主要是</w:t>
      </w:r>
      <w:r>
        <w:rPr>
          <w:rFonts w:hint="eastAsia" w:ascii="仿宋_GB2312" w:eastAsia="仿宋_GB2312" w:cs="仿宋_GB2312"/>
          <w:sz w:val="32"/>
          <w:szCs w:val="32"/>
        </w:rPr>
        <w:t>本年度新建校工程款支出较多，此部分资金列入政府公共性资金预算，未在教育局专项预算中填报。</w:t>
      </w:r>
    </w:p>
    <w:p w14:paraId="66F842B1">
      <w:pPr>
        <w:spacing w:line="540" w:lineRule="exact"/>
        <w:ind w:firstLine="660"/>
        <w:rPr>
          <w:rFonts w:ascii="仿宋_GB2312" w:eastAsia="仿宋_GB2312"/>
          <w:sz w:val="32"/>
          <w:szCs w:val="32"/>
        </w:rPr>
      </w:pPr>
      <w:r>
        <w:rPr>
          <w:rFonts w:hint="eastAsia" w:ascii="仿宋_GB2312" w:eastAsia="仿宋_GB2312" w:cs="仿宋_GB2312"/>
          <w:sz w:val="32"/>
          <w:szCs w:val="32"/>
        </w:rPr>
        <w:t>（</w:t>
      </w:r>
      <w:r>
        <w:rPr>
          <w:rFonts w:ascii="仿宋_GB2312" w:eastAsia="仿宋_GB2312" w:cs="仿宋_GB2312"/>
          <w:sz w:val="32"/>
          <w:szCs w:val="32"/>
        </w:rPr>
        <w:t>7</w:t>
      </w:r>
      <w:r>
        <w:rPr>
          <w:rFonts w:hint="eastAsia" w:ascii="仿宋_GB2312" w:eastAsia="仿宋_GB2312" w:cs="仿宋_GB2312"/>
          <w:sz w:val="32"/>
          <w:szCs w:val="32"/>
        </w:rPr>
        <w:t>）高中教育3472.38万元，主要用于生均公用经费支出、房屋建筑物构建相关支出等，完成年初预算的131.35</w:t>
      </w:r>
      <w:r>
        <w:rPr>
          <w:rFonts w:ascii="仿宋_GB2312" w:eastAsia="仿宋_GB2312" w:cs="仿宋_GB2312"/>
          <w:sz w:val="32"/>
          <w:szCs w:val="32"/>
        </w:rPr>
        <w:t>%</w:t>
      </w:r>
      <w:r>
        <w:rPr>
          <w:rFonts w:hint="eastAsia" w:ascii="仿宋_GB2312" w:eastAsia="仿宋_GB2312" w:cs="仿宋_GB2312"/>
          <w:sz w:val="32"/>
          <w:szCs w:val="32"/>
        </w:rPr>
        <w:t>，</w:t>
      </w:r>
      <w:r>
        <w:rPr>
          <w:rFonts w:hint="eastAsia" w:ascii="仿宋_GB2312" w:hAnsi="宋体" w:eastAsia="仿宋_GB2312" w:cs="仿宋_GB2312"/>
          <w:sz w:val="32"/>
          <w:szCs w:val="32"/>
        </w:rPr>
        <w:t>决算数</w:t>
      </w:r>
      <w:r>
        <w:rPr>
          <w:rFonts w:hint="eastAsia" w:ascii="仿宋_GB2312" w:eastAsia="仿宋_GB2312" w:cs="仿宋_GB2312"/>
          <w:sz w:val="32"/>
          <w:szCs w:val="32"/>
        </w:rPr>
        <w:t>大于</w:t>
      </w:r>
      <w:r>
        <w:rPr>
          <w:rFonts w:hint="eastAsia" w:ascii="仿宋_GB2312" w:hAnsi="宋体" w:eastAsia="仿宋_GB2312" w:cs="仿宋_GB2312"/>
          <w:sz w:val="32"/>
          <w:szCs w:val="32"/>
        </w:rPr>
        <w:t>年初预算数的原因主要是</w:t>
      </w:r>
      <w:r>
        <w:rPr>
          <w:rFonts w:hint="eastAsia" w:ascii="仿宋_GB2312" w:eastAsia="仿宋_GB2312" w:cs="仿宋_GB2312"/>
          <w:sz w:val="32"/>
          <w:szCs w:val="32"/>
        </w:rPr>
        <w:t>本年度新建校工程款支出较多，此部分资金列入政府公共性资金预算，未在教育局专项预算中填报。</w:t>
      </w:r>
    </w:p>
    <w:p w14:paraId="046C3314">
      <w:pPr>
        <w:pStyle w:val="8"/>
        <w:spacing w:line="560" w:lineRule="atLeast"/>
        <w:ind w:firstLine="660"/>
        <w:rPr>
          <w:rFonts w:ascii="仿宋_GB2312" w:eastAsia="仿宋_GB2312" w:cs="Times New Roman"/>
          <w:sz w:val="32"/>
          <w:szCs w:val="32"/>
        </w:rPr>
      </w:pPr>
      <w:r>
        <w:rPr>
          <w:rFonts w:hint="eastAsia" w:ascii="仿宋_GB2312" w:eastAsia="仿宋_GB2312" w:cs="仿宋_GB2312"/>
          <w:sz w:val="32"/>
          <w:szCs w:val="32"/>
        </w:rPr>
        <w:t>（</w:t>
      </w:r>
      <w:r>
        <w:rPr>
          <w:rFonts w:ascii="仿宋_GB2312" w:eastAsia="仿宋_GB2312" w:cs="仿宋_GB2312"/>
          <w:sz w:val="32"/>
          <w:szCs w:val="32"/>
        </w:rPr>
        <w:t>8</w:t>
      </w:r>
      <w:r>
        <w:rPr>
          <w:rFonts w:hint="eastAsia" w:ascii="仿宋_GB2312" w:eastAsia="仿宋_GB2312" w:cs="仿宋_GB2312"/>
          <w:sz w:val="32"/>
          <w:szCs w:val="32"/>
        </w:rPr>
        <w:t>）其他普通教育支出8064.63万元，主要用于校车经费、基础设施建设、房屋建筑物构建等支出，完成年初预算的41.71</w:t>
      </w:r>
      <w:r>
        <w:rPr>
          <w:rFonts w:ascii="仿宋_GB2312" w:eastAsia="仿宋_GB2312" w:cs="仿宋_GB2312"/>
          <w:sz w:val="32"/>
          <w:szCs w:val="32"/>
        </w:rPr>
        <w:t>%</w:t>
      </w:r>
      <w:r>
        <w:rPr>
          <w:rFonts w:hint="eastAsia" w:ascii="仿宋_GB2312" w:eastAsia="仿宋_GB2312" w:cs="仿宋_GB2312"/>
          <w:sz w:val="32"/>
          <w:szCs w:val="32"/>
        </w:rPr>
        <w:t>，决算数小于年初预算数的原因主要是部分项目预算安排在其他普通教育支出，实际执行过程中结合实际情况，列入相关学段支出科目。</w:t>
      </w:r>
    </w:p>
    <w:p w14:paraId="07FD0530">
      <w:pPr>
        <w:pStyle w:val="8"/>
        <w:spacing w:line="560" w:lineRule="atLeast"/>
        <w:ind w:firstLine="660"/>
        <w:rPr>
          <w:rFonts w:ascii="仿宋_GB2312" w:eastAsia="仿宋_GB2312" w:cs="仿宋_GB2312"/>
          <w:sz w:val="32"/>
          <w:szCs w:val="32"/>
        </w:rPr>
      </w:pPr>
      <w:r>
        <w:rPr>
          <w:rFonts w:hint="eastAsia" w:ascii="仿宋_GB2312" w:eastAsia="仿宋_GB2312" w:cs="仿宋_GB2312"/>
          <w:sz w:val="32"/>
          <w:szCs w:val="32"/>
        </w:rPr>
        <w:t>（</w:t>
      </w:r>
      <w:r>
        <w:rPr>
          <w:rFonts w:ascii="仿宋_GB2312" w:eastAsia="仿宋_GB2312" w:cs="仿宋_GB2312"/>
          <w:sz w:val="32"/>
          <w:szCs w:val="32"/>
        </w:rPr>
        <w:t>9</w:t>
      </w:r>
      <w:r>
        <w:rPr>
          <w:rFonts w:hint="eastAsia" w:ascii="仿宋_GB2312" w:eastAsia="仿宋_GB2312" w:cs="仿宋_GB2312"/>
          <w:sz w:val="32"/>
          <w:szCs w:val="32"/>
        </w:rPr>
        <w:t>）中等职业教育</w:t>
      </w:r>
      <w:r>
        <w:rPr>
          <w:rFonts w:ascii="仿宋_GB2312" w:eastAsia="仿宋_GB2312" w:cs="仿宋_GB2312"/>
          <w:sz w:val="32"/>
          <w:szCs w:val="32"/>
        </w:rPr>
        <w:t>291.9</w:t>
      </w:r>
      <w:r>
        <w:rPr>
          <w:rFonts w:hint="eastAsia" w:ascii="仿宋_GB2312" w:eastAsia="仿宋_GB2312" w:cs="仿宋_GB2312"/>
          <w:sz w:val="32"/>
          <w:szCs w:val="32"/>
        </w:rPr>
        <w:t>万元，主要用于中职学校免学费、助学金相关支出等，完成年初预算的</w:t>
      </w:r>
      <w:r>
        <w:rPr>
          <w:rFonts w:ascii="仿宋_GB2312" w:eastAsia="仿宋_GB2312" w:cs="仿宋_GB2312"/>
          <w:sz w:val="32"/>
          <w:szCs w:val="32"/>
        </w:rPr>
        <w:t>100%</w:t>
      </w:r>
      <w:r>
        <w:rPr>
          <w:rFonts w:hint="eastAsia" w:ascii="仿宋_GB2312" w:eastAsia="仿宋_GB2312" w:cs="仿宋_GB2312"/>
          <w:sz w:val="32"/>
          <w:szCs w:val="32"/>
        </w:rPr>
        <w:t>，因项目支出预算在局本级编报，均按照实际发生额列支，因此</w:t>
      </w:r>
      <w:r>
        <w:rPr>
          <w:rFonts w:ascii="仿宋_GB2312" w:eastAsia="仿宋_GB2312" w:cs="仿宋_GB2312"/>
          <w:sz w:val="32"/>
          <w:szCs w:val="32"/>
        </w:rPr>
        <w:t>100%</w:t>
      </w:r>
      <w:r>
        <w:rPr>
          <w:rFonts w:hint="eastAsia" w:ascii="仿宋_GB2312" w:eastAsia="仿宋_GB2312" w:cs="仿宋_GB2312"/>
          <w:sz w:val="32"/>
          <w:szCs w:val="32"/>
        </w:rPr>
        <w:t>完成。</w:t>
      </w:r>
    </w:p>
    <w:p w14:paraId="037F520F">
      <w:pPr>
        <w:pStyle w:val="8"/>
        <w:spacing w:line="560" w:lineRule="atLeast"/>
        <w:ind w:firstLine="660"/>
        <w:rPr>
          <w:rFonts w:ascii="仿宋_GB2312" w:eastAsia="仿宋_GB2312" w:cs="Times New Roman"/>
          <w:sz w:val="32"/>
          <w:szCs w:val="32"/>
        </w:rPr>
      </w:pPr>
      <w:r>
        <w:rPr>
          <w:rFonts w:hint="eastAsia" w:ascii="仿宋_GB2312" w:eastAsia="仿宋_GB2312" w:cs="仿宋_GB2312"/>
          <w:sz w:val="32"/>
          <w:szCs w:val="32"/>
        </w:rPr>
        <w:t>（10）特殊学校教育315.9万元，主要用于中职学校免学费、助学金相关支出等，完成年初预算的79</w:t>
      </w:r>
      <w:r>
        <w:rPr>
          <w:rFonts w:ascii="仿宋_GB2312" w:eastAsia="仿宋_GB2312" w:cs="仿宋_GB2312"/>
          <w:sz w:val="32"/>
          <w:szCs w:val="32"/>
        </w:rPr>
        <w:t>%</w:t>
      </w:r>
      <w:r>
        <w:rPr>
          <w:rFonts w:hint="eastAsia" w:ascii="仿宋_GB2312" w:eastAsia="仿宋_GB2312" w:cs="仿宋_GB2312"/>
          <w:sz w:val="32"/>
          <w:szCs w:val="32"/>
        </w:rPr>
        <w:t>，决算数小于年初预算数的原因主要是随班就读生均经费预估人数与实际人数存在差额，依据实际需求申请资金。</w:t>
      </w:r>
    </w:p>
    <w:p w14:paraId="1057934C">
      <w:pPr>
        <w:pStyle w:val="8"/>
        <w:spacing w:line="560" w:lineRule="atLeast"/>
        <w:ind w:firstLine="660"/>
        <w:rPr>
          <w:rFonts w:ascii="仿宋_GB2312" w:eastAsia="仿宋_GB2312" w:cs="Times New Roman"/>
          <w:sz w:val="32"/>
          <w:szCs w:val="32"/>
        </w:rPr>
      </w:pPr>
      <w:r>
        <w:rPr>
          <w:rFonts w:hint="eastAsia" w:ascii="仿宋_GB2312" w:eastAsia="仿宋_GB2312" w:cs="仿宋_GB2312"/>
          <w:sz w:val="32"/>
          <w:szCs w:val="32"/>
        </w:rPr>
        <w:t>（11）教育费附加安排的支出9245.65万元，主要用于房屋建筑物构建等相关支出，完成年初预算的</w:t>
      </w:r>
      <w:r>
        <w:rPr>
          <w:rFonts w:ascii="仿宋_GB2312" w:eastAsia="仿宋_GB2312" w:cs="仿宋_GB2312"/>
          <w:sz w:val="32"/>
          <w:szCs w:val="32"/>
        </w:rPr>
        <w:t>100%</w:t>
      </w:r>
      <w:r>
        <w:rPr>
          <w:rFonts w:hint="eastAsia" w:ascii="仿宋_GB2312" w:eastAsia="仿宋_GB2312" w:cs="仿宋_GB2312"/>
          <w:sz w:val="32"/>
          <w:szCs w:val="32"/>
        </w:rPr>
        <w:t>，因项目支出预算在局本级编报，均按照实际发生额列支，因此</w:t>
      </w:r>
      <w:r>
        <w:rPr>
          <w:rFonts w:ascii="仿宋_GB2312" w:eastAsia="仿宋_GB2312" w:cs="仿宋_GB2312"/>
          <w:sz w:val="32"/>
          <w:szCs w:val="32"/>
        </w:rPr>
        <w:t>100%</w:t>
      </w:r>
      <w:r>
        <w:rPr>
          <w:rFonts w:hint="eastAsia" w:ascii="仿宋_GB2312" w:eastAsia="仿宋_GB2312" w:cs="仿宋_GB2312"/>
          <w:sz w:val="32"/>
          <w:szCs w:val="32"/>
        </w:rPr>
        <w:t>完成。</w:t>
      </w:r>
    </w:p>
    <w:p w14:paraId="3F33043E">
      <w:pPr>
        <w:pStyle w:val="8"/>
        <w:spacing w:line="560" w:lineRule="atLeast"/>
        <w:ind w:firstLine="660"/>
        <w:rPr>
          <w:rFonts w:ascii="仿宋_GB2312" w:eastAsia="仿宋_GB2312" w:cs="Times New Roman"/>
          <w:sz w:val="32"/>
          <w:szCs w:val="32"/>
        </w:rPr>
      </w:pPr>
      <w:r>
        <w:rPr>
          <w:rFonts w:hint="eastAsia" w:ascii="仿宋_GB2312" w:eastAsia="仿宋_GB2312" w:cs="仿宋_GB2312"/>
          <w:sz w:val="32"/>
          <w:szCs w:val="32"/>
        </w:rPr>
        <w:t>（12）其他教育支出143.36万元，主要用于非公办教师养老补助等支出，完成年初预算的67.62</w:t>
      </w:r>
      <w:r>
        <w:rPr>
          <w:rFonts w:ascii="仿宋_GB2312" w:eastAsia="仿宋_GB2312" w:cs="仿宋_GB2312"/>
          <w:sz w:val="32"/>
          <w:szCs w:val="32"/>
        </w:rPr>
        <w:t>%</w:t>
      </w:r>
      <w:r>
        <w:rPr>
          <w:rFonts w:hint="eastAsia" w:ascii="仿宋_GB2312" w:eastAsia="仿宋_GB2312" w:cs="仿宋_GB2312"/>
          <w:sz w:val="32"/>
          <w:szCs w:val="32"/>
        </w:rPr>
        <w:t>，决算数小于年初预算数的原因主要是按照当年实际符合发放标准的情况进行拨付资金。</w:t>
      </w:r>
    </w:p>
    <w:p w14:paraId="403BFBF0">
      <w:pPr>
        <w:pStyle w:val="8"/>
        <w:spacing w:line="560" w:lineRule="atLeast"/>
        <w:ind w:firstLine="640" w:firstLineChars="200"/>
        <w:rPr>
          <w:rFonts w:ascii="仿宋_GB2312" w:eastAsia="仿宋_GB2312" w:cs="Times New Roman"/>
          <w:sz w:val="32"/>
          <w:szCs w:val="32"/>
        </w:rPr>
      </w:pPr>
      <w:r>
        <w:rPr>
          <w:rFonts w:ascii="仿宋_GB2312" w:eastAsia="仿宋_GB2312" w:cs="仿宋_GB2312"/>
          <w:sz w:val="32"/>
          <w:szCs w:val="32"/>
        </w:rPr>
        <w:t>3.</w:t>
      </w:r>
      <w:r>
        <w:rPr>
          <w:rFonts w:hint="eastAsia" w:ascii="仿宋_GB2312" w:eastAsia="仿宋_GB2312" w:cs="仿宋_GB2312"/>
          <w:sz w:val="32"/>
          <w:szCs w:val="32"/>
        </w:rPr>
        <w:t>社会保障和就业支出3234.24万元，具体包括：</w:t>
      </w:r>
    </w:p>
    <w:p w14:paraId="60BEC2AD">
      <w:pPr>
        <w:pStyle w:val="10"/>
        <w:spacing w:line="540" w:lineRule="exact"/>
        <w:ind w:left="420" w:firstLine="0" w:firstLineChars="0"/>
        <w:rPr>
          <w:rFonts w:ascii="仿宋_GB2312" w:hAnsi="宋体" w:eastAsia="仿宋_GB2312" w:cs="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1</w:t>
      </w:r>
      <w:r>
        <w:rPr>
          <w:rFonts w:hint="eastAsia" w:ascii="仿宋_GB2312" w:hAnsi="宋体" w:eastAsia="仿宋_GB2312" w:cs="仿宋_GB2312"/>
          <w:sz w:val="32"/>
          <w:szCs w:val="32"/>
        </w:rPr>
        <w:t>）归口管理的行政单位离退休</w:t>
      </w:r>
      <w:r>
        <w:rPr>
          <w:rFonts w:ascii="仿宋_GB2312" w:hAnsi="宋体" w:eastAsia="仿宋_GB2312" w:cs="仿宋_GB2312"/>
          <w:sz w:val="32"/>
          <w:szCs w:val="32"/>
        </w:rPr>
        <w:t>22.01</w:t>
      </w:r>
      <w:r>
        <w:rPr>
          <w:rFonts w:hint="eastAsia" w:ascii="仿宋_GB2312" w:hAnsi="宋体" w:eastAsia="仿宋_GB2312" w:cs="仿宋_GB2312"/>
          <w:sz w:val="32"/>
          <w:szCs w:val="32"/>
        </w:rPr>
        <w:t>万元，主要是区</w:t>
      </w:r>
    </w:p>
    <w:p w14:paraId="084F4EFA">
      <w:pPr>
        <w:pStyle w:val="10"/>
        <w:spacing w:line="540" w:lineRule="exact"/>
        <w:ind w:firstLine="0" w:firstLineChars="0"/>
        <w:rPr>
          <w:rFonts w:ascii="仿宋_GB2312" w:hAnsi="宋体" w:eastAsia="仿宋_GB2312" w:cs="仿宋_GB2312"/>
          <w:sz w:val="32"/>
          <w:szCs w:val="32"/>
        </w:rPr>
      </w:pPr>
      <w:r>
        <w:rPr>
          <w:rFonts w:hint="eastAsia" w:ascii="仿宋_GB2312" w:hAnsi="宋体" w:eastAsia="仿宋_GB2312" w:cs="仿宋_GB2312"/>
          <w:sz w:val="32"/>
          <w:szCs w:val="32"/>
        </w:rPr>
        <w:t>教育局离休人员工资等支出，完成年初预算的</w:t>
      </w:r>
      <w:r>
        <w:rPr>
          <w:rFonts w:ascii="仿宋_GB2312" w:hAnsi="宋体" w:eastAsia="仿宋_GB2312" w:cs="仿宋_GB2312"/>
          <w:sz w:val="32"/>
          <w:szCs w:val="32"/>
        </w:rPr>
        <w:t>94.5%</w:t>
      </w:r>
      <w:r>
        <w:rPr>
          <w:rFonts w:hint="eastAsia" w:ascii="仿宋_GB2312" w:hAnsi="宋体" w:eastAsia="仿宋_GB2312" w:cs="仿宋_GB2312"/>
          <w:sz w:val="32"/>
          <w:szCs w:val="32"/>
        </w:rPr>
        <w:t>，决算数小于年初预算数的原因主要是离休人员去世等原因。</w:t>
      </w:r>
    </w:p>
    <w:p w14:paraId="2D5A69F8">
      <w:pPr>
        <w:pStyle w:val="10"/>
        <w:spacing w:line="540" w:lineRule="exact"/>
        <w:ind w:left="420" w:firstLine="0" w:firstLineChars="0"/>
        <w:rPr>
          <w:rFonts w:ascii="仿宋_GB2312" w:hAnsi="宋体" w:eastAsia="仿宋_GB2312" w:cs="仿宋_GB2312"/>
          <w:sz w:val="32"/>
          <w:szCs w:val="32"/>
        </w:rPr>
      </w:pPr>
      <w:r>
        <w:rPr>
          <w:rFonts w:hint="eastAsia" w:ascii="仿宋_GB2312" w:hAnsi="宋体" w:eastAsia="仿宋_GB2312" w:cs="仿宋_GB2312"/>
          <w:sz w:val="32"/>
          <w:szCs w:val="32"/>
        </w:rPr>
        <w:t>（2）归口管理的事业单位离退休208.75万元，主要是</w:t>
      </w:r>
    </w:p>
    <w:p w14:paraId="581D2FF3">
      <w:pPr>
        <w:pStyle w:val="10"/>
        <w:spacing w:line="540" w:lineRule="exact"/>
        <w:ind w:firstLine="0" w:firstLineChars="0"/>
        <w:rPr>
          <w:rFonts w:ascii="仿宋_GB2312" w:hAnsi="宋体" w:eastAsia="仿宋_GB2312" w:cs="仿宋_GB2312"/>
          <w:sz w:val="32"/>
          <w:szCs w:val="32"/>
        </w:rPr>
      </w:pPr>
      <w:r>
        <w:rPr>
          <w:rFonts w:hint="eastAsia" w:ascii="仿宋_GB2312" w:hAnsi="宋体" w:eastAsia="仿宋_GB2312" w:cs="仿宋_GB2312"/>
          <w:sz w:val="32"/>
          <w:szCs w:val="32"/>
        </w:rPr>
        <w:t>区教育局离休人员工资等支出，完成年初预算的489.45</w:t>
      </w:r>
      <w:r>
        <w:rPr>
          <w:rFonts w:ascii="仿宋_GB2312" w:hAnsi="宋体" w:eastAsia="仿宋_GB2312" w:cs="仿宋_GB2312"/>
          <w:sz w:val="32"/>
          <w:szCs w:val="32"/>
        </w:rPr>
        <w:t>%</w:t>
      </w:r>
      <w:r>
        <w:rPr>
          <w:rFonts w:hint="eastAsia" w:ascii="仿宋_GB2312" w:hAnsi="宋体" w:eastAsia="仿宋_GB2312" w:cs="仿宋_GB2312"/>
          <w:sz w:val="32"/>
          <w:szCs w:val="32"/>
        </w:rPr>
        <w:t>，决算数大于年初预算数的原因主要是新增退休人员等原因。</w:t>
      </w:r>
    </w:p>
    <w:p w14:paraId="75BE0FB7">
      <w:pPr>
        <w:spacing w:line="540" w:lineRule="exact"/>
        <w:ind w:firstLine="640" w:firstLineChars="200"/>
        <w:rPr>
          <w:rFonts w:ascii="仿宋_GB2312" w:hAnsi="宋体" w:eastAsia="仿宋_GB2312"/>
          <w:sz w:val="32"/>
          <w:szCs w:val="32"/>
        </w:rPr>
      </w:pPr>
      <w:r>
        <w:rPr>
          <w:rFonts w:hint="eastAsia" w:ascii="仿宋_GB2312" w:hAnsi="宋体" w:eastAsia="仿宋_GB2312"/>
          <w:sz w:val="32"/>
          <w:szCs w:val="32"/>
        </w:rPr>
        <w:t>（3）</w:t>
      </w:r>
      <w:r>
        <w:rPr>
          <w:rFonts w:hint="eastAsia" w:ascii="仿宋_GB2312" w:hAnsi="宋体" w:eastAsia="仿宋_GB2312" w:cs="仿宋_GB2312"/>
          <w:sz w:val="32"/>
          <w:szCs w:val="32"/>
        </w:rPr>
        <w:t>机关事业单位基本养老保险缴费2860.47万元，主要是区教育局及下属各学校在职人员养老保险缴费等支出，完成年初预算的115.25</w:t>
      </w:r>
      <w:r>
        <w:rPr>
          <w:rFonts w:ascii="仿宋_GB2312" w:hAnsi="宋体" w:eastAsia="仿宋_GB2312" w:cs="仿宋_GB2312"/>
          <w:sz w:val="32"/>
          <w:szCs w:val="32"/>
        </w:rPr>
        <w:t>%</w:t>
      </w:r>
      <w:r>
        <w:rPr>
          <w:rFonts w:hint="eastAsia" w:ascii="仿宋_GB2312" w:hAnsi="宋体" w:eastAsia="仿宋_GB2312" w:cs="仿宋_GB2312"/>
          <w:sz w:val="32"/>
          <w:szCs w:val="32"/>
        </w:rPr>
        <w:t>，决算数大于年初预算数的原因主要是本年度9月份新增教育400余人。</w:t>
      </w:r>
    </w:p>
    <w:p w14:paraId="53711998">
      <w:pPr>
        <w:pStyle w:val="8"/>
        <w:spacing w:line="560" w:lineRule="atLeast"/>
        <w:ind w:firstLine="640" w:firstLineChars="200"/>
        <w:rPr>
          <w:rFonts w:ascii="仿宋_GB2312" w:eastAsia="仿宋_GB2312" w:cs="Times New Roman"/>
          <w:sz w:val="32"/>
          <w:szCs w:val="32"/>
        </w:rPr>
      </w:pPr>
      <w:r>
        <w:rPr>
          <w:rFonts w:hint="eastAsia" w:ascii="仿宋_GB2312" w:eastAsia="仿宋_GB2312" w:cs="仿宋_GB2312"/>
          <w:sz w:val="32"/>
          <w:szCs w:val="32"/>
        </w:rPr>
        <w:t>（4）机关事业单位职业年金缴费支出143.01万元，主要是区教育局及下属各学校在职人员职业年金缴纳等支出，完成年初预算的12.04</w:t>
      </w:r>
      <w:r>
        <w:rPr>
          <w:rFonts w:ascii="仿宋_GB2312" w:eastAsia="仿宋_GB2312" w:cs="仿宋_GB2312"/>
          <w:sz w:val="32"/>
          <w:szCs w:val="32"/>
        </w:rPr>
        <w:t>%</w:t>
      </w:r>
      <w:r>
        <w:rPr>
          <w:rFonts w:hint="eastAsia" w:ascii="仿宋_GB2312" w:eastAsia="仿宋_GB2312" w:cs="仿宋_GB2312"/>
          <w:sz w:val="32"/>
          <w:szCs w:val="32"/>
        </w:rPr>
        <w:t>，决算数小于年初预算数的原因主要是仅对当年退休人员一次性缴纳职业年金单位部分，其余在职人员单位部分未缴纳。</w:t>
      </w:r>
    </w:p>
    <w:p w14:paraId="32896358">
      <w:pPr>
        <w:pStyle w:val="10"/>
        <w:spacing w:line="540" w:lineRule="exact"/>
        <w:ind w:left="420" w:leftChars="200" w:firstLine="160" w:firstLineChars="50"/>
        <w:rPr>
          <w:rFonts w:ascii="仿宋_GB2312" w:hAnsi="宋体" w:eastAsia="仿宋_GB2312"/>
          <w:sz w:val="32"/>
          <w:szCs w:val="32"/>
        </w:rPr>
      </w:pPr>
      <w:r>
        <w:rPr>
          <w:rFonts w:ascii="仿宋_GB2312" w:hAnsi="宋体" w:eastAsia="仿宋_GB2312" w:cs="仿宋_GB2312"/>
          <w:sz w:val="32"/>
          <w:szCs w:val="32"/>
        </w:rPr>
        <w:t>4.</w:t>
      </w:r>
      <w:r>
        <w:rPr>
          <w:rFonts w:hint="eastAsia" w:ascii="仿宋_GB2312" w:hAnsi="宋体" w:eastAsia="仿宋_GB2312" w:cs="仿宋_GB2312"/>
          <w:sz w:val="32"/>
          <w:szCs w:val="32"/>
        </w:rPr>
        <w:t>卫生健康支出</w:t>
      </w:r>
      <w:r>
        <w:rPr>
          <w:rFonts w:hint="eastAsia" w:ascii="仿宋_GB2312" w:eastAsia="仿宋_GB2312" w:cs="仿宋_GB2312"/>
          <w:sz w:val="32"/>
          <w:szCs w:val="32"/>
        </w:rPr>
        <w:t>1750.56</w:t>
      </w:r>
      <w:r>
        <w:rPr>
          <w:rFonts w:hint="eastAsia" w:ascii="仿宋_GB2312" w:hAnsi="宋体" w:eastAsia="仿宋_GB2312" w:cs="仿宋_GB2312"/>
          <w:sz w:val="32"/>
          <w:szCs w:val="32"/>
        </w:rPr>
        <w:t>万元，包括：</w:t>
      </w:r>
    </w:p>
    <w:p w14:paraId="68DB39F9">
      <w:pPr>
        <w:spacing w:line="54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1</w:t>
      </w:r>
      <w:r>
        <w:rPr>
          <w:rFonts w:hint="eastAsia" w:ascii="仿宋_GB2312" w:hAnsi="宋体" w:eastAsia="仿宋_GB2312" w:cs="仿宋_GB2312"/>
          <w:sz w:val="32"/>
          <w:szCs w:val="32"/>
        </w:rPr>
        <w:t>）行政单位医疗</w:t>
      </w:r>
      <w:r>
        <w:rPr>
          <w:rFonts w:ascii="仿宋_GB2312" w:hAnsi="宋体" w:eastAsia="仿宋_GB2312" w:cs="仿宋_GB2312"/>
          <w:sz w:val="32"/>
          <w:szCs w:val="32"/>
        </w:rPr>
        <w:t>9.81</w:t>
      </w:r>
      <w:r>
        <w:rPr>
          <w:rFonts w:hint="eastAsia" w:ascii="仿宋_GB2312" w:hAnsi="宋体" w:eastAsia="仿宋_GB2312" w:cs="仿宋_GB2312"/>
          <w:sz w:val="32"/>
          <w:szCs w:val="32"/>
        </w:rPr>
        <w:t>万元，主要是区教育局在职人员医疗保险缴纳等支出，完成年初预算的</w:t>
      </w:r>
      <w:r>
        <w:rPr>
          <w:rFonts w:ascii="仿宋_GB2312" w:hAnsi="宋体" w:eastAsia="仿宋_GB2312" w:cs="仿宋_GB2312"/>
          <w:sz w:val="32"/>
          <w:szCs w:val="32"/>
        </w:rPr>
        <w:t>84.13%</w:t>
      </w:r>
      <w:r>
        <w:rPr>
          <w:rFonts w:hint="eastAsia" w:ascii="仿宋_GB2312" w:hAnsi="宋体" w:eastAsia="仿宋_GB2312" w:cs="仿宋_GB2312"/>
          <w:sz w:val="32"/>
          <w:szCs w:val="32"/>
        </w:rPr>
        <w:t>，决算数小于年初预算数的原因主要是区教育局在职人员有</w:t>
      </w:r>
      <w:r>
        <w:rPr>
          <w:rFonts w:ascii="仿宋_GB2312" w:hAnsi="宋体" w:eastAsia="仿宋_GB2312" w:cs="仿宋_GB2312"/>
          <w:sz w:val="32"/>
          <w:szCs w:val="32"/>
        </w:rPr>
        <w:t>1</w:t>
      </w:r>
      <w:r>
        <w:rPr>
          <w:rFonts w:hint="eastAsia" w:ascii="仿宋_GB2312" w:hAnsi="宋体" w:eastAsia="仿宋_GB2312" w:cs="仿宋_GB2312"/>
          <w:sz w:val="32"/>
          <w:szCs w:val="32"/>
        </w:rPr>
        <w:t>名同志退休。</w:t>
      </w:r>
    </w:p>
    <w:p w14:paraId="7F35C726">
      <w:pPr>
        <w:spacing w:line="54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（2）事业单位医疗1574.18万元，主要是区教育局在职人员医疗保险缴纳等支出，完成年初预算的122.31</w:t>
      </w:r>
      <w:r>
        <w:rPr>
          <w:rFonts w:ascii="仿宋_GB2312" w:hAnsi="宋体" w:eastAsia="仿宋_GB2312" w:cs="仿宋_GB2312"/>
          <w:sz w:val="32"/>
          <w:szCs w:val="32"/>
        </w:rPr>
        <w:t>%</w:t>
      </w:r>
      <w:r>
        <w:rPr>
          <w:rFonts w:hint="eastAsia" w:ascii="仿宋_GB2312" w:hAnsi="宋体" w:eastAsia="仿宋_GB2312" w:cs="仿宋_GB2312"/>
          <w:sz w:val="32"/>
          <w:szCs w:val="32"/>
        </w:rPr>
        <w:t>，决算数大于年初预算数的原因主要是本年度9月份新增教育400余人。</w:t>
      </w:r>
    </w:p>
    <w:p w14:paraId="6A8608AE">
      <w:pPr>
        <w:spacing w:line="54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（3）公务员医疗补助</w:t>
      </w:r>
      <w:r>
        <w:rPr>
          <w:rFonts w:ascii="仿宋_GB2312" w:hAnsi="宋体" w:eastAsia="仿宋_GB2312" w:cs="仿宋_GB2312"/>
          <w:sz w:val="32"/>
          <w:szCs w:val="32"/>
        </w:rPr>
        <w:t>3.34</w:t>
      </w:r>
      <w:r>
        <w:rPr>
          <w:rFonts w:hint="eastAsia" w:ascii="仿宋_GB2312" w:hAnsi="宋体" w:eastAsia="仿宋_GB2312" w:cs="仿宋_GB2312"/>
          <w:sz w:val="32"/>
          <w:szCs w:val="32"/>
        </w:rPr>
        <w:t>万元，主要是区教育局在职人员医疗补助支出，完成年初预算的</w:t>
      </w:r>
      <w:r>
        <w:rPr>
          <w:rFonts w:ascii="仿宋_GB2312" w:hAnsi="宋体" w:eastAsia="仿宋_GB2312" w:cs="仿宋_GB2312"/>
          <w:sz w:val="32"/>
          <w:szCs w:val="32"/>
        </w:rPr>
        <w:t>97.66%</w:t>
      </w:r>
      <w:r>
        <w:rPr>
          <w:rFonts w:hint="eastAsia" w:ascii="仿宋_GB2312" w:hAnsi="宋体" w:eastAsia="仿宋_GB2312" w:cs="仿宋_GB2312"/>
          <w:sz w:val="32"/>
          <w:szCs w:val="32"/>
        </w:rPr>
        <w:t>，决算数小于年初预算数的原因主要是区教育局在职人员调整。</w:t>
      </w:r>
    </w:p>
    <w:p w14:paraId="5D3155EE">
      <w:pPr>
        <w:spacing w:line="54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（4）其他行政事业单位医疗支出163.23万元，主要是区教育系统在职人员医疗补助支出，完成年初预算的149.78</w:t>
      </w:r>
      <w:r>
        <w:rPr>
          <w:rFonts w:ascii="仿宋_GB2312" w:hAnsi="宋体" w:eastAsia="仿宋_GB2312" w:cs="仿宋_GB2312"/>
          <w:sz w:val="32"/>
          <w:szCs w:val="32"/>
        </w:rPr>
        <w:t>%</w:t>
      </w:r>
      <w:r>
        <w:rPr>
          <w:rFonts w:hint="eastAsia" w:ascii="仿宋_GB2312" w:hAnsi="宋体" w:eastAsia="仿宋_GB2312" w:cs="仿宋_GB2312"/>
          <w:sz w:val="32"/>
          <w:szCs w:val="32"/>
        </w:rPr>
        <w:t>，决算数大于年初预算数的原因主要是本年度9月份新增教育400余人。</w:t>
      </w:r>
    </w:p>
    <w:p w14:paraId="1EF257BA">
      <w:pPr>
        <w:spacing w:line="540" w:lineRule="exact"/>
        <w:ind w:firstLine="640" w:firstLineChars="200"/>
        <w:rPr>
          <w:rFonts w:ascii="仿宋_GB2312" w:hAnsi="宋体" w:eastAsia="仿宋_GB2312"/>
          <w:sz w:val="32"/>
          <w:szCs w:val="32"/>
        </w:rPr>
      </w:pPr>
      <w:r>
        <w:rPr>
          <w:rFonts w:ascii="仿宋_GB2312" w:hAnsi="宋体" w:eastAsia="仿宋_GB2312" w:cs="仿宋_GB2312"/>
          <w:sz w:val="32"/>
          <w:szCs w:val="32"/>
        </w:rPr>
        <w:t>5.</w:t>
      </w:r>
      <w:r>
        <w:rPr>
          <w:rFonts w:hint="eastAsia" w:ascii="仿宋_GB2312" w:hAnsi="宋体" w:eastAsia="仿宋_GB2312" w:cs="仿宋_GB2312"/>
          <w:sz w:val="32"/>
          <w:szCs w:val="32"/>
        </w:rPr>
        <w:t>城乡社区支出8902.17万元，具体包括：</w:t>
      </w:r>
    </w:p>
    <w:p w14:paraId="5673FC2A">
      <w:pPr>
        <w:pStyle w:val="8"/>
        <w:spacing w:line="560" w:lineRule="atLeast"/>
        <w:ind w:firstLine="660"/>
        <w:rPr>
          <w:rFonts w:ascii="仿宋_GB2312" w:eastAsia="仿宋_GB2312" w:cs="Times New Roman"/>
          <w:sz w:val="32"/>
          <w:szCs w:val="32"/>
        </w:rPr>
      </w:pP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）城乡社区公共设施8902.17万元，主要是区教育局社区学院终身教育相关支出，完成年初预算的</w:t>
      </w:r>
      <w:r>
        <w:rPr>
          <w:rFonts w:ascii="仿宋_GB2312" w:eastAsia="仿宋_GB2312" w:cs="仿宋_GB2312"/>
          <w:sz w:val="32"/>
          <w:szCs w:val="32"/>
        </w:rPr>
        <w:t>100%</w:t>
      </w:r>
      <w:r>
        <w:rPr>
          <w:rFonts w:hint="eastAsia" w:ascii="仿宋_GB2312" w:eastAsia="仿宋_GB2312" w:cs="仿宋_GB2312"/>
          <w:sz w:val="32"/>
          <w:szCs w:val="32"/>
        </w:rPr>
        <w:t>，因项目支出预算在局本级编报，均按照实际发生额列支，因此</w:t>
      </w:r>
      <w:r>
        <w:rPr>
          <w:rFonts w:ascii="仿宋_GB2312" w:eastAsia="仿宋_GB2312" w:cs="仿宋_GB2312"/>
          <w:sz w:val="32"/>
          <w:szCs w:val="32"/>
        </w:rPr>
        <w:t>100%</w:t>
      </w:r>
      <w:r>
        <w:rPr>
          <w:rFonts w:hint="eastAsia" w:ascii="仿宋_GB2312" w:eastAsia="仿宋_GB2312" w:cs="仿宋_GB2312"/>
          <w:sz w:val="32"/>
          <w:szCs w:val="32"/>
        </w:rPr>
        <w:t>完成。</w:t>
      </w:r>
    </w:p>
    <w:p w14:paraId="485B697E">
      <w:pPr>
        <w:spacing w:line="540" w:lineRule="exact"/>
        <w:ind w:firstLine="640" w:firstLineChars="200"/>
        <w:rPr>
          <w:rFonts w:ascii="仿宋_GB2312" w:hAnsi="宋体" w:eastAsia="仿宋_GB2312"/>
          <w:sz w:val="32"/>
          <w:szCs w:val="32"/>
        </w:rPr>
      </w:pPr>
      <w:r>
        <w:rPr>
          <w:rFonts w:ascii="仿宋_GB2312" w:hAnsi="宋体" w:eastAsia="仿宋_GB2312" w:cs="仿宋_GB2312"/>
          <w:sz w:val="32"/>
          <w:szCs w:val="32"/>
        </w:rPr>
        <w:t>6.</w:t>
      </w:r>
      <w:r>
        <w:rPr>
          <w:rFonts w:hint="eastAsia" w:ascii="仿宋_GB2312" w:hAnsi="宋体" w:eastAsia="仿宋_GB2312" w:cs="仿宋_GB2312"/>
          <w:sz w:val="32"/>
          <w:szCs w:val="32"/>
        </w:rPr>
        <w:t>住房保障支出</w:t>
      </w:r>
      <w:r>
        <w:rPr>
          <w:rFonts w:hint="eastAsia" w:ascii="仿宋_GB2312" w:eastAsia="仿宋_GB2312" w:cs="仿宋_GB2312"/>
          <w:sz w:val="32"/>
          <w:szCs w:val="32"/>
        </w:rPr>
        <w:t>277.75</w:t>
      </w:r>
      <w:r>
        <w:rPr>
          <w:rFonts w:hint="eastAsia" w:ascii="仿宋_GB2312" w:hAnsi="宋体" w:eastAsia="仿宋_GB2312" w:cs="仿宋_GB2312"/>
          <w:sz w:val="32"/>
          <w:szCs w:val="32"/>
        </w:rPr>
        <w:t>万元，具体包括：</w:t>
      </w:r>
    </w:p>
    <w:p w14:paraId="3B7B1928">
      <w:pPr>
        <w:pStyle w:val="8"/>
        <w:spacing w:line="560" w:lineRule="atLeast"/>
        <w:ind w:firstLine="640" w:firstLineChars="200"/>
        <w:rPr>
          <w:rFonts w:ascii="仿宋_GB2312" w:eastAsia="仿宋_GB2312" w:cs="Times New Roman"/>
          <w:sz w:val="32"/>
          <w:szCs w:val="32"/>
        </w:rPr>
      </w:pP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）住房公积金277.75万元，主要是区教育局在职人员住房公积金缴纳等支出，完成年初预算的97.97</w:t>
      </w:r>
      <w:r>
        <w:rPr>
          <w:rFonts w:ascii="仿宋_GB2312" w:eastAsia="仿宋_GB2312" w:cs="仿宋_GB2312"/>
          <w:sz w:val="32"/>
          <w:szCs w:val="32"/>
        </w:rPr>
        <w:t>%</w:t>
      </w:r>
      <w:r>
        <w:rPr>
          <w:rFonts w:hint="eastAsia" w:ascii="仿宋_GB2312" w:eastAsia="仿宋_GB2312" w:cs="仿宋_GB2312"/>
          <w:sz w:val="32"/>
          <w:szCs w:val="32"/>
        </w:rPr>
        <w:t>，决算数小于年初预算数的原因主要是区教育局在职人员调整。</w:t>
      </w:r>
    </w:p>
    <w:p w14:paraId="28199795">
      <w:pPr>
        <w:spacing w:line="560" w:lineRule="exact"/>
        <w:ind w:firstLine="470" w:firstLineChars="147"/>
        <w:outlineLvl w:val="2"/>
        <w:rPr>
          <w:rFonts w:ascii="仿宋_GB2312" w:hAnsi="宋体" w:eastAsia="仿宋_GB2312"/>
          <w:sz w:val="32"/>
          <w:szCs w:val="32"/>
        </w:rPr>
      </w:pPr>
      <w:r>
        <w:rPr>
          <w:rFonts w:hint="eastAsia" w:ascii="楷体_GB2312" w:hAnsi="宋体" w:eastAsia="楷体_GB2312" w:cs="楷体_GB2312"/>
          <w:b/>
          <w:bCs/>
          <w:sz w:val="32"/>
          <w:szCs w:val="32"/>
        </w:rPr>
        <w:t>（三）政府性基金预算财政拨款支出情况。</w:t>
      </w:r>
    </w:p>
    <w:p w14:paraId="2BB5C231">
      <w:pPr>
        <w:spacing w:line="560" w:lineRule="exact"/>
        <w:ind w:firstLine="660"/>
        <w:rPr>
          <w:rFonts w:ascii="仿宋_GB2312" w:hAnsi="宋体" w:eastAsia="仿宋_GB2312"/>
          <w:sz w:val="32"/>
          <w:szCs w:val="32"/>
        </w:rPr>
      </w:pPr>
      <w:r>
        <w:rPr>
          <w:rFonts w:hint="eastAsia" w:ascii="仿宋_GB2312" w:hAnsi="宋体" w:eastAsia="仿宋_GB2312" w:cs="仿宋_GB2312"/>
          <w:sz w:val="32"/>
          <w:szCs w:val="32"/>
        </w:rPr>
        <w:t>本年未发生此项资金。</w:t>
      </w:r>
    </w:p>
    <w:p w14:paraId="4BC51130">
      <w:pPr>
        <w:spacing w:line="560" w:lineRule="exact"/>
        <w:ind w:firstLine="470" w:firstLineChars="147"/>
        <w:rPr>
          <w:rFonts w:ascii="楷体_GB2312" w:hAnsi="宋体" w:eastAsia="楷体_GB2312"/>
          <w:b/>
          <w:bCs/>
          <w:sz w:val="32"/>
          <w:szCs w:val="32"/>
        </w:rPr>
      </w:pPr>
      <w:r>
        <w:rPr>
          <w:rFonts w:hint="eastAsia" w:ascii="楷体_GB2312" w:hAnsi="宋体" w:eastAsia="楷体_GB2312" w:cs="楷体_GB2312"/>
          <w:b/>
          <w:bCs/>
          <w:sz w:val="32"/>
          <w:szCs w:val="32"/>
        </w:rPr>
        <w:t>（四）国有资本经营预算财政拨款支出情况。</w:t>
      </w:r>
    </w:p>
    <w:p w14:paraId="3BE42673">
      <w:pPr>
        <w:spacing w:line="560" w:lineRule="exact"/>
        <w:ind w:firstLine="660"/>
        <w:rPr>
          <w:rFonts w:ascii="仿宋_GB2312" w:hAnsi="宋体" w:eastAsia="仿宋_GB2312"/>
          <w:sz w:val="32"/>
          <w:szCs w:val="32"/>
        </w:rPr>
      </w:pPr>
      <w:r>
        <w:rPr>
          <w:rFonts w:hint="eastAsia" w:ascii="仿宋_GB2312" w:hAnsi="宋体" w:eastAsia="仿宋_GB2312" w:cs="仿宋_GB2312"/>
          <w:sz w:val="32"/>
          <w:szCs w:val="32"/>
        </w:rPr>
        <w:t>本年未发生此项资金。</w:t>
      </w:r>
    </w:p>
    <w:p w14:paraId="6E6F4EDB">
      <w:pPr>
        <w:pStyle w:val="8"/>
        <w:spacing w:line="560" w:lineRule="exact"/>
        <w:ind w:firstLine="660"/>
        <w:rPr>
          <w:rFonts w:ascii="黑体" w:eastAsia="黑体" w:cs="Times New Roman"/>
          <w:sz w:val="32"/>
          <w:szCs w:val="32"/>
        </w:rPr>
      </w:pPr>
      <w:r>
        <w:rPr>
          <w:rFonts w:hint="eastAsia" w:ascii="黑体" w:eastAsia="黑体" w:cs="黑体"/>
          <w:sz w:val="32"/>
          <w:szCs w:val="32"/>
        </w:rPr>
        <w:t>三、一般公共预算财政拨款“三公”经费支出决算情况说明</w:t>
      </w:r>
    </w:p>
    <w:p w14:paraId="15B00418">
      <w:pPr>
        <w:pStyle w:val="8"/>
        <w:autoSpaceDN w:val="0"/>
        <w:spacing w:line="560" w:lineRule="exact"/>
        <w:ind w:firstLine="645"/>
        <w:rPr>
          <w:rFonts w:ascii="仿宋_GB2312" w:eastAsia="仿宋_GB2312" w:cs="Times New Roman"/>
          <w:sz w:val="32"/>
          <w:szCs w:val="32"/>
        </w:rPr>
      </w:pPr>
      <w:r>
        <w:rPr>
          <w:rFonts w:ascii="仿宋_GB2312" w:eastAsia="仿宋_GB2312" w:cs="仿宋_GB2312"/>
          <w:sz w:val="32"/>
          <w:szCs w:val="32"/>
        </w:rPr>
        <w:t>2021</w:t>
      </w:r>
      <w:r>
        <w:rPr>
          <w:rFonts w:hint="eastAsia" w:ascii="仿宋_GB2312" w:eastAsia="仿宋_GB2312" w:cs="仿宋_GB2312"/>
          <w:sz w:val="32"/>
          <w:szCs w:val="32"/>
        </w:rPr>
        <w:t>年度一般公共预算财政拨款安排的“三公”经费支出10.34万元，年初没有安排预算，主要原因是教育系统无此业务，但实际发生时，部分学校为了支付即将报废闲置车辆的年检和修理费等，发生了一些费用，在学校的生均公用经费中调剂解决。全年“三公”经费支出10.34万元，其中：因公出国（境）费</w:t>
      </w:r>
      <w:r>
        <w:rPr>
          <w:rFonts w:ascii="仿宋_GB2312" w:eastAsia="仿宋_GB2312" w:cs="仿宋_GB2312"/>
          <w:sz w:val="32"/>
          <w:szCs w:val="32"/>
        </w:rPr>
        <w:t>0</w:t>
      </w:r>
      <w:r>
        <w:rPr>
          <w:rFonts w:hint="eastAsia" w:ascii="仿宋_GB2312" w:eastAsia="仿宋_GB2312" w:cs="仿宋_GB2312"/>
          <w:sz w:val="32"/>
          <w:szCs w:val="32"/>
        </w:rPr>
        <w:t>万元，公务接待费</w:t>
      </w:r>
      <w:r>
        <w:rPr>
          <w:rFonts w:ascii="仿宋_GB2312" w:eastAsia="仿宋_GB2312" w:cs="仿宋_GB2312"/>
          <w:sz w:val="32"/>
          <w:szCs w:val="32"/>
        </w:rPr>
        <w:t>0</w:t>
      </w:r>
      <w:r>
        <w:rPr>
          <w:rFonts w:hint="eastAsia" w:ascii="仿宋_GB2312" w:eastAsia="仿宋_GB2312" w:cs="仿宋_GB2312"/>
          <w:sz w:val="32"/>
          <w:szCs w:val="32"/>
        </w:rPr>
        <w:t>万元，公务用车购置及运行维护费10.34万元。</w:t>
      </w:r>
    </w:p>
    <w:p w14:paraId="50EBD069">
      <w:pPr>
        <w:pStyle w:val="8"/>
        <w:spacing w:line="560" w:lineRule="exact"/>
        <w:ind w:firstLine="645"/>
        <w:rPr>
          <w:rFonts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rPr>
        <w:t>0</w:t>
      </w:r>
      <w:r>
        <w:rPr>
          <w:rFonts w:ascii="仿宋_GB2312" w:eastAsia="仿宋_GB2312"/>
          <w:sz w:val="32"/>
        </w:rPr>
        <w:t>万元，</w:t>
      </w:r>
      <w:r>
        <w:rPr>
          <w:rFonts w:hint="eastAsia" w:ascii="仿宋_GB2312" w:eastAsia="仿宋_GB2312"/>
          <w:sz w:val="32"/>
        </w:rPr>
        <w:t>未安排</w:t>
      </w:r>
      <w:r>
        <w:rPr>
          <w:rFonts w:ascii="仿宋_GB2312" w:eastAsia="仿宋_GB2312"/>
          <w:sz w:val="32"/>
        </w:rPr>
        <w:t>年初预算，决算数</w:t>
      </w:r>
      <w:r>
        <w:rPr>
          <w:rFonts w:hint="eastAsia" w:ascii="仿宋_GB2312" w:eastAsia="仿宋_GB2312"/>
          <w:sz w:val="32"/>
        </w:rPr>
        <w:t>等于</w:t>
      </w:r>
      <w:r>
        <w:rPr>
          <w:rFonts w:ascii="仿宋_GB2312" w:eastAsia="仿宋_GB2312"/>
          <w:sz w:val="32"/>
        </w:rPr>
        <w:t>年初预算数的主要原因是</w:t>
      </w:r>
      <w:r>
        <w:rPr>
          <w:rFonts w:hint="eastAsia" w:ascii="仿宋_GB2312" w:eastAsia="仿宋_GB2312"/>
          <w:sz w:val="32"/>
        </w:rPr>
        <w:t>无此任务。</w:t>
      </w:r>
      <w:r>
        <w:rPr>
          <w:rFonts w:ascii="仿宋_GB2312" w:eastAsia="仿宋_GB2312"/>
          <w:sz w:val="32"/>
        </w:rPr>
        <w:t>2021年参加出国（境）团组</w:t>
      </w:r>
      <w:r>
        <w:rPr>
          <w:rFonts w:hint="eastAsia" w:ascii="仿宋_GB2312" w:eastAsia="仿宋_GB2312"/>
          <w:sz w:val="32"/>
        </w:rPr>
        <w:t>0</w:t>
      </w:r>
      <w:r>
        <w:rPr>
          <w:rFonts w:ascii="仿宋_GB2312" w:eastAsia="仿宋_GB2312"/>
          <w:sz w:val="32"/>
        </w:rPr>
        <w:t>个，累计</w:t>
      </w:r>
      <w:r>
        <w:rPr>
          <w:rFonts w:hint="eastAsia" w:ascii="仿宋_GB2312" w:eastAsia="仿宋_GB2312"/>
          <w:sz w:val="32"/>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2021年因公出国（境）费比上年减少0万元，下降0%，主要是2020年及2021年均无出国任务。</w:t>
      </w:r>
    </w:p>
    <w:p w14:paraId="1FCF4877">
      <w:pPr>
        <w:pStyle w:val="8"/>
        <w:spacing w:line="560" w:lineRule="exact"/>
        <w:rPr>
          <w:rFonts w:ascii="Times New Roman" w:hAnsi="Times New Roman" w:cs="Times New Roman"/>
          <w:kern w:val="0"/>
        </w:rPr>
      </w:pPr>
      <w:r>
        <w:rPr>
          <w:rFonts w:ascii="仿宋_GB2312" w:eastAsia="仿宋_GB2312"/>
          <w:sz w:val="32"/>
        </w:rPr>
        <w:t xml:space="preserve">    2.公务接待费</w:t>
      </w:r>
      <w:r>
        <w:rPr>
          <w:rFonts w:hint="eastAsia" w:ascii="仿宋_GB2312" w:eastAsia="仿宋_GB2312"/>
          <w:sz w:val="32"/>
        </w:rPr>
        <w:t>0</w:t>
      </w:r>
      <w:r>
        <w:rPr>
          <w:rFonts w:ascii="仿宋_GB2312" w:eastAsia="仿宋_GB2312"/>
          <w:sz w:val="32"/>
        </w:rPr>
        <w:t>万元，</w:t>
      </w:r>
      <w:r>
        <w:rPr>
          <w:rFonts w:hint="eastAsia" w:ascii="仿宋_GB2312" w:eastAsia="仿宋_GB2312"/>
          <w:sz w:val="32"/>
        </w:rPr>
        <w:t>未安排</w:t>
      </w:r>
      <w:r>
        <w:rPr>
          <w:rFonts w:ascii="仿宋_GB2312" w:eastAsia="仿宋_GB2312"/>
          <w:sz w:val="32"/>
        </w:rPr>
        <w:t>年初预算，决算数</w:t>
      </w:r>
      <w:r>
        <w:rPr>
          <w:rFonts w:hint="eastAsia" w:ascii="仿宋_GB2312" w:eastAsia="仿宋_GB2312"/>
          <w:sz w:val="32"/>
        </w:rPr>
        <w:t>等于</w:t>
      </w:r>
      <w:r>
        <w:rPr>
          <w:rFonts w:ascii="仿宋_GB2312" w:eastAsia="仿宋_GB2312"/>
          <w:sz w:val="32"/>
        </w:rPr>
        <w:t>年初预算数的主要原因是</w:t>
      </w:r>
      <w:r>
        <w:rPr>
          <w:rFonts w:hint="eastAsia" w:ascii="仿宋_GB2312" w:eastAsia="仿宋_GB2312"/>
          <w:sz w:val="32"/>
        </w:rPr>
        <w:t>无此任务。</w:t>
      </w:r>
      <w:r>
        <w:rPr>
          <w:rFonts w:ascii="仿宋_GB2312" w:eastAsia="仿宋_GB2312"/>
          <w:sz w:val="32"/>
        </w:rPr>
        <w:t>2021年国内公务接待累计</w:t>
      </w:r>
      <w:r>
        <w:rPr>
          <w:rFonts w:hint="eastAsia" w:ascii="仿宋_GB2312" w:eastAsia="仿宋_GB2312"/>
          <w:sz w:val="32"/>
        </w:rPr>
        <w:t>0</w:t>
      </w:r>
      <w:r>
        <w:rPr>
          <w:rFonts w:ascii="仿宋_GB2312" w:eastAsia="仿宋_GB2312"/>
          <w:sz w:val="32"/>
        </w:rPr>
        <w:t>批次、</w:t>
      </w:r>
      <w:r>
        <w:rPr>
          <w:rFonts w:hint="eastAsia" w:ascii="仿宋_GB2312" w:eastAsia="仿宋_GB2312"/>
          <w:sz w:val="32"/>
        </w:rPr>
        <w:t>0</w:t>
      </w:r>
      <w:r>
        <w:rPr>
          <w:rFonts w:ascii="仿宋_GB2312" w:eastAsia="仿宋_GB2312"/>
          <w:sz w:val="32"/>
        </w:rPr>
        <w:t>人、</w:t>
      </w:r>
      <w:r>
        <w:rPr>
          <w:rFonts w:hint="eastAsia" w:ascii="仿宋_GB2312" w:eastAsia="仿宋_GB2312"/>
          <w:sz w:val="32"/>
        </w:rPr>
        <w:t>0</w:t>
      </w:r>
      <w:r>
        <w:rPr>
          <w:rFonts w:ascii="仿宋_GB2312" w:eastAsia="仿宋_GB2312"/>
          <w:sz w:val="32"/>
        </w:rPr>
        <w:t>万元。</w:t>
      </w:r>
      <w:r>
        <w:rPr>
          <w:rFonts w:hint="eastAsia" w:ascii="仿宋_GB2312" w:eastAsia="仿宋_GB2312"/>
          <w:sz w:val="32"/>
        </w:rPr>
        <w:t>2021年</w:t>
      </w:r>
      <w:r>
        <w:rPr>
          <w:rFonts w:ascii="仿宋_GB2312" w:eastAsia="仿宋_GB2312"/>
          <w:sz w:val="32"/>
        </w:rPr>
        <w:t>公务接待费</w:t>
      </w:r>
      <w:r>
        <w:rPr>
          <w:rFonts w:hint="eastAsia" w:ascii="仿宋_GB2312" w:eastAsia="仿宋_GB2312"/>
          <w:sz w:val="32"/>
        </w:rPr>
        <w:t>比上年减少0万元，下降0%，主要是2020年及2021年均无公务招待。</w:t>
      </w:r>
    </w:p>
    <w:p w14:paraId="0879DAEB">
      <w:pPr>
        <w:spacing w:line="540" w:lineRule="exact"/>
        <w:ind w:firstLine="645"/>
        <w:rPr>
          <w:rFonts w:ascii="仿宋_GB2312" w:hAnsi="宋体"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公务用车购置及运行费10.34万元，占“三公”经费支出的100</w:t>
      </w:r>
      <w:r>
        <w:rPr>
          <w:rFonts w:ascii="仿宋_GB2312" w:eastAsia="仿宋_GB2312" w:cs="仿宋_GB2312"/>
          <w:sz w:val="32"/>
          <w:szCs w:val="32"/>
        </w:rPr>
        <w:t>%</w:t>
      </w:r>
      <w:r>
        <w:rPr>
          <w:rFonts w:hint="eastAsia" w:ascii="仿宋_GB2312" w:eastAsia="仿宋_GB2312" w:cs="仿宋_GB2312"/>
          <w:sz w:val="32"/>
          <w:szCs w:val="32"/>
        </w:rPr>
        <w:t>。</w:t>
      </w:r>
      <w:r>
        <w:rPr>
          <w:rFonts w:hint="eastAsia" w:ascii="仿宋_GB2312" w:hAnsi="宋体" w:eastAsia="仿宋_GB2312"/>
          <w:sz w:val="32"/>
          <w:szCs w:val="32"/>
          <w:highlight w:val="none"/>
          <w:lang w:eastAsia="zh-CN"/>
        </w:rPr>
        <w:t>年初未安排预算</w:t>
      </w:r>
      <w:r>
        <w:rPr>
          <w:rFonts w:hint="eastAsia" w:ascii="仿宋_GB2312" w:eastAsia="仿宋_GB2312" w:cs="仿宋_GB2312"/>
          <w:sz w:val="32"/>
          <w:szCs w:val="32"/>
        </w:rPr>
        <w:t>。</w:t>
      </w:r>
      <w:r>
        <w:rPr>
          <w:rFonts w:hint="eastAsia" w:ascii="仿宋_GB2312" w:eastAsia="仿宋_GB2312" w:cs="仿宋_GB2312"/>
          <w:kern w:val="0"/>
          <w:sz w:val="32"/>
          <w:szCs w:val="32"/>
        </w:rPr>
        <w:t>比上年增加0.94万元，增加1</w:t>
      </w:r>
      <w:r>
        <w:rPr>
          <w:rFonts w:ascii="仿宋_GB2312" w:eastAsia="仿宋_GB2312" w:cs="仿宋_GB2312"/>
          <w:kern w:val="0"/>
          <w:sz w:val="32"/>
          <w:szCs w:val="32"/>
        </w:rPr>
        <w:t>0%</w:t>
      </w:r>
      <w:r>
        <w:rPr>
          <w:rFonts w:hint="eastAsia" w:ascii="仿宋_GB2312" w:eastAsia="仿宋_GB2312" w:cs="仿宋_GB2312"/>
          <w:kern w:val="0"/>
          <w:sz w:val="32"/>
          <w:szCs w:val="32"/>
        </w:rPr>
        <w:t>，主要是</w:t>
      </w:r>
      <w:r>
        <w:rPr>
          <w:rFonts w:hint="eastAsia" w:ascii="仿宋_GB2312" w:hAnsi="宋体" w:eastAsia="仿宋_GB2312"/>
          <w:sz w:val="32"/>
          <w:szCs w:val="32"/>
        </w:rPr>
        <w:t>学校公务用车产生费用由生均经费中列支，因此与年初预算相比增加100%。</w:t>
      </w:r>
    </w:p>
    <w:p w14:paraId="30340A8F">
      <w:pPr>
        <w:pStyle w:val="8"/>
        <w:spacing w:line="560" w:lineRule="exact"/>
        <w:ind w:firstLine="640" w:firstLineChars="200"/>
        <w:rPr>
          <w:rFonts w:ascii="仿宋_GB2312" w:eastAsia="仿宋_GB2312" w:cs="Times New Roman"/>
          <w:sz w:val="32"/>
          <w:szCs w:val="32"/>
        </w:rPr>
      </w:pPr>
      <w:r>
        <w:rPr>
          <w:rFonts w:hint="eastAsia" w:ascii="仿宋_GB2312" w:eastAsia="仿宋_GB2312" w:cs="仿宋_GB2312"/>
          <w:sz w:val="32"/>
          <w:szCs w:val="32"/>
        </w:rPr>
        <w:t>其中：公务用车购置费</w:t>
      </w:r>
      <w:r>
        <w:rPr>
          <w:rFonts w:ascii="仿宋_GB2312" w:eastAsia="仿宋_GB2312" w:cs="仿宋_GB2312"/>
          <w:sz w:val="32"/>
          <w:szCs w:val="32"/>
        </w:rPr>
        <w:t>0</w:t>
      </w:r>
      <w:r>
        <w:rPr>
          <w:rFonts w:hint="eastAsia" w:ascii="仿宋_GB2312" w:eastAsia="仿宋_GB2312" w:cs="仿宋_GB2312"/>
          <w:sz w:val="32"/>
          <w:szCs w:val="32"/>
        </w:rPr>
        <w:t>万元，原因主要是本单位无此业务</w:t>
      </w:r>
      <w:r>
        <w:rPr>
          <w:rFonts w:ascii="仿宋_GB2312" w:eastAsia="仿宋_GB2312" w:cs="仿宋_GB2312"/>
          <w:sz w:val="32"/>
          <w:szCs w:val="32"/>
        </w:rPr>
        <w:t>,</w:t>
      </w:r>
      <w:r>
        <w:rPr>
          <w:rFonts w:hint="eastAsia" w:ascii="仿宋_GB2312" w:eastAsia="仿宋_GB2312" w:cs="仿宋_GB2312"/>
          <w:sz w:val="32"/>
          <w:szCs w:val="32"/>
        </w:rPr>
        <w:t>当年购置公务用车</w:t>
      </w:r>
      <w:r>
        <w:rPr>
          <w:rFonts w:ascii="仿宋_GB2312" w:eastAsia="仿宋_GB2312" w:cs="仿宋_GB2312"/>
          <w:sz w:val="32"/>
          <w:szCs w:val="32"/>
        </w:rPr>
        <w:t>0</w:t>
      </w:r>
      <w:r>
        <w:rPr>
          <w:rFonts w:hint="eastAsia" w:ascii="仿宋_GB2312" w:eastAsia="仿宋_GB2312" w:cs="仿宋_GB2312"/>
          <w:sz w:val="32"/>
          <w:szCs w:val="32"/>
        </w:rPr>
        <w:t>辆。</w:t>
      </w:r>
      <w:r>
        <w:rPr>
          <w:rFonts w:hint="eastAsia" w:ascii="仿宋_GB2312" w:hAnsi="宋体" w:eastAsia="仿宋_GB2312"/>
          <w:sz w:val="32"/>
          <w:szCs w:val="32"/>
          <w:highlight w:val="none"/>
          <w:lang w:eastAsia="zh-CN"/>
        </w:rPr>
        <w:t>年初未安排预算</w:t>
      </w:r>
      <w:r>
        <w:rPr>
          <w:rFonts w:hint="eastAsia" w:ascii="仿宋_GB2312" w:eastAsia="仿宋_GB2312" w:cs="仿宋_GB2312"/>
          <w:sz w:val="32"/>
          <w:szCs w:val="32"/>
        </w:rPr>
        <w:t>，原因主要是本单位无此业务。</w:t>
      </w:r>
    </w:p>
    <w:p w14:paraId="20CC159F">
      <w:pPr>
        <w:spacing w:line="540" w:lineRule="exact"/>
        <w:ind w:firstLine="645"/>
        <w:rPr>
          <w:rFonts w:ascii="仿宋_GB2312" w:hAnsi="宋体" w:eastAsia="仿宋_GB2312"/>
          <w:sz w:val="32"/>
          <w:szCs w:val="32"/>
        </w:rPr>
      </w:pPr>
      <w:r>
        <w:rPr>
          <w:rFonts w:hint="eastAsia" w:ascii="仿宋_GB2312" w:eastAsia="仿宋_GB2312" w:cs="仿宋_GB2312"/>
          <w:sz w:val="32"/>
          <w:szCs w:val="32"/>
        </w:rPr>
        <w:t>公务用车运行维护费10.34万元，原因主要是各学校公务用车相关支出</w:t>
      </w:r>
      <w:r>
        <w:rPr>
          <w:rFonts w:ascii="仿宋_GB2312" w:eastAsia="仿宋_GB2312" w:cs="仿宋_GB2312"/>
          <w:sz w:val="32"/>
          <w:szCs w:val="32"/>
        </w:rPr>
        <w:t>,</w:t>
      </w:r>
      <w:r>
        <w:rPr>
          <w:rFonts w:hint="eastAsia" w:ascii="仿宋_GB2312" w:eastAsia="仿宋_GB2312" w:cs="仿宋_GB2312"/>
          <w:sz w:val="32"/>
          <w:szCs w:val="32"/>
        </w:rPr>
        <w:t>截至年末使用一般公共预算财政拨款开支的公务用车保有量</w:t>
      </w:r>
      <w:r>
        <w:rPr>
          <w:rFonts w:hint="eastAsia" w:ascii="仿宋_GB2312" w:eastAsia="仿宋_GB2312" w:cs="仿宋_GB2312"/>
          <w:sz w:val="32"/>
          <w:szCs w:val="32"/>
          <w:lang w:val="en-US" w:eastAsia="zh-CN"/>
        </w:rPr>
        <w:t>9</w:t>
      </w:r>
      <w:r>
        <w:rPr>
          <w:rFonts w:hint="eastAsia" w:ascii="仿宋_GB2312" w:eastAsia="仿宋_GB2312" w:cs="仿宋_GB2312"/>
          <w:sz w:val="32"/>
          <w:szCs w:val="32"/>
        </w:rPr>
        <w:t>辆。</w:t>
      </w:r>
      <w:r>
        <w:rPr>
          <w:rFonts w:hint="eastAsia" w:ascii="仿宋_GB2312" w:hAnsi="宋体" w:eastAsia="仿宋_GB2312"/>
          <w:sz w:val="32"/>
          <w:szCs w:val="32"/>
          <w:highlight w:val="none"/>
          <w:lang w:eastAsia="zh-CN"/>
        </w:rPr>
        <w:t>年初未安排预算</w:t>
      </w:r>
      <w:r>
        <w:rPr>
          <w:rFonts w:hint="eastAsia" w:ascii="仿宋_GB2312" w:eastAsia="仿宋_GB2312" w:cs="仿宋_GB2312"/>
          <w:sz w:val="32"/>
          <w:szCs w:val="32"/>
        </w:rPr>
        <w:t>，</w:t>
      </w:r>
      <w:r>
        <w:rPr>
          <w:rFonts w:hint="eastAsia" w:ascii="仿宋_GB2312" w:eastAsia="仿宋_GB2312" w:cs="仿宋_GB2312"/>
          <w:kern w:val="0"/>
          <w:sz w:val="32"/>
          <w:szCs w:val="32"/>
        </w:rPr>
        <w:t>比上年增加0.94万元，增加1</w:t>
      </w:r>
      <w:r>
        <w:rPr>
          <w:rFonts w:ascii="仿宋_GB2312" w:eastAsia="仿宋_GB2312" w:cs="仿宋_GB2312"/>
          <w:kern w:val="0"/>
          <w:sz w:val="32"/>
          <w:szCs w:val="32"/>
        </w:rPr>
        <w:t>0%</w:t>
      </w:r>
      <w:r>
        <w:rPr>
          <w:rFonts w:hint="eastAsia" w:ascii="仿宋_GB2312" w:eastAsia="仿宋_GB2312" w:cs="仿宋_GB2312"/>
          <w:kern w:val="0"/>
          <w:sz w:val="32"/>
          <w:szCs w:val="32"/>
        </w:rPr>
        <w:t>，主要是</w:t>
      </w:r>
      <w:r>
        <w:rPr>
          <w:rFonts w:hint="eastAsia" w:ascii="仿宋_GB2312" w:hAnsi="宋体" w:eastAsia="仿宋_GB2312"/>
          <w:sz w:val="32"/>
          <w:szCs w:val="32"/>
        </w:rPr>
        <w:t>学校公务用车产生费油由生均经费中列支，因此与年初预算相比增加100%。</w:t>
      </w:r>
    </w:p>
    <w:p w14:paraId="30F54A90">
      <w:pPr>
        <w:pStyle w:val="8"/>
        <w:autoSpaceDN w:val="0"/>
        <w:spacing w:line="560" w:lineRule="exact"/>
        <w:ind w:firstLine="640"/>
        <w:rPr>
          <w:rFonts w:ascii="黑体" w:eastAsia="黑体" w:cs="Times New Roman"/>
          <w:sz w:val="32"/>
          <w:szCs w:val="32"/>
        </w:rPr>
      </w:pPr>
      <w:r>
        <w:rPr>
          <w:rFonts w:hint="eastAsia" w:ascii="黑体" w:eastAsia="黑体" w:cs="黑体"/>
          <w:sz w:val="32"/>
          <w:szCs w:val="32"/>
        </w:rPr>
        <w:t>四、一般公共预算财政拨款基本支出决算情况说明</w:t>
      </w:r>
    </w:p>
    <w:p w14:paraId="7DB17077">
      <w:pPr>
        <w:pStyle w:val="8"/>
        <w:spacing w:line="560" w:lineRule="exact"/>
        <w:ind w:firstLine="645"/>
        <w:rPr>
          <w:rFonts w:ascii="仿宋_GB2312" w:eastAsia="仿宋_GB2312" w:cs="Times New Roman"/>
          <w:sz w:val="32"/>
          <w:szCs w:val="32"/>
        </w:rPr>
      </w:pPr>
      <w:r>
        <w:rPr>
          <w:rFonts w:ascii="仿宋_GB2312" w:eastAsia="仿宋_GB2312" w:cs="仿宋_GB2312"/>
          <w:sz w:val="32"/>
          <w:szCs w:val="32"/>
        </w:rPr>
        <w:t>2021</w:t>
      </w:r>
      <w:r>
        <w:rPr>
          <w:rFonts w:hint="eastAsia" w:ascii="仿宋_GB2312" w:eastAsia="仿宋_GB2312" w:cs="仿宋_GB2312"/>
          <w:sz w:val="32"/>
          <w:szCs w:val="32"/>
        </w:rPr>
        <w:t>年度一般公共预算财政拨款基本支出44079.37万元，其中：人员经费37045.96万元，主要包括基本工资、津贴补贴、奖金、其他社会保障缴费、机关事业单位基本养老保险缴费、其他工资福利支出、离休费、退休费、抚恤金、生活补助、奖励金、住房公积金、采暖补贴、其他对个人和家庭补助的支出；日常公用经费7033.41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14:paraId="017930BC">
      <w:pPr>
        <w:pStyle w:val="8"/>
        <w:spacing w:line="560" w:lineRule="exact"/>
        <w:ind w:firstLine="640"/>
        <w:rPr>
          <w:rFonts w:ascii="黑体" w:eastAsia="黑体" w:cs="Times New Roman"/>
          <w:sz w:val="32"/>
          <w:szCs w:val="32"/>
        </w:rPr>
      </w:pPr>
      <w:r>
        <w:rPr>
          <w:rFonts w:hint="eastAsia" w:ascii="黑体" w:eastAsia="黑体" w:cs="黑体"/>
          <w:sz w:val="32"/>
          <w:szCs w:val="32"/>
        </w:rPr>
        <w:t>五、其他重要事项的情况说明</w:t>
      </w:r>
    </w:p>
    <w:p w14:paraId="477260FF">
      <w:pPr>
        <w:pStyle w:val="8"/>
        <w:spacing w:line="560" w:lineRule="exact"/>
        <w:ind w:firstLine="640"/>
        <w:rPr>
          <w:rFonts w:ascii="楷体_GB2312" w:hAnsi="黑体" w:eastAsia="楷体_GB2312" w:cs="Times New Roman"/>
          <w:b/>
          <w:bCs/>
          <w:color w:val="FF0000"/>
          <w:sz w:val="32"/>
          <w:szCs w:val="32"/>
        </w:rPr>
      </w:pPr>
      <w:r>
        <w:rPr>
          <w:rFonts w:hint="eastAsia" w:ascii="楷体_GB2312" w:eastAsia="楷体_GB2312" w:cs="楷体_GB2312"/>
          <w:b/>
          <w:bCs/>
          <w:sz w:val="32"/>
          <w:szCs w:val="32"/>
        </w:rPr>
        <w:t>（一）机关运行经费支出情况。</w:t>
      </w:r>
    </w:p>
    <w:p w14:paraId="650EA96F">
      <w:pPr>
        <w:pStyle w:val="8"/>
        <w:spacing w:line="560" w:lineRule="exact"/>
        <w:ind w:firstLine="640"/>
        <w:rPr>
          <w:rFonts w:ascii="仿宋_GB2312" w:eastAsia="仿宋_GB2312" w:cs="Times New Roman"/>
          <w:sz w:val="32"/>
          <w:szCs w:val="32"/>
        </w:rPr>
      </w:pPr>
      <w:r>
        <w:rPr>
          <w:rFonts w:ascii="仿宋_GB2312" w:eastAsia="仿宋_GB2312" w:cs="仿宋_GB2312"/>
          <w:sz w:val="32"/>
          <w:szCs w:val="32"/>
        </w:rPr>
        <w:t>2021</w:t>
      </w:r>
      <w:r>
        <w:rPr>
          <w:rFonts w:hint="eastAsia" w:ascii="仿宋_GB2312" w:eastAsia="仿宋_GB2312" w:cs="仿宋_GB2312"/>
          <w:sz w:val="32"/>
          <w:szCs w:val="32"/>
        </w:rPr>
        <w:t>年度机关运行经费支出7033.41万元，比上年决算数增加522.74万元，降低8.03</w:t>
      </w:r>
      <w:r>
        <w:rPr>
          <w:rFonts w:ascii="仿宋_GB2312" w:eastAsia="仿宋_GB2312" w:cs="仿宋_GB2312"/>
          <w:sz w:val="32"/>
          <w:szCs w:val="32"/>
        </w:rPr>
        <w:t>%</w:t>
      </w:r>
      <w:r>
        <w:rPr>
          <w:rFonts w:hint="eastAsia" w:ascii="仿宋_GB2312" w:eastAsia="仿宋_GB2312" w:cs="仿宋_GB2312"/>
          <w:sz w:val="32"/>
          <w:szCs w:val="32"/>
        </w:rPr>
        <w:t>，主要原因是本年度学生人数增加净3000余人，生均经费较上年度增长较多。</w:t>
      </w:r>
    </w:p>
    <w:p w14:paraId="0B8E5EFE">
      <w:pPr>
        <w:pStyle w:val="8"/>
        <w:spacing w:line="560" w:lineRule="exact"/>
        <w:ind w:firstLine="640"/>
        <w:rPr>
          <w:rFonts w:ascii="黑体" w:hAnsi="黑体" w:eastAsia="黑体" w:cs="Times New Roman"/>
          <w:b/>
          <w:bCs/>
          <w:color w:val="FF0000"/>
          <w:sz w:val="32"/>
          <w:szCs w:val="32"/>
        </w:rPr>
      </w:pPr>
      <w:r>
        <w:rPr>
          <w:rFonts w:hint="eastAsia" w:ascii="楷体_GB2312" w:eastAsia="楷体_GB2312" w:cs="楷体_GB2312"/>
          <w:b/>
          <w:bCs/>
          <w:sz w:val="32"/>
          <w:szCs w:val="32"/>
        </w:rPr>
        <w:t>（二）政府采购支出情况。</w:t>
      </w:r>
    </w:p>
    <w:p w14:paraId="14B7A6F3">
      <w:pPr>
        <w:pStyle w:val="8"/>
        <w:spacing w:line="560" w:lineRule="exact"/>
        <w:ind w:firstLine="640"/>
        <w:rPr>
          <w:rFonts w:ascii="仿宋_GB2312" w:eastAsia="仿宋_GB2312" w:cs="Times New Roman"/>
          <w:sz w:val="32"/>
          <w:szCs w:val="32"/>
        </w:rPr>
      </w:pPr>
      <w:r>
        <w:rPr>
          <w:rFonts w:ascii="仿宋_GB2312" w:eastAsia="仿宋_GB2312" w:cs="仿宋_GB2312"/>
          <w:sz w:val="32"/>
          <w:szCs w:val="32"/>
        </w:rPr>
        <w:t>2021</w:t>
      </w:r>
      <w:r>
        <w:rPr>
          <w:rFonts w:hint="eastAsia" w:ascii="仿宋_GB2312" w:eastAsia="仿宋_GB2312" w:cs="仿宋_GB2312"/>
          <w:sz w:val="32"/>
          <w:szCs w:val="32"/>
        </w:rPr>
        <w:t>年政府采购支出总额31928.03万元，其中：政府采购货物支出3493.43万元，政府采购工程支出27065.6万元，政府采购服务支出</w:t>
      </w:r>
      <w:r>
        <w:rPr>
          <w:rFonts w:ascii="仿宋_GB2312" w:eastAsia="仿宋_GB2312" w:cs="仿宋_GB2312"/>
          <w:sz w:val="32"/>
          <w:szCs w:val="32"/>
        </w:rPr>
        <w:t>1369</w:t>
      </w:r>
      <w:r>
        <w:rPr>
          <w:rFonts w:hint="eastAsia" w:ascii="仿宋_GB2312" w:eastAsia="仿宋_GB2312" w:cs="仿宋_GB2312"/>
          <w:sz w:val="32"/>
          <w:szCs w:val="32"/>
        </w:rPr>
        <w:t>万元。授予中小企业合同金额</w:t>
      </w:r>
      <w:r>
        <w:rPr>
          <w:rFonts w:ascii="仿宋_GB2312" w:eastAsia="仿宋_GB2312" w:cs="仿宋_GB2312"/>
          <w:sz w:val="32"/>
          <w:szCs w:val="32"/>
        </w:rPr>
        <w:t>0</w:t>
      </w:r>
      <w:r>
        <w:rPr>
          <w:rFonts w:hint="eastAsia" w:ascii="仿宋_GB2312" w:eastAsia="仿宋_GB2312" w:cs="仿宋_GB2312"/>
          <w:sz w:val="32"/>
          <w:szCs w:val="32"/>
        </w:rPr>
        <w:t>万元，占政府采购支出总额的</w:t>
      </w:r>
      <w:r>
        <w:rPr>
          <w:rFonts w:ascii="仿宋_GB2312" w:eastAsia="仿宋_GB2312" w:cs="仿宋_GB2312"/>
          <w:sz w:val="32"/>
          <w:szCs w:val="32"/>
        </w:rPr>
        <w:t>0%</w:t>
      </w:r>
      <w:r>
        <w:rPr>
          <w:rFonts w:hint="eastAsia" w:ascii="仿宋_GB2312" w:eastAsia="仿宋_GB2312" w:cs="仿宋_GB2312"/>
          <w:sz w:val="32"/>
          <w:szCs w:val="32"/>
        </w:rPr>
        <w:t>，其中：授予小微企业合同金额</w:t>
      </w:r>
      <w:r>
        <w:rPr>
          <w:rFonts w:ascii="仿宋_GB2312" w:eastAsia="仿宋_GB2312" w:cs="仿宋_GB2312"/>
          <w:sz w:val="32"/>
          <w:szCs w:val="32"/>
        </w:rPr>
        <w:t>0</w:t>
      </w:r>
      <w:r>
        <w:rPr>
          <w:rFonts w:hint="eastAsia" w:ascii="仿宋_GB2312" w:eastAsia="仿宋_GB2312" w:cs="仿宋_GB2312"/>
          <w:sz w:val="32"/>
          <w:szCs w:val="32"/>
        </w:rPr>
        <w:t>万元，占政府采购支出总额的</w:t>
      </w:r>
      <w:r>
        <w:rPr>
          <w:rFonts w:ascii="仿宋_GB2312" w:eastAsia="仿宋_GB2312" w:cs="仿宋_GB2312"/>
          <w:sz w:val="32"/>
          <w:szCs w:val="32"/>
        </w:rPr>
        <w:t>0%</w:t>
      </w:r>
      <w:r>
        <w:rPr>
          <w:rFonts w:hint="eastAsia" w:ascii="仿宋_GB2312" w:eastAsia="仿宋_GB2312" w:cs="仿宋_GB2312"/>
          <w:sz w:val="32"/>
          <w:szCs w:val="32"/>
        </w:rPr>
        <w:t>；货物采购授予中小企业合同金额占货物支出金额的</w:t>
      </w:r>
      <w:r>
        <w:rPr>
          <w:rFonts w:ascii="仿宋_GB2312" w:eastAsia="仿宋_GB2312" w:cs="仿宋_GB2312"/>
          <w:sz w:val="32"/>
          <w:szCs w:val="32"/>
        </w:rPr>
        <w:t>0%</w:t>
      </w:r>
      <w:r>
        <w:rPr>
          <w:rFonts w:hint="eastAsia" w:ascii="仿宋_GB2312" w:eastAsia="仿宋_GB2312" w:cs="仿宋_GB2312"/>
          <w:sz w:val="32"/>
          <w:szCs w:val="32"/>
        </w:rPr>
        <w:t>；工程采购授予中小企业合同金额占工程支出金额的</w:t>
      </w:r>
      <w:r>
        <w:rPr>
          <w:rFonts w:ascii="仿宋_GB2312" w:eastAsia="仿宋_GB2312" w:cs="仿宋_GB2312"/>
          <w:sz w:val="32"/>
          <w:szCs w:val="32"/>
        </w:rPr>
        <w:t>0%</w:t>
      </w:r>
      <w:r>
        <w:rPr>
          <w:rFonts w:hint="eastAsia" w:ascii="仿宋_GB2312" w:eastAsia="仿宋_GB2312" w:cs="仿宋_GB2312"/>
          <w:sz w:val="32"/>
          <w:szCs w:val="32"/>
        </w:rPr>
        <w:t>；服务采购授予中小企业合同金额占服务支出金额的</w:t>
      </w:r>
      <w:r>
        <w:rPr>
          <w:rFonts w:ascii="仿宋_GB2312" w:eastAsia="仿宋_GB2312" w:cs="仿宋_GB2312"/>
          <w:sz w:val="32"/>
          <w:szCs w:val="32"/>
        </w:rPr>
        <w:t>0%</w:t>
      </w:r>
      <w:r>
        <w:rPr>
          <w:rFonts w:hint="eastAsia" w:ascii="仿宋_GB2312" w:eastAsia="仿宋_GB2312" w:cs="仿宋_GB2312"/>
          <w:sz w:val="32"/>
          <w:szCs w:val="32"/>
        </w:rPr>
        <w:t>。</w:t>
      </w:r>
    </w:p>
    <w:p w14:paraId="5346E73E">
      <w:pPr>
        <w:pStyle w:val="8"/>
        <w:spacing w:line="560" w:lineRule="exact"/>
        <w:ind w:firstLine="640"/>
        <w:rPr>
          <w:rFonts w:ascii="黑体" w:hAnsi="黑体" w:eastAsia="黑体" w:cs="Times New Roman"/>
          <w:b/>
          <w:bCs/>
          <w:color w:val="FF0000"/>
          <w:sz w:val="32"/>
          <w:szCs w:val="32"/>
        </w:rPr>
      </w:pPr>
      <w:r>
        <w:rPr>
          <w:rFonts w:hint="eastAsia" w:ascii="楷体_GB2312" w:eastAsia="楷体_GB2312" w:cs="楷体_GB2312"/>
          <w:b/>
          <w:bCs/>
          <w:sz w:val="32"/>
          <w:szCs w:val="32"/>
        </w:rPr>
        <w:t>（三）国有资产占用情况。</w:t>
      </w:r>
    </w:p>
    <w:p w14:paraId="0CE17541">
      <w:pPr>
        <w:pStyle w:val="8"/>
        <w:spacing w:line="560" w:lineRule="exact"/>
        <w:ind w:firstLine="640"/>
        <w:rPr>
          <w:rFonts w:ascii="仿宋_GB2312" w:eastAsia="仿宋_GB2312" w:cs="Times New Roman"/>
          <w:sz w:val="32"/>
          <w:szCs w:val="32"/>
        </w:rPr>
      </w:pPr>
      <w:r>
        <w:rPr>
          <w:rFonts w:hint="eastAsia" w:ascii="仿宋_GB2312" w:eastAsia="仿宋_GB2312" w:cs="仿宋_GB2312"/>
          <w:sz w:val="32"/>
          <w:szCs w:val="32"/>
        </w:rPr>
        <w:t>截至</w:t>
      </w:r>
      <w:r>
        <w:rPr>
          <w:rFonts w:ascii="仿宋_GB2312" w:eastAsia="仿宋_GB2312" w:cs="仿宋_GB2312"/>
          <w:sz w:val="32"/>
          <w:szCs w:val="32"/>
        </w:rPr>
        <w:t>2021</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日，共有车辆</w:t>
      </w:r>
      <w:r>
        <w:rPr>
          <w:rFonts w:hint="eastAsia" w:ascii="仿宋_GB2312" w:eastAsia="仿宋_GB2312" w:cs="仿宋_GB2312"/>
          <w:sz w:val="32"/>
          <w:szCs w:val="32"/>
          <w:lang w:val="en-US" w:eastAsia="zh-CN"/>
        </w:rPr>
        <w:t>16</w:t>
      </w:r>
      <w:r>
        <w:rPr>
          <w:rFonts w:hint="eastAsia" w:ascii="仿宋_GB2312" w:eastAsia="仿宋_GB2312" w:cs="仿宋_GB2312"/>
          <w:sz w:val="32"/>
          <w:szCs w:val="32"/>
        </w:rPr>
        <w:t>辆，其中：副省级以上领导干部用车</w:t>
      </w:r>
      <w:r>
        <w:rPr>
          <w:rFonts w:ascii="仿宋_GB2312" w:eastAsia="仿宋_GB2312" w:cs="仿宋_GB2312"/>
          <w:sz w:val="32"/>
          <w:szCs w:val="32"/>
        </w:rPr>
        <w:t>0</w:t>
      </w:r>
      <w:r>
        <w:rPr>
          <w:rFonts w:hint="eastAsia" w:ascii="仿宋_GB2312" w:eastAsia="仿宋_GB2312" w:cs="仿宋_GB2312"/>
          <w:sz w:val="32"/>
          <w:szCs w:val="32"/>
        </w:rPr>
        <w:t>辆，主要领导干部用车</w:t>
      </w:r>
      <w:r>
        <w:rPr>
          <w:rFonts w:ascii="仿宋_GB2312" w:eastAsia="仿宋_GB2312" w:cs="仿宋_GB2312"/>
          <w:sz w:val="32"/>
          <w:szCs w:val="32"/>
        </w:rPr>
        <w:t>0</w:t>
      </w:r>
      <w:r>
        <w:rPr>
          <w:rFonts w:hint="eastAsia" w:ascii="仿宋_GB2312" w:eastAsia="仿宋_GB2312" w:cs="仿宋_GB2312"/>
          <w:sz w:val="32"/>
          <w:szCs w:val="32"/>
        </w:rPr>
        <w:t>辆，机要通讯用车</w:t>
      </w:r>
      <w:r>
        <w:rPr>
          <w:rFonts w:ascii="仿宋_GB2312" w:eastAsia="仿宋_GB2312" w:cs="仿宋_GB2312"/>
          <w:sz w:val="32"/>
          <w:szCs w:val="32"/>
        </w:rPr>
        <w:t>0</w:t>
      </w:r>
      <w:r>
        <w:rPr>
          <w:rFonts w:hint="eastAsia" w:ascii="仿宋_GB2312" w:eastAsia="仿宋_GB2312" w:cs="仿宋_GB2312"/>
          <w:sz w:val="32"/>
          <w:szCs w:val="32"/>
        </w:rPr>
        <w:t>辆，应急保障用车</w:t>
      </w:r>
      <w:r>
        <w:rPr>
          <w:rFonts w:ascii="仿宋_GB2312" w:eastAsia="仿宋_GB2312" w:cs="仿宋_GB2312"/>
          <w:sz w:val="32"/>
          <w:szCs w:val="32"/>
        </w:rPr>
        <w:t>0</w:t>
      </w:r>
      <w:r>
        <w:rPr>
          <w:rFonts w:hint="eastAsia" w:ascii="仿宋_GB2312" w:eastAsia="仿宋_GB2312" w:cs="仿宋_GB2312"/>
          <w:sz w:val="32"/>
          <w:szCs w:val="32"/>
        </w:rPr>
        <w:t>辆，执法执勤用车</w:t>
      </w:r>
      <w:r>
        <w:rPr>
          <w:rFonts w:ascii="仿宋_GB2312" w:eastAsia="仿宋_GB2312" w:cs="仿宋_GB2312"/>
          <w:sz w:val="32"/>
          <w:szCs w:val="32"/>
        </w:rPr>
        <w:t>0</w:t>
      </w:r>
      <w:r>
        <w:rPr>
          <w:rFonts w:hint="eastAsia" w:ascii="仿宋_GB2312" w:eastAsia="仿宋_GB2312" w:cs="仿宋_GB2312"/>
          <w:sz w:val="32"/>
          <w:szCs w:val="32"/>
        </w:rPr>
        <w:t>辆，特种专业技术用车</w:t>
      </w:r>
      <w:r>
        <w:rPr>
          <w:rFonts w:ascii="仿宋_GB2312" w:eastAsia="仿宋_GB2312" w:cs="仿宋_GB2312"/>
          <w:sz w:val="32"/>
          <w:szCs w:val="32"/>
        </w:rPr>
        <w:t>0</w:t>
      </w:r>
      <w:r>
        <w:rPr>
          <w:rFonts w:hint="eastAsia" w:ascii="仿宋_GB2312" w:eastAsia="仿宋_GB2312" w:cs="仿宋_GB2312"/>
          <w:sz w:val="32"/>
          <w:szCs w:val="32"/>
        </w:rPr>
        <w:t>辆，离退休干部用车</w:t>
      </w:r>
      <w:r>
        <w:rPr>
          <w:rFonts w:ascii="仿宋_GB2312" w:eastAsia="仿宋_GB2312" w:cs="仿宋_GB2312"/>
          <w:sz w:val="32"/>
          <w:szCs w:val="32"/>
        </w:rPr>
        <w:t>0</w:t>
      </w:r>
      <w:r>
        <w:rPr>
          <w:rFonts w:hint="eastAsia" w:ascii="仿宋_GB2312" w:eastAsia="仿宋_GB2312" w:cs="仿宋_GB2312"/>
          <w:sz w:val="32"/>
          <w:szCs w:val="32"/>
        </w:rPr>
        <w:t>辆，其他用车</w:t>
      </w:r>
      <w:r>
        <w:rPr>
          <w:rFonts w:hint="eastAsia" w:ascii="仿宋_GB2312" w:eastAsia="仿宋_GB2312" w:cs="仿宋_GB2312"/>
          <w:sz w:val="32"/>
          <w:szCs w:val="32"/>
          <w:lang w:val="en-US" w:eastAsia="zh-CN"/>
        </w:rPr>
        <w:t>16</w:t>
      </w:r>
      <w:r>
        <w:rPr>
          <w:rFonts w:hint="eastAsia" w:ascii="仿宋_GB2312" w:eastAsia="仿宋_GB2312" w:cs="仿宋_GB2312"/>
          <w:sz w:val="32"/>
          <w:szCs w:val="32"/>
        </w:rPr>
        <w:t>辆，其他用车主要是</w:t>
      </w:r>
      <w:r>
        <w:rPr>
          <w:rFonts w:hint="eastAsia" w:ascii="仿宋_GB2312" w:hAnsi="黑体" w:eastAsia="仿宋_GB2312" w:cs="仿宋_GB2312"/>
          <w:sz w:val="32"/>
          <w:szCs w:val="32"/>
        </w:rPr>
        <w:t>各学校办公用车辆</w:t>
      </w:r>
      <w:r>
        <w:rPr>
          <w:rFonts w:hint="eastAsia" w:ascii="仿宋_GB2312" w:eastAsia="仿宋_GB2312" w:cs="仿宋_GB2312"/>
          <w:sz w:val="32"/>
          <w:szCs w:val="32"/>
        </w:rPr>
        <w:t>；单位价值</w:t>
      </w:r>
      <w:r>
        <w:rPr>
          <w:rFonts w:ascii="仿宋_GB2312" w:eastAsia="仿宋_GB2312" w:cs="仿宋_GB2312"/>
          <w:sz w:val="32"/>
          <w:szCs w:val="32"/>
        </w:rPr>
        <w:t>50</w:t>
      </w:r>
      <w:r>
        <w:rPr>
          <w:rFonts w:hint="eastAsia" w:ascii="仿宋_GB2312" w:eastAsia="仿宋_GB2312" w:cs="仿宋_GB2312"/>
          <w:sz w:val="32"/>
          <w:szCs w:val="32"/>
        </w:rPr>
        <w:t>万元以上通用设备</w:t>
      </w:r>
      <w:r>
        <w:rPr>
          <w:rFonts w:ascii="仿宋_GB2312" w:eastAsia="仿宋_GB2312" w:cs="仿宋_GB2312"/>
          <w:sz w:val="32"/>
          <w:szCs w:val="32"/>
        </w:rPr>
        <w:t>0</w:t>
      </w:r>
      <w:r>
        <w:rPr>
          <w:rFonts w:hint="eastAsia" w:ascii="仿宋_GB2312" w:eastAsia="仿宋_GB2312" w:cs="仿宋_GB2312"/>
          <w:sz w:val="32"/>
          <w:szCs w:val="32"/>
        </w:rPr>
        <w:t>台（套），单价</w:t>
      </w:r>
      <w:r>
        <w:rPr>
          <w:rFonts w:ascii="仿宋_GB2312" w:eastAsia="仿宋_GB2312" w:cs="仿宋_GB2312"/>
          <w:sz w:val="32"/>
          <w:szCs w:val="32"/>
        </w:rPr>
        <w:t>100</w:t>
      </w:r>
      <w:r>
        <w:rPr>
          <w:rFonts w:hint="eastAsia" w:ascii="仿宋_GB2312" w:eastAsia="仿宋_GB2312" w:cs="仿宋_GB2312"/>
          <w:sz w:val="32"/>
          <w:szCs w:val="32"/>
        </w:rPr>
        <w:t>万元以上专用设备</w:t>
      </w:r>
      <w:r>
        <w:rPr>
          <w:rFonts w:ascii="仿宋_GB2312" w:eastAsia="仿宋_GB2312" w:cs="仿宋_GB2312"/>
          <w:sz w:val="32"/>
          <w:szCs w:val="32"/>
        </w:rPr>
        <w:t>0</w:t>
      </w:r>
      <w:r>
        <w:rPr>
          <w:rFonts w:hint="eastAsia" w:ascii="仿宋_GB2312" w:eastAsia="仿宋_GB2312" w:cs="仿宋_GB2312"/>
          <w:sz w:val="32"/>
          <w:szCs w:val="32"/>
        </w:rPr>
        <w:t>台（套）。</w:t>
      </w:r>
    </w:p>
    <w:p w14:paraId="39B95E3B">
      <w:pPr>
        <w:widowControl/>
        <w:spacing w:line="540" w:lineRule="exact"/>
        <w:ind w:firstLine="640" w:firstLineChars="200"/>
        <w:jc w:val="left"/>
        <w:rPr>
          <w:b/>
          <w:bCs/>
          <w:color w:val="FF0000"/>
        </w:rPr>
      </w:pPr>
      <w:r>
        <w:rPr>
          <w:rFonts w:hint="eastAsia" w:ascii="楷体_GB2312" w:eastAsia="楷体_GB2312" w:cs="楷体_GB2312"/>
          <w:b/>
          <w:bCs/>
          <w:sz w:val="32"/>
          <w:szCs w:val="32"/>
        </w:rPr>
        <w:t>（四）预算绩效管理工作开展情况。</w:t>
      </w:r>
    </w:p>
    <w:p w14:paraId="17969BB4">
      <w:pPr>
        <w:widowControl/>
        <w:spacing w:line="560" w:lineRule="exact"/>
        <w:ind w:firstLine="640" w:firstLineChars="200"/>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整体绩效自评情况（附部门整体绩效自评表）。组织对</w:t>
      </w:r>
      <w:r>
        <w:rPr>
          <w:rFonts w:ascii="仿宋_GB2312" w:eastAsia="仿宋_GB2312" w:cs="仿宋_GB2312"/>
          <w:sz w:val="32"/>
          <w:szCs w:val="32"/>
        </w:rPr>
        <w:t>1</w:t>
      </w:r>
      <w:r>
        <w:rPr>
          <w:rFonts w:hint="eastAsia" w:ascii="仿宋_GB2312" w:eastAsia="仿宋_GB2312" w:cs="仿宋_GB2312"/>
          <w:sz w:val="32"/>
          <w:szCs w:val="32"/>
        </w:rPr>
        <w:t>个单位开展整体绩效自评，涉及资金25433.19万元，自评平均分</w:t>
      </w:r>
      <w:r>
        <w:rPr>
          <w:rFonts w:ascii="仿宋_GB2312" w:eastAsia="仿宋_GB2312" w:cs="仿宋_GB2312"/>
          <w:sz w:val="32"/>
          <w:szCs w:val="32"/>
        </w:rPr>
        <w:t>100</w:t>
      </w:r>
      <w:r>
        <w:rPr>
          <w:rFonts w:hint="eastAsia" w:ascii="仿宋_GB2312" w:eastAsia="仿宋_GB2312" w:cs="仿宋_GB2312"/>
          <w:sz w:val="32"/>
          <w:szCs w:val="32"/>
        </w:rPr>
        <w:t>分。</w:t>
      </w:r>
    </w:p>
    <w:p w14:paraId="5937C0C6">
      <w:pPr>
        <w:widowControl/>
        <w:spacing w:line="56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项目绩效自评情况（附预算项目绩效自评表）。根据预算绩效管理要求，我单位组织对</w:t>
      </w:r>
      <w:r>
        <w:rPr>
          <w:rFonts w:ascii="仿宋_GB2312" w:eastAsia="仿宋_GB2312" w:cs="仿宋_GB2312"/>
          <w:sz w:val="32"/>
          <w:szCs w:val="32"/>
        </w:rPr>
        <w:t>2021</w:t>
      </w:r>
      <w:r>
        <w:rPr>
          <w:rFonts w:hint="eastAsia" w:ascii="仿宋_GB2312" w:eastAsia="仿宋_GB2312" w:cs="仿宋_GB2312"/>
          <w:sz w:val="32"/>
          <w:szCs w:val="32"/>
        </w:rPr>
        <w:t>年度预算项目支出全面开展绩效自评，共涉及预算支出项目</w:t>
      </w:r>
      <w:r>
        <w:rPr>
          <w:rFonts w:ascii="仿宋_GB2312" w:eastAsia="仿宋_GB2312" w:cs="仿宋_GB2312"/>
          <w:sz w:val="32"/>
          <w:szCs w:val="32"/>
        </w:rPr>
        <w:t>43</w:t>
      </w:r>
      <w:r>
        <w:rPr>
          <w:rFonts w:hint="eastAsia" w:ascii="仿宋_GB2312" w:eastAsia="仿宋_GB2312" w:cs="仿宋_GB2312"/>
          <w:sz w:val="32"/>
          <w:szCs w:val="32"/>
        </w:rPr>
        <w:t>个，涉及资金</w:t>
      </w:r>
      <w:r>
        <w:rPr>
          <w:rFonts w:ascii="仿宋_GB2312" w:eastAsia="仿宋_GB2312" w:cs="仿宋_GB2312"/>
          <w:sz w:val="32"/>
          <w:szCs w:val="32"/>
        </w:rPr>
        <w:t>25433.19</w:t>
      </w:r>
      <w:r>
        <w:rPr>
          <w:rFonts w:hint="eastAsia" w:ascii="仿宋_GB2312" w:eastAsia="仿宋_GB2312" w:cs="仿宋_GB2312"/>
          <w:sz w:val="32"/>
          <w:szCs w:val="32"/>
        </w:rPr>
        <w:t>万元，自评覆盖率（开展绩效自评的项目数</w:t>
      </w:r>
      <w:r>
        <w:rPr>
          <w:rFonts w:ascii="仿宋_GB2312" w:eastAsia="仿宋_GB2312" w:cs="仿宋_GB2312"/>
          <w:sz w:val="32"/>
          <w:szCs w:val="32"/>
        </w:rPr>
        <w:t>/</w:t>
      </w:r>
      <w:r>
        <w:rPr>
          <w:rFonts w:hint="eastAsia" w:ascii="仿宋_GB2312" w:eastAsia="仿宋_GB2312" w:cs="仿宋_GB2312"/>
          <w:sz w:val="32"/>
          <w:szCs w:val="32"/>
        </w:rPr>
        <w:t>年初批复绩效目标的项目数）达到</w:t>
      </w:r>
      <w:r>
        <w:rPr>
          <w:rFonts w:ascii="仿宋_GB2312" w:eastAsia="仿宋_GB2312" w:cs="仿宋_GB2312"/>
          <w:sz w:val="32"/>
          <w:szCs w:val="32"/>
        </w:rPr>
        <w:t>100%</w:t>
      </w:r>
      <w:r>
        <w:rPr>
          <w:rFonts w:hint="eastAsia" w:ascii="仿宋_GB2312" w:eastAsia="仿宋_GB2312" w:cs="仿宋_GB2312"/>
          <w:sz w:val="32"/>
          <w:szCs w:val="32"/>
        </w:rPr>
        <w:t>，自评平均分（开展绩效自评的项目分数总和</w:t>
      </w:r>
      <w:r>
        <w:rPr>
          <w:rFonts w:ascii="仿宋_GB2312" w:eastAsia="仿宋_GB2312" w:cs="仿宋_GB2312"/>
          <w:sz w:val="32"/>
          <w:szCs w:val="32"/>
        </w:rPr>
        <w:t>/</w:t>
      </w:r>
      <w:r>
        <w:rPr>
          <w:rFonts w:hint="eastAsia" w:ascii="仿宋_GB2312" w:eastAsia="仿宋_GB2312" w:cs="仿宋_GB2312"/>
          <w:sz w:val="32"/>
          <w:szCs w:val="32"/>
        </w:rPr>
        <w:t>开展绩效自评的项目数）</w:t>
      </w:r>
      <w:r>
        <w:rPr>
          <w:rFonts w:ascii="仿宋_GB2312" w:eastAsia="仿宋_GB2312" w:cs="仿宋_GB2312"/>
          <w:sz w:val="32"/>
          <w:szCs w:val="32"/>
        </w:rPr>
        <w:t>90</w:t>
      </w:r>
      <w:r>
        <w:rPr>
          <w:rFonts w:hint="eastAsia" w:ascii="仿宋_GB2312" w:eastAsia="仿宋_GB2312" w:cs="仿宋_GB2312"/>
          <w:sz w:val="32"/>
          <w:szCs w:val="32"/>
        </w:rPr>
        <w:t>分。</w:t>
      </w:r>
    </w:p>
    <w:p w14:paraId="0699261D">
      <w:pPr>
        <w:widowControl/>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具体评价结果如下：</w:t>
      </w:r>
    </w:p>
    <w:p w14:paraId="606CFEC1">
      <w:pPr>
        <w:widowControl/>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w:t>
      </w:r>
      <w:r>
        <w:rPr>
          <w:rFonts w:ascii="仿宋_GB2312" w:eastAsia="仿宋_GB2312"/>
          <w:sz w:val="32"/>
          <w:szCs w:val="32"/>
        </w:rPr>
        <w:t>“</w:t>
      </w:r>
      <w:r>
        <w:rPr>
          <w:rFonts w:hint="eastAsia" w:ascii="仿宋_GB2312" w:eastAsia="仿宋_GB2312" w:cs="仿宋_GB2312"/>
          <w:sz w:val="32"/>
          <w:szCs w:val="32"/>
        </w:rPr>
        <w:t>保安经费</w:t>
      </w:r>
      <w:r>
        <w:rPr>
          <w:rFonts w:ascii="仿宋_GB2312" w:eastAsia="仿宋_GB2312"/>
          <w:sz w:val="32"/>
          <w:szCs w:val="32"/>
        </w:rPr>
        <w:t>”</w:t>
      </w:r>
      <w:r>
        <w:rPr>
          <w:rFonts w:hint="eastAsia" w:ascii="仿宋_GB2312" w:eastAsia="仿宋_GB2312" w:cs="仿宋_GB2312"/>
          <w:sz w:val="32"/>
          <w:szCs w:val="32"/>
        </w:rPr>
        <w:t>项目自评综述：根据年初设定的绩效目标，项目自评得分</w:t>
      </w:r>
      <w:r>
        <w:rPr>
          <w:rFonts w:ascii="仿宋_GB2312" w:eastAsia="仿宋_GB2312" w:cs="仿宋_GB2312"/>
          <w:sz w:val="32"/>
          <w:szCs w:val="32"/>
        </w:rPr>
        <w:t>100</w:t>
      </w:r>
      <w:r>
        <w:rPr>
          <w:rFonts w:hint="eastAsia" w:ascii="仿宋_GB2312" w:eastAsia="仿宋_GB2312" w:cs="仿宋_GB2312"/>
          <w:sz w:val="32"/>
          <w:szCs w:val="32"/>
        </w:rPr>
        <w:t>分。项目全年预算数为</w:t>
      </w:r>
      <w:r>
        <w:rPr>
          <w:rFonts w:ascii="仿宋_GB2312" w:eastAsia="仿宋_GB2312" w:cs="仿宋_GB2312"/>
          <w:sz w:val="32"/>
          <w:szCs w:val="32"/>
        </w:rPr>
        <w:t>798</w:t>
      </w:r>
      <w:r>
        <w:rPr>
          <w:rFonts w:hint="eastAsia" w:ascii="仿宋_GB2312" w:eastAsia="仿宋_GB2312" w:cs="仿宋_GB2312"/>
          <w:sz w:val="32"/>
          <w:szCs w:val="32"/>
        </w:rPr>
        <w:t>万元，执行数为</w:t>
      </w:r>
      <w:r>
        <w:rPr>
          <w:rFonts w:ascii="仿宋_GB2312" w:eastAsia="仿宋_GB2312" w:cs="仿宋_GB2312"/>
          <w:sz w:val="32"/>
          <w:szCs w:val="32"/>
        </w:rPr>
        <w:t>798</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。项目绩效目标完成情况：一是项目预算资金全部执行完毕</w:t>
      </w:r>
      <w:r>
        <w:rPr>
          <w:rFonts w:ascii="仿宋_GB2312" w:eastAsia="仿宋_GB2312" w:cs="仿宋_GB2312"/>
          <w:sz w:val="32"/>
          <w:szCs w:val="32"/>
        </w:rPr>
        <w:t>;</w:t>
      </w:r>
      <w:r>
        <w:rPr>
          <w:rFonts w:hint="eastAsia" w:ascii="仿宋_GB2312" w:eastAsia="仿宋_GB2312" w:cs="仿宋_GB2312"/>
          <w:sz w:val="32"/>
          <w:szCs w:val="32"/>
        </w:rPr>
        <w:t>二是浑南区各中小学及幼儿园完成保安配备</w:t>
      </w:r>
      <w:r>
        <w:rPr>
          <w:rFonts w:ascii="仿宋_GB2312" w:eastAsia="仿宋_GB2312" w:cs="仿宋_GB2312"/>
          <w:sz w:val="32"/>
          <w:szCs w:val="32"/>
        </w:rPr>
        <w:t>;</w:t>
      </w:r>
      <w:r>
        <w:rPr>
          <w:rFonts w:hint="eastAsia" w:ascii="仿宋_GB2312" w:eastAsia="仿宋_GB2312" w:cs="仿宋_GB2312"/>
          <w:sz w:val="32"/>
          <w:szCs w:val="32"/>
        </w:rPr>
        <w:t>三是得到了师生、学生家长、社会各界的一致好评。发现的主要问题及原因：未委托第三方机构对项目绩效目标完成情况进行评价。下一步改进措施：进一步加强校园安全管理，更加科学合理地安排保安经费预算。</w:t>
      </w:r>
    </w:p>
    <w:p w14:paraId="76DC8087">
      <w:pPr>
        <w:widowControl/>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w:t>
      </w:r>
      <w:r>
        <w:rPr>
          <w:rFonts w:ascii="仿宋_GB2312" w:eastAsia="仿宋_GB2312"/>
          <w:sz w:val="32"/>
          <w:szCs w:val="32"/>
        </w:rPr>
        <w:t>“</w:t>
      </w:r>
      <w:r>
        <w:rPr>
          <w:rFonts w:hint="eastAsia" w:ascii="仿宋_GB2312" w:eastAsia="仿宋_GB2312" w:cs="仿宋_GB2312"/>
          <w:sz w:val="32"/>
          <w:szCs w:val="32"/>
        </w:rPr>
        <w:t>合作办学经费</w:t>
      </w:r>
      <w:r>
        <w:rPr>
          <w:rFonts w:ascii="仿宋_GB2312" w:eastAsia="仿宋_GB2312"/>
          <w:sz w:val="32"/>
          <w:szCs w:val="32"/>
        </w:rPr>
        <w:t>”</w:t>
      </w:r>
      <w:r>
        <w:rPr>
          <w:rFonts w:hint="eastAsia" w:ascii="仿宋_GB2312" w:eastAsia="仿宋_GB2312" w:cs="仿宋_GB2312"/>
          <w:sz w:val="32"/>
          <w:szCs w:val="32"/>
        </w:rPr>
        <w:t>项目自评综述：根据年初设定的绩效目标，项目自评得分</w:t>
      </w:r>
      <w:r>
        <w:rPr>
          <w:rFonts w:ascii="仿宋_GB2312" w:eastAsia="仿宋_GB2312" w:cs="仿宋_GB2312"/>
          <w:sz w:val="32"/>
          <w:szCs w:val="32"/>
        </w:rPr>
        <w:t>100</w:t>
      </w:r>
      <w:r>
        <w:rPr>
          <w:rFonts w:hint="eastAsia" w:ascii="仿宋_GB2312" w:eastAsia="仿宋_GB2312" w:cs="仿宋_GB2312"/>
          <w:sz w:val="32"/>
          <w:szCs w:val="32"/>
        </w:rPr>
        <w:t>分。项目全年预算数为</w:t>
      </w:r>
      <w:r>
        <w:rPr>
          <w:rFonts w:ascii="仿宋_GB2312" w:eastAsia="仿宋_GB2312" w:cs="仿宋_GB2312"/>
          <w:sz w:val="32"/>
          <w:szCs w:val="32"/>
        </w:rPr>
        <w:t>300</w:t>
      </w:r>
      <w:r>
        <w:rPr>
          <w:rFonts w:hint="eastAsia" w:ascii="仿宋_GB2312" w:eastAsia="仿宋_GB2312" w:cs="仿宋_GB2312"/>
          <w:sz w:val="32"/>
          <w:szCs w:val="32"/>
        </w:rPr>
        <w:t>万元，执行数为</w:t>
      </w:r>
      <w:r>
        <w:rPr>
          <w:rFonts w:ascii="仿宋_GB2312" w:eastAsia="仿宋_GB2312" w:cs="仿宋_GB2312"/>
          <w:sz w:val="32"/>
          <w:szCs w:val="32"/>
        </w:rPr>
        <w:t>300</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。项目绩效目标完成情况：一是项目预算资金全部执行完毕</w:t>
      </w:r>
      <w:r>
        <w:rPr>
          <w:rFonts w:ascii="仿宋_GB2312" w:eastAsia="仿宋_GB2312" w:cs="仿宋_GB2312"/>
          <w:sz w:val="32"/>
          <w:szCs w:val="32"/>
        </w:rPr>
        <w:t>;</w:t>
      </w:r>
      <w:r>
        <w:rPr>
          <w:rFonts w:hint="eastAsia" w:ascii="仿宋_GB2312" w:eastAsia="仿宋_GB2312" w:cs="仿宋_GB2312"/>
          <w:sz w:val="32"/>
          <w:szCs w:val="32"/>
        </w:rPr>
        <w:t>二是合作办学有效快速提升区域内学校知名度，为教育均衡发展提供保障</w:t>
      </w:r>
      <w:r>
        <w:rPr>
          <w:rFonts w:ascii="仿宋_GB2312" w:eastAsia="仿宋_GB2312" w:cs="仿宋_GB2312"/>
          <w:sz w:val="32"/>
          <w:szCs w:val="32"/>
        </w:rPr>
        <w:t>;</w:t>
      </w:r>
      <w:r>
        <w:rPr>
          <w:rFonts w:hint="eastAsia" w:ascii="仿宋_GB2312" w:eastAsia="仿宋_GB2312" w:cs="仿宋_GB2312"/>
          <w:sz w:val="32"/>
          <w:szCs w:val="32"/>
        </w:rPr>
        <w:t>三是得到了师生、学生家长、社会各界的一致好评。发现的主要问题及原因：未委托第三方机构对项目绩效目标完成情况进行评价。下一步改进措施：结合本区实际情况，更加科学合理地安排合作办学经费，发挥资金使用效益，进一步提升教学品质，发挥品牌效应，带动区域经济发展。</w:t>
      </w:r>
    </w:p>
    <w:p w14:paraId="3E141351">
      <w:pPr>
        <w:widowControl/>
        <w:spacing w:line="56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部门重点评价情况。我部门组织对“保安经费”“合作办学”等</w:t>
      </w:r>
      <w:r>
        <w:rPr>
          <w:rFonts w:ascii="仿宋_GB2312" w:eastAsia="仿宋_GB2312" w:cs="仿宋_GB2312"/>
          <w:sz w:val="32"/>
          <w:szCs w:val="32"/>
        </w:rPr>
        <w:t xml:space="preserve">2 </w:t>
      </w:r>
      <w:r>
        <w:rPr>
          <w:rFonts w:hint="eastAsia" w:ascii="仿宋_GB2312" w:eastAsia="仿宋_GB2312" w:cs="仿宋_GB2312"/>
          <w:sz w:val="32"/>
          <w:szCs w:val="32"/>
        </w:rPr>
        <w:t>个项目开展了部门重点评价，涉及资金</w:t>
      </w:r>
      <w:r>
        <w:rPr>
          <w:rFonts w:ascii="仿宋_GB2312" w:eastAsia="仿宋_GB2312" w:cs="仿宋_GB2312"/>
          <w:sz w:val="32"/>
          <w:szCs w:val="32"/>
        </w:rPr>
        <w:t>1098</w:t>
      </w:r>
      <w:r>
        <w:rPr>
          <w:rFonts w:hint="eastAsia" w:ascii="仿宋_GB2312" w:eastAsia="仿宋_GB2312" w:cs="仿宋_GB2312"/>
          <w:sz w:val="32"/>
          <w:szCs w:val="32"/>
        </w:rPr>
        <w:t>万元。重点评价平均分为</w:t>
      </w:r>
      <w:r>
        <w:rPr>
          <w:rFonts w:ascii="仿宋_GB2312" w:eastAsia="仿宋_GB2312" w:cs="仿宋_GB2312"/>
          <w:sz w:val="32"/>
          <w:szCs w:val="32"/>
        </w:rPr>
        <w:t>100</w:t>
      </w:r>
      <w:r>
        <w:rPr>
          <w:rFonts w:hint="eastAsia" w:ascii="仿宋_GB2312" w:eastAsia="仿宋_GB2312" w:cs="仿宋_GB2312"/>
          <w:sz w:val="32"/>
          <w:szCs w:val="32"/>
        </w:rPr>
        <w:t>分，评级情况为优</w:t>
      </w:r>
      <w:r>
        <w:rPr>
          <w:rFonts w:ascii="仿宋_GB2312" w:eastAsia="仿宋_GB2312" w:cs="仿宋_GB2312"/>
          <w:sz w:val="32"/>
          <w:szCs w:val="32"/>
        </w:rPr>
        <w:t>2</w:t>
      </w:r>
      <w:r>
        <w:rPr>
          <w:rFonts w:hint="eastAsia" w:ascii="仿宋_GB2312" w:eastAsia="仿宋_GB2312" w:cs="仿宋_GB2312"/>
          <w:sz w:val="32"/>
          <w:szCs w:val="32"/>
        </w:rPr>
        <w:t>个。其中，未对“保安经费”“合作办学”等项目委托第三方机构开展绩效评价。通过部门绩效评价发现主要存在以下问题：未委托第三方机构对项目绩效目标完成情况进行评价。下一步改进措施：进一步加强项目预算管理，注重项目绩效目标的应用，更加科学合理地安排预算资金。</w:t>
      </w:r>
    </w:p>
    <w:p w14:paraId="42A43E9A">
      <w:pPr>
        <w:pStyle w:val="8"/>
        <w:spacing w:line="560" w:lineRule="exact"/>
        <w:ind w:firstLine="640" w:firstLineChars="200"/>
        <w:rPr>
          <w:rFonts w:ascii="仿宋_GB2312" w:hAnsi="Times New Roman" w:eastAsia="仿宋_GB2312" w:cs="Times New Roman"/>
          <w:sz w:val="32"/>
          <w:szCs w:val="32"/>
        </w:rPr>
      </w:pPr>
      <w:r>
        <w:rPr>
          <w:rFonts w:ascii="仿宋_GB2312" w:hAnsi="Times New Roman" w:eastAsia="仿宋_GB2312" w:cs="仿宋_GB2312"/>
          <w:sz w:val="32"/>
          <w:szCs w:val="32"/>
        </w:rPr>
        <w:t>4.</w:t>
      </w:r>
      <w:r>
        <w:rPr>
          <w:rFonts w:hint="eastAsia" w:ascii="仿宋_GB2312" w:hAnsi="Times New Roman" w:eastAsia="仿宋_GB2312" w:cs="仿宋_GB2312"/>
          <w:sz w:val="32"/>
          <w:szCs w:val="32"/>
        </w:rPr>
        <w:t>其他。制定或者完善制度方面情况；建立本部门分行业、分领域预算绩效指标体系情况；绩效监控管理情况；其他预算绩效管理创新做法等。</w:t>
      </w:r>
    </w:p>
    <w:p w14:paraId="1994B21D">
      <w:pPr>
        <w:widowControl/>
        <w:spacing w:line="560" w:lineRule="exact"/>
        <w:ind w:firstLine="640" w:firstLineChars="200"/>
        <w:rPr>
          <w:b/>
          <w:bCs/>
          <w:sz w:val="36"/>
          <w:szCs w:val="36"/>
        </w:rPr>
      </w:pPr>
      <w:r>
        <w:rPr>
          <w:rFonts w:hint="eastAsia" w:ascii="仿宋_GB2312" w:eastAsia="仿宋_GB2312" w:cs="仿宋_GB2312"/>
          <w:sz w:val="32"/>
          <w:szCs w:val="32"/>
        </w:rPr>
        <w:t>我单位未发生该业务。</w:t>
      </w:r>
    </w:p>
    <w:p w14:paraId="436867D1">
      <w:pPr>
        <w:pStyle w:val="8"/>
        <w:spacing w:line="560" w:lineRule="exact"/>
        <w:rPr>
          <w:rFonts w:cs="Times New Roman"/>
          <w:b/>
          <w:bCs/>
          <w:sz w:val="36"/>
          <w:szCs w:val="36"/>
        </w:rPr>
      </w:pPr>
    </w:p>
    <w:p w14:paraId="51273F18">
      <w:pPr>
        <w:pStyle w:val="9"/>
        <w:autoSpaceDN w:val="0"/>
        <w:spacing w:line="560" w:lineRule="exact"/>
        <w:ind w:firstLine="2160" w:firstLineChars="600"/>
        <w:rPr>
          <w:rFonts w:cs="Times New Roman"/>
          <w:b/>
          <w:bCs/>
          <w:sz w:val="36"/>
          <w:szCs w:val="36"/>
        </w:rPr>
      </w:pPr>
      <w:r>
        <w:rPr>
          <w:rFonts w:hint="eastAsia"/>
          <w:b/>
          <w:bCs/>
          <w:sz w:val="36"/>
          <w:szCs w:val="36"/>
        </w:rPr>
        <w:t>第三部分</w:t>
      </w:r>
      <w:r>
        <w:rPr>
          <w:b/>
          <w:bCs/>
          <w:sz w:val="36"/>
          <w:szCs w:val="36"/>
        </w:rPr>
        <w:t xml:space="preserve"> </w:t>
      </w:r>
      <w:r>
        <w:rPr>
          <w:rFonts w:hint="eastAsia"/>
          <w:b/>
          <w:bCs/>
          <w:sz w:val="36"/>
          <w:szCs w:val="36"/>
        </w:rPr>
        <w:t>名词解释</w:t>
      </w:r>
    </w:p>
    <w:p w14:paraId="3E07C95A">
      <w:pPr>
        <w:pStyle w:val="8"/>
        <w:spacing w:line="560" w:lineRule="exact"/>
        <w:ind w:firstLine="627"/>
        <w:rPr>
          <w:rFonts w:ascii="仿宋_GB2312" w:eastAsia="仿宋_GB2312" w:cs="Times New Roman"/>
          <w:b/>
          <w:bCs/>
          <w:sz w:val="32"/>
          <w:szCs w:val="32"/>
        </w:rPr>
      </w:pPr>
      <w:r>
        <w:rPr>
          <w:rFonts w:ascii="仿宋_GB2312" w:eastAsia="仿宋_GB2312" w:cs="仿宋_GB2312"/>
          <w:b/>
          <w:bCs/>
          <w:sz w:val="32"/>
          <w:szCs w:val="32"/>
        </w:rPr>
        <w:t>1.</w:t>
      </w:r>
      <w:r>
        <w:rPr>
          <w:rFonts w:hint="eastAsia" w:ascii="仿宋_GB2312" w:eastAsia="仿宋_GB2312" w:cs="仿宋_GB2312"/>
          <w:b/>
          <w:bCs/>
          <w:sz w:val="32"/>
          <w:szCs w:val="32"/>
        </w:rPr>
        <w:t>财政拨款收入：</w:t>
      </w:r>
      <w:r>
        <w:rPr>
          <w:rFonts w:hint="eastAsia" w:ascii="仿宋_GB2312" w:eastAsia="仿宋_GB2312" w:cs="仿宋_GB2312"/>
          <w:sz w:val="32"/>
          <w:szCs w:val="32"/>
        </w:rPr>
        <w:t>指单位从同级财政部门取得的财政预算资金。</w:t>
      </w:r>
    </w:p>
    <w:p w14:paraId="4D0D13EF">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2.</w:t>
      </w:r>
      <w:r>
        <w:rPr>
          <w:rFonts w:hint="eastAsia" w:ascii="仿宋_GB2312" w:eastAsia="仿宋_GB2312" w:cs="仿宋_GB2312"/>
          <w:b/>
          <w:bCs/>
          <w:sz w:val="32"/>
          <w:szCs w:val="32"/>
        </w:rPr>
        <w:t>上级补助收入：</w:t>
      </w:r>
      <w:r>
        <w:rPr>
          <w:rFonts w:hint="eastAsia" w:ascii="仿宋_GB2312" w:eastAsia="仿宋_GB2312" w:cs="仿宋_GB2312"/>
          <w:sz w:val="32"/>
          <w:szCs w:val="32"/>
        </w:rPr>
        <w:t>指单位从主管部门和上级单位取得的非财政性补助收入。</w:t>
      </w:r>
    </w:p>
    <w:p w14:paraId="4FCD87A7">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3.</w:t>
      </w:r>
      <w:r>
        <w:rPr>
          <w:rFonts w:hint="eastAsia" w:ascii="仿宋_GB2312" w:eastAsia="仿宋_GB2312" w:cs="仿宋_GB2312"/>
          <w:b/>
          <w:bCs/>
          <w:sz w:val="32"/>
          <w:szCs w:val="32"/>
        </w:rPr>
        <w:t>事业收入：</w:t>
      </w:r>
      <w:r>
        <w:rPr>
          <w:rFonts w:hint="eastAsia" w:ascii="仿宋_GB2312" w:eastAsia="仿宋_GB2312" w:cs="仿宋_GB2312"/>
          <w:sz w:val="32"/>
          <w:szCs w:val="32"/>
        </w:rPr>
        <w:t>指事业单位开展专业业务活动及辅助活动所取得的收入。</w:t>
      </w:r>
    </w:p>
    <w:p w14:paraId="4075E126">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4.</w:t>
      </w:r>
      <w:r>
        <w:rPr>
          <w:rFonts w:hint="eastAsia" w:ascii="仿宋_GB2312" w:eastAsia="仿宋_GB2312" w:cs="仿宋_GB2312"/>
          <w:b/>
          <w:bCs/>
          <w:sz w:val="32"/>
          <w:szCs w:val="32"/>
        </w:rPr>
        <w:t>经营收入：</w:t>
      </w:r>
      <w:r>
        <w:rPr>
          <w:rFonts w:hint="eastAsia" w:ascii="仿宋_GB2312" w:eastAsia="仿宋_GB2312" w:cs="仿宋_GB2312"/>
          <w:sz w:val="32"/>
          <w:szCs w:val="32"/>
        </w:rPr>
        <w:t>指事业单位在专业业务活动及辅助活动之外开展非独立核算经营活动取得的收入。</w:t>
      </w:r>
    </w:p>
    <w:p w14:paraId="59A91DD9">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5.</w:t>
      </w:r>
      <w:r>
        <w:rPr>
          <w:rFonts w:hint="eastAsia" w:ascii="仿宋_GB2312" w:eastAsia="仿宋_GB2312" w:cs="仿宋_GB2312"/>
          <w:b/>
          <w:bCs/>
          <w:sz w:val="32"/>
          <w:szCs w:val="32"/>
        </w:rPr>
        <w:t>附属单位上缴收入：</w:t>
      </w:r>
      <w:r>
        <w:rPr>
          <w:rFonts w:hint="eastAsia" w:ascii="仿宋_GB2312" w:eastAsia="仿宋_GB2312" w:cs="仿宋_GB2312"/>
          <w:sz w:val="32"/>
          <w:szCs w:val="32"/>
        </w:rPr>
        <w:t>指单位附属的独立核算单位按照规定上缴的收入。</w:t>
      </w:r>
    </w:p>
    <w:p w14:paraId="502CF57D">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6.</w:t>
      </w:r>
      <w:r>
        <w:rPr>
          <w:rFonts w:hint="eastAsia" w:ascii="仿宋_GB2312" w:eastAsia="仿宋_GB2312" w:cs="仿宋_GB2312"/>
          <w:b/>
          <w:bCs/>
          <w:sz w:val="32"/>
          <w:szCs w:val="32"/>
        </w:rPr>
        <w:t>其他收入：</w:t>
      </w:r>
      <w:r>
        <w:rPr>
          <w:rFonts w:hint="eastAsia" w:ascii="仿宋_GB2312" w:eastAsia="仿宋_GB2312" w:cs="仿宋_GB2312"/>
          <w:sz w:val="32"/>
          <w:szCs w:val="32"/>
        </w:rPr>
        <w:t>指除上述“财政拨款收入”、“上级补助收入”、“事业收入”、“经营收入”、“附属单位上缴收入”等以外的收入。</w:t>
      </w:r>
    </w:p>
    <w:p w14:paraId="4A62ED6E">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7.</w:t>
      </w:r>
      <w:r>
        <w:rPr>
          <w:rFonts w:hint="eastAsia" w:ascii="仿宋_GB2312" w:eastAsia="仿宋_GB2312" w:cs="仿宋_GB2312"/>
          <w:b/>
          <w:bCs/>
          <w:sz w:val="32"/>
          <w:szCs w:val="32"/>
        </w:rPr>
        <w:t>使用非财政拨款结余：</w:t>
      </w:r>
      <w:r>
        <w:rPr>
          <w:rFonts w:hint="eastAsia" w:ascii="仿宋_GB2312" w:eastAsia="仿宋_GB2312" w:cs="仿宋_GB2312"/>
          <w:sz w:val="32"/>
          <w:szCs w:val="32"/>
        </w:rPr>
        <w:t>指事业单位按照预算管理要求使用非财政拨款结余弥补收支差额的金额。。</w:t>
      </w:r>
    </w:p>
    <w:p w14:paraId="63B45458">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8.</w:t>
      </w:r>
      <w:r>
        <w:rPr>
          <w:rFonts w:hint="eastAsia" w:ascii="仿宋_GB2312" w:eastAsia="仿宋_GB2312" w:cs="仿宋_GB2312"/>
          <w:b/>
          <w:bCs/>
          <w:sz w:val="32"/>
          <w:szCs w:val="32"/>
        </w:rPr>
        <w:t>上年结转和结余：</w:t>
      </w:r>
      <w:r>
        <w:rPr>
          <w:rFonts w:hint="eastAsia" w:ascii="仿宋_GB2312" w:eastAsia="仿宋_GB2312" w:cs="仿宋_GB2312"/>
          <w:sz w:val="32"/>
          <w:szCs w:val="32"/>
        </w:rPr>
        <w:t>指以前年度尚未完成、结转到本年按有关规定继续使用的资金。</w:t>
      </w:r>
    </w:p>
    <w:p w14:paraId="1DD1C01D">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9.</w:t>
      </w:r>
      <w:r>
        <w:rPr>
          <w:rFonts w:hint="eastAsia" w:ascii="仿宋_GB2312" w:eastAsia="仿宋_GB2312" w:cs="仿宋_GB2312"/>
          <w:b/>
          <w:bCs/>
          <w:sz w:val="32"/>
          <w:szCs w:val="32"/>
        </w:rPr>
        <w:t>基本支出：</w:t>
      </w:r>
      <w:r>
        <w:rPr>
          <w:rFonts w:hint="eastAsia" w:ascii="仿宋_GB2312" w:eastAsia="仿宋_GB2312" w:cs="仿宋_GB2312"/>
          <w:sz w:val="32"/>
          <w:szCs w:val="32"/>
        </w:rPr>
        <w:t>指保障机构正常运转、完成日常工作任务而发生的人员支出和公用支出。</w:t>
      </w:r>
    </w:p>
    <w:p w14:paraId="22EE6B31">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10.</w:t>
      </w:r>
      <w:r>
        <w:rPr>
          <w:rFonts w:hint="eastAsia" w:ascii="仿宋_GB2312" w:eastAsia="仿宋_GB2312" w:cs="仿宋_GB2312"/>
          <w:b/>
          <w:bCs/>
          <w:sz w:val="32"/>
          <w:szCs w:val="32"/>
        </w:rPr>
        <w:t>项目支出：</w:t>
      </w:r>
      <w:r>
        <w:rPr>
          <w:rFonts w:hint="eastAsia" w:ascii="仿宋_GB2312" w:eastAsia="仿宋_GB2312" w:cs="仿宋_GB2312"/>
          <w:sz w:val="32"/>
          <w:szCs w:val="32"/>
        </w:rPr>
        <w:t>指在基本支出之外为完成特定行政任务和事业发展目标所发生的支出。</w:t>
      </w:r>
    </w:p>
    <w:p w14:paraId="1A5023BE">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11.</w:t>
      </w:r>
      <w:r>
        <w:rPr>
          <w:rFonts w:hint="eastAsia" w:ascii="仿宋_GB2312" w:eastAsia="仿宋_GB2312" w:cs="仿宋_GB2312"/>
          <w:b/>
          <w:bCs/>
          <w:sz w:val="32"/>
          <w:szCs w:val="32"/>
        </w:rPr>
        <w:t>上缴上级支出：</w:t>
      </w:r>
      <w:r>
        <w:rPr>
          <w:rFonts w:hint="eastAsia" w:ascii="仿宋_GB2312" w:eastAsia="仿宋_GB2312" w:cs="仿宋_GB2312"/>
          <w:sz w:val="32"/>
          <w:szCs w:val="32"/>
        </w:rPr>
        <w:t>指事业单位按照财政部门和主管部门的规定上缴上级单位的支出。</w:t>
      </w:r>
    </w:p>
    <w:p w14:paraId="0BA65A41">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12.</w:t>
      </w:r>
      <w:r>
        <w:rPr>
          <w:rFonts w:hint="eastAsia" w:ascii="仿宋_GB2312" w:eastAsia="仿宋_GB2312" w:cs="仿宋_GB2312"/>
          <w:b/>
          <w:bCs/>
          <w:sz w:val="32"/>
          <w:szCs w:val="32"/>
        </w:rPr>
        <w:t>经营支出：</w:t>
      </w:r>
      <w:r>
        <w:rPr>
          <w:rFonts w:hint="eastAsia" w:ascii="仿宋_GB2312" w:eastAsia="仿宋_GB2312" w:cs="仿宋_GB2312"/>
          <w:sz w:val="32"/>
          <w:szCs w:val="32"/>
        </w:rPr>
        <w:t>指事业单位在专业活动及辅助活动之外开展非独立核算经营活动发生的支出。</w:t>
      </w:r>
    </w:p>
    <w:p w14:paraId="6175B832">
      <w:pPr>
        <w:pStyle w:val="8"/>
        <w:spacing w:line="560" w:lineRule="exact"/>
        <w:ind w:firstLine="640"/>
        <w:rPr>
          <w:rFonts w:ascii="仿宋_GB2312" w:eastAsia="仿宋_GB2312" w:cs="Times New Roman"/>
          <w:b/>
          <w:bCs/>
          <w:sz w:val="32"/>
          <w:szCs w:val="32"/>
        </w:rPr>
      </w:pPr>
      <w:r>
        <w:rPr>
          <w:rFonts w:ascii="仿宋_GB2312" w:eastAsia="仿宋_GB2312" w:cs="仿宋_GB2312"/>
          <w:b/>
          <w:bCs/>
          <w:sz w:val="32"/>
          <w:szCs w:val="32"/>
        </w:rPr>
        <w:t>13.</w:t>
      </w:r>
      <w:r>
        <w:rPr>
          <w:rFonts w:hint="eastAsia" w:ascii="仿宋_GB2312" w:eastAsia="仿宋_GB2312" w:cs="仿宋_GB2312"/>
          <w:b/>
          <w:bCs/>
          <w:sz w:val="32"/>
          <w:szCs w:val="32"/>
        </w:rPr>
        <w:t>对附属单位补助支出：</w:t>
      </w:r>
      <w:r>
        <w:rPr>
          <w:rFonts w:hint="eastAsia" w:ascii="仿宋_GB2312" w:eastAsia="仿宋_GB2312" w:cs="仿宋_GB2312"/>
          <w:sz w:val="32"/>
          <w:szCs w:val="32"/>
        </w:rPr>
        <w:t>指事业单位用财政补助收入之外的收入对附属单位补助发生的支出。</w:t>
      </w:r>
    </w:p>
    <w:p w14:paraId="4BB7BBB5">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14.</w:t>
      </w:r>
      <w:r>
        <w:rPr>
          <w:rFonts w:hint="eastAsia" w:ascii="仿宋_GB2312" w:eastAsia="仿宋_GB2312" w:cs="仿宋_GB2312"/>
          <w:b/>
          <w:bCs/>
          <w:sz w:val="32"/>
          <w:szCs w:val="32"/>
        </w:rPr>
        <w:t>“三公”经费：</w:t>
      </w:r>
      <w:r>
        <w:rPr>
          <w:rFonts w:hint="eastAsia" w:ascii="仿宋_GB2312" w:eastAsia="仿宋_GB2312" w:cs="仿宋_GB2312"/>
          <w:sz w:val="32"/>
          <w:szCs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14:paraId="4013F637">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15.</w:t>
      </w:r>
      <w:r>
        <w:rPr>
          <w:rFonts w:hint="eastAsia" w:ascii="仿宋_GB2312" w:eastAsia="仿宋_GB2312" w:cs="仿宋_GB2312"/>
          <w:b/>
          <w:bCs/>
          <w:sz w:val="32"/>
          <w:szCs w:val="32"/>
        </w:rPr>
        <w:t>机关运行经费：</w:t>
      </w:r>
      <w:r>
        <w:rPr>
          <w:rFonts w:hint="eastAsia" w:ascii="仿宋_GB2312" w:eastAsia="仿宋_GB2312" w:cs="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596643D">
      <w:pPr>
        <w:pStyle w:val="8"/>
        <w:spacing w:line="560" w:lineRule="exact"/>
        <w:ind w:firstLine="640"/>
        <w:rPr>
          <w:rFonts w:ascii="仿宋_GB2312" w:eastAsia="仿宋_GB2312" w:cs="Times New Roman"/>
          <w:sz w:val="32"/>
          <w:szCs w:val="32"/>
        </w:rPr>
      </w:pPr>
      <w:r>
        <w:rPr>
          <w:rFonts w:ascii="仿宋_GB2312" w:eastAsia="仿宋_GB2312" w:cs="仿宋_GB2312"/>
          <w:b/>
          <w:bCs/>
          <w:sz w:val="32"/>
          <w:szCs w:val="32"/>
        </w:rPr>
        <w:t>16.</w:t>
      </w:r>
      <w:r>
        <w:rPr>
          <w:rFonts w:hint="eastAsia" w:ascii="仿宋_GB2312" w:eastAsia="仿宋_GB2312" w:cs="仿宋_GB2312"/>
          <w:b/>
          <w:bCs/>
          <w:sz w:val="32"/>
          <w:szCs w:val="32"/>
        </w:rPr>
        <w:t>一般公共服务（类）财政事务（款）行政运行（项）：</w:t>
      </w:r>
      <w:r>
        <w:rPr>
          <w:rFonts w:hint="eastAsia" w:ascii="仿宋_GB2312" w:eastAsia="仿宋_GB2312" w:cs="仿宋_GB2312"/>
          <w:sz w:val="32"/>
          <w:szCs w:val="32"/>
        </w:rPr>
        <w:t>反映行政单位（包括实行公务员管理的事业单位）的基本支出。</w:t>
      </w:r>
    </w:p>
    <w:p w14:paraId="1EA08E9B">
      <w:pPr>
        <w:pStyle w:val="8"/>
        <w:spacing w:line="560" w:lineRule="exact"/>
        <w:ind w:firstLine="640"/>
        <w:rPr>
          <w:rFonts w:ascii="仿宋_GB2312" w:eastAsia="仿宋_GB2312" w:cs="Times New Roman"/>
          <w:sz w:val="32"/>
          <w:szCs w:val="32"/>
        </w:rPr>
      </w:pPr>
    </w:p>
    <w:p w14:paraId="7DFADF10">
      <w:pPr>
        <w:pStyle w:val="8"/>
        <w:spacing w:line="560" w:lineRule="exact"/>
        <w:ind w:firstLine="640"/>
        <w:rPr>
          <w:rFonts w:ascii="仿宋_GB2312" w:eastAsia="仿宋_GB2312" w:cs="Times New Roman"/>
          <w:i/>
          <w:iCs/>
          <w:sz w:val="32"/>
          <w:szCs w:val="32"/>
          <w:u w:val="single"/>
        </w:rPr>
      </w:pPr>
    </w:p>
    <w:p w14:paraId="75968057">
      <w:pPr>
        <w:pStyle w:val="8"/>
        <w:spacing w:line="560" w:lineRule="exact"/>
        <w:ind w:firstLine="640"/>
        <w:rPr>
          <w:rFonts w:ascii="仿宋_GB2312" w:eastAsia="仿宋_GB2312" w:cs="Times New Roman"/>
          <w:i/>
          <w:iCs/>
          <w:sz w:val="32"/>
          <w:szCs w:val="32"/>
          <w:u w:val="single"/>
        </w:rPr>
      </w:pPr>
    </w:p>
    <w:p w14:paraId="11CC5F39">
      <w:pPr>
        <w:pStyle w:val="8"/>
        <w:spacing w:line="560" w:lineRule="exact"/>
        <w:ind w:firstLine="640"/>
        <w:rPr>
          <w:rFonts w:ascii="仿宋_GB2312" w:eastAsia="仿宋_GB2312" w:cs="Times New Roman"/>
          <w:i/>
          <w:iCs/>
          <w:sz w:val="32"/>
          <w:szCs w:val="32"/>
          <w:u w:val="single"/>
        </w:rPr>
      </w:pPr>
    </w:p>
    <w:p w14:paraId="5BF96CF7">
      <w:pPr>
        <w:pStyle w:val="8"/>
        <w:spacing w:line="560" w:lineRule="atLeast"/>
        <w:jc w:val="left"/>
        <w:rPr>
          <w:rFonts w:ascii="仿宋_GB2312" w:hAnsi="仿宋_GB2312" w:eastAsia="仿宋_GB2312" w:cs="Times New Roman"/>
          <w:b/>
          <w:bCs/>
          <w:sz w:val="52"/>
          <w:szCs w:val="52"/>
        </w:rPr>
        <w:sectPr>
          <w:headerReference r:id="rId3" w:type="default"/>
          <w:pgSz w:w="11906" w:h="16838"/>
          <w:pgMar w:top="1440" w:right="1797" w:bottom="1440" w:left="1797" w:header="851" w:footer="992" w:gutter="0"/>
          <w:cols w:space="425" w:num="1"/>
          <w:docGrid w:type="linesAndChars" w:linePitch="312" w:charSpace="0"/>
        </w:sectPr>
      </w:pPr>
    </w:p>
    <w:p w14:paraId="323B7AEE">
      <w:pPr>
        <w:pStyle w:val="8"/>
        <w:spacing w:line="560" w:lineRule="atLeast"/>
        <w:jc w:val="left"/>
        <w:rPr>
          <w:rFonts w:ascii="仿宋_GB2312" w:hAnsi="仿宋_GB2312" w:eastAsia="仿宋_GB2312" w:cs="Times New Roman"/>
          <w:b/>
          <w:bCs/>
          <w:sz w:val="52"/>
          <w:szCs w:val="52"/>
        </w:rPr>
      </w:pPr>
    </w:p>
    <w:p w14:paraId="43F90B13">
      <w:pPr>
        <w:pStyle w:val="8"/>
        <w:spacing w:line="560" w:lineRule="atLeast"/>
        <w:jc w:val="left"/>
        <w:rPr>
          <w:rFonts w:ascii="仿宋_GB2312" w:hAnsi="仿宋_GB2312" w:eastAsia="仿宋_GB2312" w:cs="Times New Roman"/>
          <w:b/>
          <w:bCs/>
          <w:sz w:val="52"/>
          <w:szCs w:val="52"/>
        </w:rPr>
      </w:pPr>
    </w:p>
    <w:p w14:paraId="190639EE">
      <w:pPr>
        <w:pStyle w:val="8"/>
        <w:spacing w:line="560" w:lineRule="atLeast"/>
        <w:jc w:val="left"/>
        <w:rPr>
          <w:rFonts w:ascii="仿宋_GB2312" w:hAnsi="仿宋_GB2312" w:eastAsia="仿宋_GB2312" w:cs="Times New Roman"/>
          <w:b/>
          <w:bCs/>
          <w:sz w:val="52"/>
          <w:szCs w:val="52"/>
        </w:rPr>
      </w:pPr>
    </w:p>
    <w:p w14:paraId="006E744C">
      <w:pPr>
        <w:pStyle w:val="8"/>
        <w:spacing w:line="560" w:lineRule="atLeast"/>
        <w:jc w:val="center"/>
        <w:rPr>
          <w:rFonts w:cs="Times New Roman"/>
          <w:b/>
          <w:bCs/>
          <w:sz w:val="36"/>
          <w:szCs w:val="36"/>
        </w:rPr>
      </w:pPr>
      <w:r>
        <w:rPr>
          <w:rFonts w:hint="eastAsia" w:ascii="仿宋_GB2312" w:hAnsi="仿宋_GB2312" w:eastAsia="仿宋_GB2312" w:cs="仿宋_GB2312"/>
          <w:b/>
          <w:bCs/>
          <w:sz w:val="52"/>
          <w:szCs w:val="52"/>
        </w:rPr>
        <w:t>第四部分</w:t>
      </w:r>
      <w:r>
        <w:rPr>
          <w:rFonts w:ascii="仿宋_GB2312" w:hAnsi="仿宋_GB2312" w:eastAsia="仿宋_GB2312" w:cs="仿宋_GB2312"/>
          <w:b/>
          <w:bCs/>
          <w:sz w:val="52"/>
          <w:szCs w:val="52"/>
        </w:rPr>
        <w:t xml:space="preserve"> </w:t>
      </w:r>
      <w:r>
        <w:rPr>
          <w:rFonts w:hint="eastAsia" w:ascii="仿宋_GB2312" w:hAnsi="仿宋_GB2312" w:eastAsia="仿宋_GB2312" w:cs="仿宋_GB2312"/>
          <w:b/>
          <w:bCs/>
          <w:sz w:val="52"/>
          <w:szCs w:val="52"/>
        </w:rPr>
        <w:t>浑南区教育系统</w:t>
      </w:r>
      <w:r>
        <w:rPr>
          <w:rFonts w:ascii="仿宋_GB2312" w:hAnsi="仿宋_GB2312" w:eastAsia="仿宋_GB2312" w:cs="仿宋_GB2312"/>
          <w:b/>
          <w:bCs/>
          <w:sz w:val="52"/>
          <w:szCs w:val="52"/>
        </w:rPr>
        <w:t>2021</w:t>
      </w:r>
      <w:r>
        <w:rPr>
          <w:rFonts w:hint="eastAsia" w:ascii="仿宋_GB2312" w:hAnsi="仿宋_GB2312" w:eastAsia="仿宋_GB2312" w:cs="仿宋_GB2312"/>
          <w:b/>
          <w:bCs/>
          <w:sz w:val="52"/>
          <w:szCs w:val="52"/>
        </w:rPr>
        <w:t>年度决算表</w:t>
      </w:r>
    </w:p>
    <w:p w14:paraId="7B382B56">
      <w:pPr>
        <w:rPr>
          <w:rFonts w:ascii="仿宋_GB2312" w:hAnsi="宋体" w:eastAsia="仿宋_GB2312"/>
          <w:kern w:val="0"/>
          <w:sz w:val="32"/>
          <w:szCs w:val="32"/>
        </w:rPr>
      </w:pPr>
    </w:p>
    <w:p w14:paraId="1D5D511A">
      <w:pPr>
        <w:rPr>
          <w:rFonts w:ascii="仿宋_GB2312" w:hAnsi="宋体" w:eastAsia="仿宋_GB2312"/>
          <w:kern w:val="0"/>
          <w:sz w:val="32"/>
          <w:szCs w:val="32"/>
        </w:rPr>
      </w:pPr>
    </w:p>
    <w:p w14:paraId="6AA3868F">
      <w:pPr>
        <w:rPr>
          <w:rFonts w:ascii="仿宋_GB2312" w:hAnsi="宋体" w:eastAsia="仿宋_GB2312"/>
          <w:kern w:val="0"/>
          <w:sz w:val="32"/>
          <w:szCs w:val="32"/>
        </w:rPr>
      </w:pPr>
    </w:p>
    <w:p w14:paraId="2719916C">
      <w:pPr>
        <w:rPr>
          <w:rFonts w:ascii="仿宋_GB2312" w:hAnsi="宋体" w:eastAsia="仿宋_GB2312"/>
          <w:kern w:val="0"/>
          <w:sz w:val="32"/>
          <w:szCs w:val="32"/>
        </w:rPr>
      </w:pPr>
    </w:p>
    <w:p w14:paraId="1B800437">
      <w:pPr>
        <w:rPr>
          <w:rFonts w:ascii="仿宋_GB2312" w:hAnsi="宋体" w:eastAsia="仿宋_GB2312"/>
          <w:kern w:val="0"/>
          <w:sz w:val="32"/>
          <w:szCs w:val="32"/>
        </w:rPr>
      </w:pPr>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DF6EB">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1C635C29"/>
    <w:rsid w:val="00060165"/>
    <w:rsid w:val="00073675"/>
    <w:rsid w:val="000B596F"/>
    <w:rsid w:val="000C2890"/>
    <w:rsid w:val="00100607"/>
    <w:rsid w:val="00175D50"/>
    <w:rsid w:val="001D0B4A"/>
    <w:rsid w:val="001D466A"/>
    <w:rsid w:val="002A1655"/>
    <w:rsid w:val="002F45CD"/>
    <w:rsid w:val="00320394"/>
    <w:rsid w:val="00342E31"/>
    <w:rsid w:val="0038444A"/>
    <w:rsid w:val="00387684"/>
    <w:rsid w:val="00400E9F"/>
    <w:rsid w:val="0040238C"/>
    <w:rsid w:val="00404FE0"/>
    <w:rsid w:val="00407514"/>
    <w:rsid w:val="0044142C"/>
    <w:rsid w:val="00451CF2"/>
    <w:rsid w:val="00485722"/>
    <w:rsid w:val="00505889"/>
    <w:rsid w:val="00525B88"/>
    <w:rsid w:val="00543A19"/>
    <w:rsid w:val="005812D3"/>
    <w:rsid w:val="005814A4"/>
    <w:rsid w:val="0058363C"/>
    <w:rsid w:val="00590A8D"/>
    <w:rsid w:val="005C4DCE"/>
    <w:rsid w:val="005F4C43"/>
    <w:rsid w:val="006837AB"/>
    <w:rsid w:val="006866CF"/>
    <w:rsid w:val="006A4B62"/>
    <w:rsid w:val="006B2CA5"/>
    <w:rsid w:val="006C0587"/>
    <w:rsid w:val="006C1AF5"/>
    <w:rsid w:val="006E6919"/>
    <w:rsid w:val="006E75B1"/>
    <w:rsid w:val="006F5EFF"/>
    <w:rsid w:val="00753B9D"/>
    <w:rsid w:val="00756329"/>
    <w:rsid w:val="007724F7"/>
    <w:rsid w:val="00795661"/>
    <w:rsid w:val="007A2F80"/>
    <w:rsid w:val="007A7561"/>
    <w:rsid w:val="007D39A3"/>
    <w:rsid w:val="007F3F20"/>
    <w:rsid w:val="007F77B9"/>
    <w:rsid w:val="008040A1"/>
    <w:rsid w:val="00892368"/>
    <w:rsid w:val="00896C00"/>
    <w:rsid w:val="008F7F66"/>
    <w:rsid w:val="00954778"/>
    <w:rsid w:val="00A0664D"/>
    <w:rsid w:val="00A17144"/>
    <w:rsid w:val="00A37A61"/>
    <w:rsid w:val="00A5357A"/>
    <w:rsid w:val="00A57A14"/>
    <w:rsid w:val="00A83EE4"/>
    <w:rsid w:val="00A85763"/>
    <w:rsid w:val="00B256D2"/>
    <w:rsid w:val="00B308AA"/>
    <w:rsid w:val="00B3614F"/>
    <w:rsid w:val="00B51DE7"/>
    <w:rsid w:val="00B54181"/>
    <w:rsid w:val="00B56C0F"/>
    <w:rsid w:val="00B91E5E"/>
    <w:rsid w:val="00BC09C4"/>
    <w:rsid w:val="00BD4603"/>
    <w:rsid w:val="00C65F77"/>
    <w:rsid w:val="00C754B6"/>
    <w:rsid w:val="00C96A77"/>
    <w:rsid w:val="00CF3E43"/>
    <w:rsid w:val="00D50A8B"/>
    <w:rsid w:val="00DC3915"/>
    <w:rsid w:val="00E4305D"/>
    <w:rsid w:val="00E84E9E"/>
    <w:rsid w:val="00F16B2B"/>
    <w:rsid w:val="00F434BE"/>
    <w:rsid w:val="00F4771D"/>
    <w:rsid w:val="00F54068"/>
    <w:rsid w:val="00F67249"/>
    <w:rsid w:val="00F724E9"/>
    <w:rsid w:val="00FE36ED"/>
    <w:rsid w:val="09C4782E"/>
    <w:rsid w:val="0ECB7368"/>
    <w:rsid w:val="11612EA5"/>
    <w:rsid w:val="1C635C29"/>
    <w:rsid w:val="279500D7"/>
    <w:rsid w:val="2E4F6256"/>
    <w:rsid w:val="36230505"/>
    <w:rsid w:val="54F6469B"/>
    <w:rsid w:val="566C4154"/>
    <w:rsid w:val="5B697371"/>
    <w:rsid w:val="673C6F2C"/>
    <w:rsid w:val="724179B2"/>
    <w:rsid w:val="737454E3"/>
    <w:rsid w:val="7D02484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locked/>
    <w:uiPriority w:val="0"/>
    <w:rPr>
      <w:rFonts w:ascii="Times New Roman" w:hAnsi="Times New Roman" w:eastAsia="宋体" w:cs="Times New Roman"/>
      <w:kern w:val="2"/>
      <w:sz w:val="18"/>
      <w:szCs w:val="18"/>
    </w:rPr>
  </w:style>
  <w:style w:type="character" w:customStyle="1" w:styleId="7">
    <w:name w:val="页眉 Char"/>
    <w:basedOn w:val="5"/>
    <w:link w:val="3"/>
    <w:qFormat/>
    <w:locked/>
    <w:uiPriority w:val="99"/>
    <w:rPr>
      <w:rFonts w:ascii="Times New Roman" w:hAnsi="Times New Roman" w:eastAsia="宋体" w:cs="Times New Roman"/>
      <w:kern w:val="2"/>
      <w:sz w:val="18"/>
      <w:szCs w:val="18"/>
    </w:rPr>
  </w:style>
  <w:style w:type="paragraph" w:customStyle="1" w:styleId="8">
    <w:name w:val="p0"/>
    <w:basedOn w:val="1"/>
    <w:qFormat/>
    <w:uiPriority w:val="0"/>
    <w:pPr>
      <w:widowControl/>
    </w:pPr>
    <w:rPr>
      <w:rFonts w:ascii="宋体" w:hAnsi="宋体" w:cs="宋体"/>
    </w:rPr>
  </w:style>
  <w:style w:type="paragraph" w:customStyle="1" w:styleId="9">
    <w:name w:val="p15"/>
    <w:basedOn w:val="1"/>
    <w:qFormat/>
    <w:uiPriority w:val="99"/>
    <w:pPr>
      <w:widowControl/>
    </w:pPr>
    <w:rPr>
      <w:rFonts w:ascii="宋体" w:hAnsi="宋体" w:cs="宋体"/>
      <w:kern w:val="0"/>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20</Pages>
  <Words>7965</Words>
  <Characters>8876</Characters>
  <Lines>65</Lines>
  <Paragraphs>18</Paragraphs>
  <TotalTime>0</TotalTime>
  <ScaleCrop>false</ScaleCrop>
  <LinksUpToDate>false</LinksUpToDate>
  <CharactersWithSpaces>8937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2023-06-15T04:09:00Z</dcterms:created>
  <dc:creator>国库处-王艳秋</dc:creator>
  <cp:lastModifiedBy>杨洋</cp:lastModifiedBy>
  <cp:lastPrinted>2022-09-19T10:34:00Z</cp:lastPrinted>
  <dcterms:modified xsi:type="dcterms:W3CDTF">2024-10-24T01:39:57Z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9C872CB057B74C43AB101636CEB4559F_13</vt:lpwstr>
  </property>
</Properties>
</file>