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26448">
      <w:pPr>
        <w:pStyle w:val="6"/>
        <w:rPr>
          <w:rFonts w:hint="default" w:ascii="黑体" w:eastAsia="黑体"/>
          <w:sz w:val="32"/>
        </w:rPr>
      </w:pPr>
      <w:r>
        <w:rPr>
          <w:rFonts w:ascii="黑体" w:eastAsia="黑体"/>
          <w:sz w:val="32"/>
        </w:rPr>
        <w:t>附件2</w:t>
      </w:r>
    </w:p>
    <w:p w14:paraId="2BCB02F1">
      <w:pPr>
        <w:pStyle w:val="6"/>
        <w:rPr>
          <w:rFonts w:hint="default"/>
          <w:b/>
          <w:sz w:val="44"/>
        </w:rPr>
      </w:pPr>
    </w:p>
    <w:p w14:paraId="400A0723">
      <w:pPr>
        <w:pStyle w:val="6"/>
        <w:rPr>
          <w:rFonts w:hint="default"/>
          <w:b/>
          <w:sz w:val="44"/>
        </w:rPr>
      </w:pPr>
    </w:p>
    <w:p w14:paraId="2028E1D1">
      <w:pPr>
        <w:pStyle w:val="6"/>
        <w:rPr>
          <w:rFonts w:hint="default"/>
          <w:b/>
          <w:sz w:val="44"/>
        </w:rPr>
      </w:pPr>
    </w:p>
    <w:p w14:paraId="57A16647">
      <w:pPr>
        <w:pStyle w:val="6"/>
        <w:rPr>
          <w:rFonts w:hint="default"/>
          <w:b/>
          <w:sz w:val="44"/>
        </w:rPr>
      </w:pPr>
    </w:p>
    <w:p w14:paraId="0C87838A">
      <w:pPr>
        <w:pStyle w:val="6"/>
        <w:rPr>
          <w:rFonts w:hint="default"/>
          <w:b/>
          <w:sz w:val="44"/>
        </w:rPr>
      </w:pPr>
    </w:p>
    <w:p w14:paraId="790AAD70">
      <w:pPr>
        <w:pStyle w:val="6"/>
        <w:rPr>
          <w:rFonts w:hint="default"/>
          <w:b/>
          <w:sz w:val="44"/>
        </w:rPr>
      </w:pPr>
    </w:p>
    <w:p w14:paraId="7B928C32">
      <w:pPr>
        <w:spacing w:line="540" w:lineRule="exact"/>
        <w:jc w:val="center"/>
        <w:rPr>
          <w:rFonts w:hint="default" w:ascii="宋体" w:hAnsi="宋体"/>
          <w:b/>
          <w:sz w:val="52"/>
          <w:szCs w:val="52"/>
        </w:rPr>
      </w:pPr>
      <w:r>
        <w:rPr>
          <w:rFonts w:ascii="宋体" w:hAnsi="宋体"/>
          <w:b/>
          <w:sz w:val="52"/>
          <w:szCs w:val="52"/>
        </w:rPr>
        <w:t>沈阳市浑南区第五小学</w:t>
      </w:r>
    </w:p>
    <w:p w14:paraId="59C3909E">
      <w:pPr>
        <w:spacing w:line="540" w:lineRule="exact"/>
        <w:jc w:val="center"/>
        <w:rPr>
          <w:rFonts w:hint="default" w:ascii="宋体" w:hAnsi="宋体"/>
          <w:b/>
          <w:color w:val="FF0000"/>
          <w:sz w:val="52"/>
          <w:szCs w:val="52"/>
        </w:rPr>
      </w:pPr>
      <w:r>
        <w:rPr>
          <w:rFonts w:ascii="宋体" w:hAnsi="宋体"/>
          <w:b/>
          <w:sz w:val="52"/>
          <w:szCs w:val="52"/>
        </w:rPr>
        <w:t>2021年度决算说明</w:t>
      </w:r>
    </w:p>
    <w:p w14:paraId="49D7F7C0">
      <w:pPr>
        <w:pStyle w:val="6"/>
        <w:jc w:val="center"/>
        <w:rPr>
          <w:rFonts w:hint="default" w:ascii="仿宋_GB2312" w:eastAsia="仿宋_GB2312"/>
          <w:b/>
          <w:sz w:val="52"/>
        </w:rPr>
      </w:pPr>
    </w:p>
    <w:p w14:paraId="211E3B1C">
      <w:pPr>
        <w:pStyle w:val="6"/>
        <w:jc w:val="center"/>
        <w:rPr>
          <w:rFonts w:hint="default" w:ascii="仿宋_GB2312" w:eastAsia="仿宋_GB2312"/>
          <w:b/>
          <w:sz w:val="52"/>
        </w:rPr>
      </w:pPr>
    </w:p>
    <w:p w14:paraId="4E294225">
      <w:pPr>
        <w:pStyle w:val="6"/>
        <w:jc w:val="center"/>
        <w:rPr>
          <w:rFonts w:hint="default" w:ascii="Times New Roman" w:eastAsia="Times New Roman"/>
          <w:b/>
          <w:sz w:val="44"/>
          <w:u w:val="single"/>
        </w:rPr>
      </w:pPr>
    </w:p>
    <w:p w14:paraId="08FD4D88">
      <w:pPr>
        <w:pStyle w:val="6"/>
        <w:jc w:val="center"/>
        <w:rPr>
          <w:rFonts w:hint="default" w:ascii="Times New Roman" w:eastAsia="Times New Roman"/>
          <w:b/>
          <w:sz w:val="44"/>
          <w:u w:val="single"/>
        </w:rPr>
      </w:pPr>
    </w:p>
    <w:p w14:paraId="77C2556E">
      <w:pPr>
        <w:pStyle w:val="6"/>
        <w:jc w:val="center"/>
        <w:rPr>
          <w:rFonts w:hint="default" w:ascii="Times New Roman" w:eastAsia="Times New Roman"/>
          <w:b/>
          <w:sz w:val="44"/>
          <w:u w:val="single"/>
        </w:rPr>
      </w:pPr>
    </w:p>
    <w:p w14:paraId="3C13E8C4">
      <w:pPr>
        <w:pStyle w:val="6"/>
        <w:jc w:val="center"/>
        <w:rPr>
          <w:rFonts w:hint="default" w:ascii="Times New Roman" w:eastAsia="Times New Roman"/>
          <w:b/>
          <w:sz w:val="44"/>
          <w:u w:val="single"/>
        </w:rPr>
      </w:pPr>
    </w:p>
    <w:p w14:paraId="72F60023">
      <w:pPr>
        <w:pStyle w:val="6"/>
        <w:jc w:val="center"/>
        <w:rPr>
          <w:rFonts w:hint="default" w:ascii="Times New Roman" w:eastAsia="Times New Roman"/>
          <w:b/>
          <w:sz w:val="44"/>
          <w:u w:val="single"/>
        </w:rPr>
      </w:pPr>
    </w:p>
    <w:p w14:paraId="4DD8C8AB">
      <w:pPr>
        <w:pStyle w:val="6"/>
        <w:jc w:val="center"/>
        <w:rPr>
          <w:rFonts w:hint="default" w:ascii="Times New Roman" w:eastAsia="Times New Roman"/>
          <w:b/>
          <w:sz w:val="44"/>
          <w:u w:val="single"/>
        </w:rPr>
      </w:pPr>
    </w:p>
    <w:p w14:paraId="6E09FDA7">
      <w:pPr>
        <w:pStyle w:val="6"/>
        <w:jc w:val="center"/>
        <w:rPr>
          <w:rFonts w:hint="default" w:ascii="Times New Roman" w:eastAsia="Times New Roman"/>
          <w:b/>
          <w:sz w:val="44"/>
          <w:u w:val="single"/>
        </w:rPr>
      </w:pPr>
    </w:p>
    <w:p w14:paraId="5B319544">
      <w:pPr>
        <w:pStyle w:val="6"/>
        <w:jc w:val="center"/>
        <w:rPr>
          <w:rFonts w:hint="default" w:ascii="Times New Roman" w:eastAsia="Times New Roman"/>
          <w:b/>
          <w:sz w:val="44"/>
          <w:u w:val="single"/>
        </w:rPr>
      </w:pPr>
    </w:p>
    <w:p w14:paraId="6161F43A">
      <w:pPr>
        <w:pStyle w:val="6"/>
        <w:jc w:val="center"/>
        <w:rPr>
          <w:rFonts w:hint="default" w:ascii="Times New Roman" w:eastAsia="Times New Roman"/>
          <w:b/>
          <w:sz w:val="44"/>
          <w:u w:val="single"/>
        </w:rPr>
      </w:pPr>
    </w:p>
    <w:p w14:paraId="03A7714A">
      <w:pPr>
        <w:pStyle w:val="6"/>
        <w:jc w:val="center"/>
        <w:rPr>
          <w:rFonts w:hint="default" w:ascii="Times New Roman" w:eastAsia="Times New Roman"/>
          <w:b/>
          <w:sz w:val="44"/>
          <w:u w:val="single"/>
        </w:rPr>
      </w:pPr>
    </w:p>
    <w:p w14:paraId="1884B8C1">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14:paraId="2B54A381">
      <w:pPr>
        <w:pStyle w:val="6"/>
        <w:spacing w:line="560" w:lineRule="exact"/>
        <w:rPr>
          <w:rFonts w:hint="default" w:ascii="Times New Roman" w:eastAsia="Times New Roman"/>
          <w:b/>
          <w:sz w:val="44"/>
          <w:u w:val="single"/>
        </w:rPr>
      </w:pPr>
    </w:p>
    <w:p w14:paraId="1965BE71">
      <w:pPr>
        <w:pStyle w:val="6"/>
        <w:spacing w:line="560" w:lineRule="exact"/>
        <w:rPr>
          <w:rFonts w:hint="default" w:ascii="黑体" w:eastAsia="黑体"/>
          <w:sz w:val="32"/>
        </w:rPr>
      </w:pPr>
      <w:r>
        <w:rPr>
          <w:rFonts w:ascii="黑体" w:eastAsia="黑体"/>
          <w:sz w:val="32"/>
        </w:rPr>
        <w:t>第一部分   沈阳市浑南区第五小学概况</w:t>
      </w:r>
    </w:p>
    <w:p w14:paraId="0502DF1E">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14:paraId="2576590D">
      <w:pPr>
        <w:pStyle w:val="6"/>
        <w:spacing w:line="560" w:lineRule="exact"/>
        <w:rPr>
          <w:rFonts w:hint="default" w:ascii="仿宋_GB2312" w:eastAsia="仿宋_GB2312"/>
          <w:sz w:val="32"/>
        </w:rPr>
      </w:pPr>
      <w:r>
        <w:rPr>
          <w:rFonts w:ascii="仿宋_GB2312" w:eastAsia="仿宋_GB2312"/>
          <w:sz w:val="32"/>
        </w:rPr>
        <w:t>二、决算单位构成</w:t>
      </w:r>
    </w:p>
    <w:p w14:paraId="2731C4B9">
      <w:pPr>
        <w:pStyle w:val="6"/>
        <w:spacing w:line="560" w:lineRule="exact"/>
        <w:rPr>
          <w:rFonts w:hint="default" w:ascii="黑体" w:eastAsia="黑体"/>
          <w:sz w:val="32"/>
        </w:rPr>
      </w:pPr>
      <w:r>
        <w:rPr>
          <w:rFonts w:ascii="黑体" w:eastAsia="黑体"/>
          <w:sz w:val="32"/>
        </w:rPr>
        <w:t xml:space="preserve">第二部分   </w:t>
      </w:r>
      <w:r>
        <w:rPr>
          <w:rFonts w:ascii="黑体" w:hAnsi="黑体" w:eastAsia="黑体"/>
          <w:sz w:val="32"/>
          <w:szCs w:val="32"/>
        </w:rPr>
        <w:t>沈阳市浑南区第五小学</w:t>
      </w:r>
      <w:r>
        <w:rPr>
          <w:rFonts w:ascii="黑体" w:eastAsia="黑体"/>
          <w:sz w:val="32"/>
        </w:rPr>
        <w:t>2021年决算情况说明</w:t>
      </w:r>
    </w:p>
    <w:p w14:paraId="2C0C1426">
      <w:pPr>
        <w:pStyle w:val="6"/>
        <w:spacing w:line="560" w:lineRule="exact"/>
        <w:rPr>
          <w:rFonts w:hint="default" w:ascii="仿宋_GB2312" w:eastAsia="仿宋_GB2312"/>
          <w:sz w:val="32"/>
        </w:rPr>
      </w:pPr>
      <w:r>
        <w:rPr>
          <w:rFonts w:ascii="仿宋_GB2312" w:eastAsia="仿宋_GB2312"/>
          <w:sz w:val="32"/>
        </w:rPr>
        <w:t>一、收入支出决算总体情况说明</w:t>
      </w:r>
    </w:p>
    <w:p w14:paraId="172BEE9C">
      <w:pPr>
        <w:pStyle w:val="6"/>
        <w:spacing w:line="560" w:lineRule="exact"/>
        <w:rPr>
          <w:rFonts w:hint="default" w:ascii="仿宋_GB2312" w:eastAsia="仿宋_GB2312"/>
          <w:sz w:val="32"/>
        </w:rPr>
      </w:pPr>
      <w:r>
        <w:rPr>
          <w:rFonts w:ascii="仿宋_GB2312" w:eastAsia="仿宋_GB2312"/>
          <w:sz w:val="32"/>
        </w:rPr>
        <w:t>二、财政拨款收入支出决算情况说明</w:t>
      </w:r>
    </w:p>
    <w:p w14:paraId="0346B443">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14:paraId="07C5401F">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14:paraId="0D67C181">
      <w:pPr>
        <w:pStyle w:val="6"/>
        <w:spacing w:line="560" w:lineRule="exact"/>
        <w:rPr>
          <w:rFonts w:hint="default" w:ascii="黑体" w:eastAsia="黑体"/>
          <w:sz w:val="32"/>
        </w:rPr>
      </w:pPr>
      <w:r>
        <w:rPr>
          <w:rFonts w:ascii="仿宋_GB2312" w:eastAsia="仿宋_GB2312"/>
          <w:sz w:val="32"/>
        </w:rPr>
        <w:t>五、其他重要事项的情况说明</w:t>
      </w:r>
    </w:p>
    <w:p w14:paraId="03AF0E48">
      <w:pPr>
        <w:pStyle w:val="6"/>
        <w:spacing w:line="560" w:lineRule="exact"/>
        <w:rPr>
          <w:rFonts w:hint="default" w:ascii="黑体" w:eastAsia="黑体"/>
          <w:sz w:val="32"/>
        </w:rPr>
      </w:pPr>
      <w:r>
        <w:rPr>
          <w:rFonts w:ascii="黑体" w:eastAsia="黑体"/>
          <w:sz w:val="32"/>
        </w:rPr>
        <w:t>第三部分   名词解释</w:t>
      </w:r>
    </w:p>
    <w:p w14:paraId="5A27467F">
      <w:pPr>
        <w:pStyle w:val="6"/>
        <w:spacing w:line="560" w:lineRule="exact"/>
        <w:rPr>
          <w:rFonts w:hint="default" w:ascii="黑体" w:eastAsia="黑体"/>
          <w:sz w:val="32"/>
        </w:rPr>
      </w:pPr>
      <w:r>
        <w:rPr>
          <w:rFonts w:ascii="黑体" w:eastAsia="黑体"/>
          <w:sz w:val="32"/>
        </w:rPr>
        <w:t xml:space="preserve">第四部分   </w:t>
      </w:r>
      <w:r>
        <w:rPr>
          <w:rFonts w:ascii="黑体" w:hAnsi="黑体" w:eastAsia="黑体"/>
          <w:sz w:val="32"/>
          <w:szCs w:val="32"/>
        </w:rPr>
        <w:t>沈阳市浑南区第五小学</w:t>
      </w:r>
      <w:r>
        <w:rPr>
          <w:rFonts w:ascii="黑体" w:eastAsia="黑体"/>
          <w:sz w:val="32"/>
        </w:rPr>
        <w:t>2021年决算报表</w:t>
      </w:r>
    </w:p>
    <w:p w14:paraId="288951A4">
      <w:pPr>
        <w:pStyle w:val="6"/>
        <w:spacing w:line="560" w:lineRule="exact"/>
        <w:rPr>
          <w:rFonts w:hint="default" w:ascii="仿宋_GB2312" w:eastAsia="仿宋_GB2312"/>
          <w:sz w:val="32"/>
        </w:rPr>
      </w:pPr>
      <w:r>
        <w:rPr>
          <w:rFonts w:ascii="仿宋_GB2312" w:eastAsia="仿宋_GB2312"/>
          <w:sz w:val="32"/>
        </w:rPr>
        <w:t>一、2021年度收入支出决算总表</w:t>
      </w:r>
    </w:p>
    <w:p w14:paraId="689D12D0">
      <w:pPr>
        <w:pStyle w:val="6"/>
        <w:spacing w:line="560" w:lineRule="exact"/>
        <w:rPr>
          <w:rFonts w:hint="default" w:ascii="仿宋_GB2312" w:eastAsia="仿宋_GB2312"/>
          <w:sz w:val="32"/>
        </w:rPr>
      </w:pPr>
      <w:r>
        <w:rPr>
          <w:rFonts w:ascii="仿宋_GB2312" w:eastAsia="仿宋_GB2312"/>
          <w:sz w:val="32"/>
        </w:rPr>
        <w:t>二、2021年度收入决算表</w:t>
      </w:r>
    </w:p>
    <w:p w14:paraId="5346B951">
      <w:pPr>
        <w:pStyle w:val="6"/>
        <w:spacing w:line="560" w:lineRule="exact"/>
        <w:rPr>
          <w:rFonts w:hint="default" w:ascii="仿宋_GB2312" w:eastAsia="仿宋_GB2312"/>
          <w:sz w:val="32"/>
        </w:rPr>
      </w:pPr>
      <w:r>
        <w:rPr>
          <w:rFonts w:ascii="仿宋_GB2312" w:eastAsia="仿宋_GB2312"/>
          <w:sz w:val="32"/>
        </w:rPr>
        <w:t>三、2021年度支出决算表</w:t>
      </w:r>
    </w:p>
    <w:p w14:paraId="5D4D7C8F">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14:paraId="24AEC00D">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14:paraId="7EABCC37">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14:paraId="265D0415">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14:paraId="208A85C6">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14:paraId="3FE485BE">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14:paraId="769A628C">
      <w:pPr>
        <w:pStyle w:val="6"/>
        <w:spacing w:line="560" w:lineRule="exact"/>
        <w:jc w:val="center"/>
        <w:rPr>
          <w:rFonts w:hint="default"/>
          <w:b/>
          <w:sz w:val="36"/>
        </w:rPr>
      </w:pPr>
    </w:p>
    <w:p w14:paraId="43D4FBE1">
      <w:pPr>
        <w:pStyle w:val="6"/>
        <w:spacing w:line="560" w:lineRule="exact"/>
        <w:jc w:val="center"/>
        <w:rPr>
          <w:rFonts w:hint="default"/>
          <w:b/>
          <w:sz w:val="36"/>
        </w:rPr>
      </w:pPr>
      <w:r>
        <w:rPr>
          <w:b/>
          <w:sz w:val="36"/>
        </w:rPr>
        <w:t>第一部分 沈阳市浑南区第五小学概况</w:t>
      </w:r>
    </w:p>
    <w:p w14:paraId="1385F1D1">
      <w:pPr>
        <w:pStyle w:val="6"/>
        <w:spacing w:line="560" w:lineRule="exact"/>
        <w:ind w:firstLine="640"/>
        <w:rPr>
          <w:rFonts w:hint="default" w:ascii="黑体" w:eastAsia="黑体"/>
          <w:sz w:val="32"/>
        </w:rPr>
      </w:pPr>
    </w:p>
    <w:p w14:paraId="08F0E443">
      <w:pPr>
        <w:pStyle w:val="6"/>
        <w:spacing w:line="560" w:lineRule="exact"/>
        <w:ind w:firstLine="640"/>
        <w:rPr>
          <w:rFonts w:hint="default" w:ascii="黑体" w:eastAsia="黑体"/>
          <w:sz w:val="32"/>
        </w:rPr>
      </w:pPr>
      <w:r>
        <w:rPr>
          <w:rFonts w:ascii="黑体" w:eastAsia="黑体"/>
          <w:sz w:val="32"/>
        </w:rPr>
        <w:t>一、主要职责</w:t>
      </w:r>
    </w:p>
    <w:p w14:paraId="6AED8DCD">
      <w:pPr>
        <w:widowControl/>
        <w:spacing w:line="360" w:lineRule="auto"/>
        <w:ind w:firstLine="640" w:firstLineChars="200"/>
        <w:jc w:val="left"/>
        <w:rPr>
          <w:rFonts w:hint="default" w:ascii="仿宋_GB2312" w:hAnsi="仿宋_GB2312" w:eastAsia="仿宋_GB2312" w:cs="仿宋_GB2312"/>
          <w:bCs/>
          <w:sz w:val="32"/>
          <w:szCs w:val="32"/>
        </w:rPr>
      </w:pPr>
      <w:r>
        <w:rPr>
          <w:rFonts w:ascii="仿宋_GB2312" w:hAnsi="仿宋_GB2312" w:eastAsia="仿宋_GB2312" w:cs="仿宋_GB2312"/>
          <w:bCs/>
          <w:sz w:val="32"/>
          <w:szCs w:val="32"/>
        </w:rPr>
        <w:t>（一）组织教育教学、科学研究活动，保证教育教学质量。维护教职工利益，保障教职工合法权益，以教职工和学生的人生幸福和生命质量作为重点。</w:t>
      </w:r>
    </w:p>
    <w:p w14:paraId="2CEA1976">
      <w:pPr>
        <w:widowControl/>
        <w:spacing w:line="360" w:lineRule="auto"/>
        <w:ind w:firstLine="640" w:firstLineChars="200"/>
        <w:jc w:val="left"/>
        <w:rPr>
          <w:rFonts w:hint="default" w:ascii="仿宋_GB2312" w:hAnsi="仿宋_GB2312" w:eastAsia="仿宋_GB2312" w:cs="仿宋_GB2312"/>
          <w:bCs/>
          <w:sz w:val="32"/>
          <w:szCs w:val="32"/>
        </w:rPr>
      </w:pPr>
      <w:r>
        <w:rPr>
          <w:rFonts w:ascii="仿宋_GB2312" w:hAnsi="仿宋_GB2312" w:eastAsia="仿宋_GB2312" w:cs="仿宋_GB2312"/>
          <w:bCs/>
          <w:sz w:val="32"/>
          <w:szCs w:val="32"/>
        </w:rPr>
        <w:t>（二）制定学校发展规划，并抓好组织实施和落实情况。</w:t>
      </w:r>
    </w:p>
    <w:p w14:paraId="1F8F089B">
      <w:pPr>
        <w:widowControl/>
        <w:spacing w:line="360" w:lineRule="auto"/>
        <w:ind w:firstLine="640" w:firstLineChars="200"/>
        <w:jc w:val="left"/>
        <w:rPr>
          <w:rFonts w:hint="default" w:ascii="仿宋_GB2312" w:hAnsi="仿宋_GB2312" w:eastAsia="仿宋_GB2312" w:cs="仿宋_GB2312"/>
          <w:bCs/>
          <w:sz w:val="32"/>
          <w:szCs w:val="32"/>
        </w:rPr>
      </w:pPr>
      <w:r>
        <w:rPr>
          <w:rFonts w:ascii="仿宋_GB2312" w:hAnsi="仿宋_GB2312" w:eastAsia="仿宋_GB2312" w:cs="仿宋_GB2312"/>
          <w:bCs/>
          <w:sz w:val="32"/>
          <w:szCs w:val="32"/>
        </w:rPr>
        <w:t>（三）科学管理、合理使用学校的设施和经费，并积极筹措办学资金，改善办学条件。</w:t>
      </w:r>
    </w:p>
    <w:p w14:paraId="57048AC3">
      <w:pPr>
        <w:pStyle w:val="6"/>
        <w:spacing w:line="560" w:lineRule="atLeast"/>
        <w:ind w:firstLine="640"/>
        <w:rPr>
          <w:rFonts w:hint="default" w:ascii="仿宋_GB2312" w:hAnsi="仿宋_GB2312" w:eastAsia="仿宋_GB2312" w:cs="仿宋_GB2312"/>
          <w:bCs/>
          <w:sz w:val="32"/>
          <w:szCs w:val="32"/>
        </w:rPr>
      </w:pPr>
      <w:r>
        <w:rPr>
          <w:rFonts w:ascii="仿宋_GB2312" w:hAnsi="仿宋_GB2312" w:eastAsia="仿宋_GB2312" w:cs="仿宋_GB2312"/>
          <w:bCs/>
          <w:sz w:val="32"/>
          <w:szCs w:val="32"/>
        </w:rPr>
        <w:t>（四）依法接受各级教育行政部门的检查指导和人民群众的监督。</w:t>
      </w:r>
    </w:p>
    <w:p w14:paraId="32E3005F">
      <w:pPr>
        <w:ind w:left="359" w:leftChars="171" w:firstLine="313" w:firstLineChars="98"/>
        <w:rPr>
          <w:rFonts w:hint="default" w:ascii="仿宋_GB2312" w:hAnsi="仿宋_GB2312" w:eastAsia="仿宋_GB2312" w:cs="仿宋_GB2312"/>
          <w:bCs/>
          <w:sz w:val="32"/>
          <w:szCs w:val="32"/>
        </w:rPr>
      </w:pPr>
      <w:r>
        <w:rPr>
          <w:rFonts w:ascii="仿宋_GB2312" w:hAnsi="仿宋_GB2312" w:eastAsia="仿宋_GB2312" w:cs="仿宋_GB2312"/>
          <w:bCs/>
          <w:sz w:val="32"/>
          <w:szCs w:val="32"/>
        </w:rPr>
        <w:t>（五）财务管理方面：</w:t>
      </w:r>
    </w:p>
    <w:p w14:paraId="748DC60F">
      <w:pPr>
        <w:widowControl/>
        <w:wordWrap w:val="0"/>
        <w:ind w:firstLine="560"/>
        <w:jc w:val="left"/>
        <w:rPr>
          <w:rFonts w:hint="default" w:ascii="仿宋_GB2312" w:hAnsi="仿宋_GB2312" w:eastAsia="仿宋_GB2312" w:cs="仿宋_GB2312"/>
          <w:bCs/>
          <w:sz w:val="32"/>
          <w:szCs w:val="32"/>
        </w:rPr>
      </w:pPr>
      <w:r>
        <w:rPr>
          <w:rFonts w:ascii="仿宋_GB2312" w:hAnsi="仿宋_GB2312" w:eastAsia="仿宋_GB2312" w:cs="仿宋_GB2312"/>
          <w:bCs/>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6601A233">
      <w:pPr>
        <w:widowControl/>
        <w:wordWrap w:val="0"/>
        <w:ind w:firstLine="560"/>
        <w:jc w:val="left"/>
        <w:rPr>
          <w:rFonts w:hint="default" w:ascii="仿宋_GB2312" w:hAnsi="仿宋_GB2312" w:eastAsia="仿宋_GB2312" w:cs="仿宋_GB2312"/>
          <w:bCs/>
          <w:sz w:val="32"/>
          <w:szCs w:val="32"/>
        </w:rPr>
      </w:pPr>
      <w:r>
        <w:rPr>
          <w:rFonts w:ascii="仿宋_GB2312" w:hAnsi="仿宋_GB2312" w:eastAsia="仿宋_GB2312" w:cs="仿宋_GB2312"/>
          <w:bCs/>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7DA32C7F">
      <w:pPr>
        <w:pStyle w:val="6"/>
        <w:spacing w:line="560" w:lineRule="exact"/>
        <w:ind w:firstLine="640"/>
        <w:rPr>
          <w:rFonts w:hint="default" w:ascii="仿宋_GB2312" w:eastAsia="仿宋_GB2312"/>
          <w:bCs/>
          <w:sz w:val="32"/>
        </w:rPr>
      </w:pPr>
      <w:r>
        <w:rPr>
          <w:rFonts w:ascii="黑体" w:eastAsia="黑体"/>
          <w:sz w:val="32"/>
        </w:rPr>
        <w:t>二、决算单位构成</w:t>
      </w:r>
    </w:p>
    <w:p w14:paraId="247D3915">
      <w:pPr>
        <w:pStyle w:val="6"/>
        <w:spacing w:line="560" w:lineRule="exact"/>
        <w:ind w:firstLine="960" w:firstLineChars="300"/>
        <w:rPr>
          <w:rFonts w:hint="default" w:ascii="仿宋_GB2312" w:hAnsi="仿宋_GB2312" w:eastAsia="仿宋_GB2312" w:cs="仿宋_GB2312"/>
          <w:bCs/>
          <w:sz w:val="32"/>
          <w:szCs w:val="32"/>
        </w:rPr>
      </w:pPr>
      <w:r>
        <w:rPr>
          <w:rFonts w:ascii="仿宋_GB2312" w:hAnsi="仿宋_GB2312" w:eastAsia="仿宋_GB2312" w:cs="仿宋_GB2312"/>
          <w:bCs/>
          <w:sz w:val="32"/>
          <w:szCs w:val="32"/>
        </w:rPr>
        <w:t>沈阳市浑南区第五小学是纳入浑南区教育局2021年决算编制范围的二级预算单位,本单位无下设机构。</w:t>
      </w:r>
    </w:p>
    <w:p w14:paraId="09536078">
      <w:pPr>
        <w:pStyle w:val="6"/>
        <w:spacing w:line="560" w:lineRule="exact"/>
        <w:rPr>
          <w:rFonts w:hint="default"/>
          <w:b/>
          <w:sz w:val="36"/>
        </w:rPr>
      </w:pPr>
    </w:p>
    <w:p w14:paraId="108BFA9A">
      <w:pPr>
        <w:pStyle w:val="6"/>
        <w:spacing w:line="560" w:lineRule="exact"/>
        <w:jc w:val="center"/>
        <w:rPr>
          <w:rFonts w:hint="default"/>
          <w:b/>
          <w:sz w:val="36"/>
        </w:rPr>
      </w:pPr>
      <w:r>
        <w:rPr>
          <w:b/>
          <w:sz w:val="36"/>
        </w:rPr>
        <w:t>第二部分 沈阳市浑南区第五小学2021年决算情况说明</w:t>
      </w:r>
    </w:p>
    <w:p w14:paraId="412A740F">
      <w:pPr>
        <w:spacing w:line="540" w:lineRule="exact"/>
        <w:ind w:firstLine="627" w:firstLineChars="196"/>
        <w:rPr>
          <w:rFonts w:hint="default" w:ascii="黑体" w:eastAsia="黑体"/>
          <w:sz w:val="32"/>
        </w:rPr>
      </w:pPr>
    </w:p>
    <w:p w14:paraId="4644CDBA">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14:paraId="031B2E5A">
      <w:pPr>
        <w:spacing w:line="540" w:lineRule="exact"/>
        <w:ind w:firstLine="630" w:firstLineChars="196"/>
        <w:rPr>
          <w:rFonts w:hint="default" w:ascii="楷体_GB2312" w:eastAsia="楷体_GB2312"/>
          <w:b/>
          <w:sz w:val="32"/>
        </w:rPr>
      </w:pPr>
      <w:r>
        <w:rPr>
          <w:rFonts w:ascii="楷体_GB2312" w:eastAsia="楷体_GB2312"/>
          <w:b/>
          <w:sz w:val="32"/>
        </w:rPr>
        <w:t>（一）收入总计782.21万元，包括：</w:t>
      </w:r>
    </w:p>
    <w:p w14:paraId="5DEE459F">
      <w:pPr>
        <w:pStyle w:val="6"/>
        <w:spacing w:line="560" w:lineRule="exact"/>
        <w:ind w:firstLine="660"/>
        <w:rPr>
          <w:rFonts w:hint="default" w:ascii="仿宋_GB2312" w:eastAsia="仿宋_GB2312"/>
          <w:sz w:val="32"/>
        </w:rPr>
      </w:pPr>
      <w:r>
        <w:rPr>
          <w:rFonts w:ascii="仿宋_GB2312" w:eastAsia="仿宋_GB2312"/>
          <w:sz w:val="32"/>
        </w:rPr>
        <w:t>1.财政拨款收入678.75万元，占收入总计的86.77%。其中：一般公共预算财政拨款收入678.75万元，政府性基金收入0万元，国有资本经营预算财政拨款收入0万元。</w:t>
      </w:r>
    </w:p>
    <w:p w14:paraId="5DEF1245">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.其他收入57.27万元，占收入总计的7.32%。主要是绩效工资等收入。</w:t>
      </w:r>
    </w:p>
    <w:p w14:paraId="599F34FD">
      <w:pPr>
        <w:spacing w:line="54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.上年结转和结余46.19万元，占收入总计的5.91%。</w:t>
      </w:r>
      <w:r>
        <w:rPr>
          <w:rFonts w:ascii="仿宋_GB2312" w:hAnsi="宋体" w:eastAsia="仿宋_GB2312"/>
          <w:sz w:val="32"/>
          <w:szCs w:val="32"/>
        </w:rPr>
        <w:t>主要是</w:t>
      </w:r>
      <w:r>
        <w:rPr>
          <w:rFonts w:ascii="仿宋_GB2312" w:eastAsia="仿宋_GB2312"/>
          <w:sz w:val="32"/>
        </w:rPr>
        <w:t>弹性离校、市转移支付普惠性课后服务费46.19万元等。</w:t>
      </w:r>
    </w:p>
    <w:p w14:paraId="6A6E30AE">
      <w:pPr>
        <w:spacing w:line="540" w:lineRule="exact"/>
        <w:ind w:firstLine="660"/>
        <w:rPr>
          <w:rFonts w:hint="default" w:ascii="仿宋_GB2312" w:hAnsi="宋体" w:eastAsia="仿宋_GB2312"/>
          <w:sz w:val="32"/>
          <w:szCs w:val="32"/>
        </w:rPr>
      </w:pPr>
      <w:r>
        <w:rPr>
          <w:rFonts w:ascii="仿宋_GB2312" w:eastAsia="仿宋_GB2312"/>
          <w:sz w:val="32"/>
        </w:rPr>
        <w:t>与上年相比，今年收入增加145.47万元，增长22.85%，</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教师人数增加，人员经费增加，</w:t>
      </w:r>
      <w:r>
        <w:rPr>
          <w:rFonts w:ascii="黑体" w:hAnsi="黑体" w:eastAsia="黑体"/>
          <w:sz w:val="32"/>
          <w:szCs w:val="32"/>
        </w:rPr>
        <w:t>二是</w:t>
      </w:r>
      <w:r>
        <w:rPr>
          <w:rFonts w:ascii="仿宋_GB2312" w:hAnsi="宋体" w:eastAsia="仿宋_GB2312"/>
          <w:sz w:val="32"/>
          <w:szCs w:val="32"/>
        </w:rPr>
        <w:t>专项资金增加。</w:t>
      </w:r>
    </w:p>
    <w:p w14:paraId="03B6894C">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支出总计782.21万元，包括：</w:t>
      </w:r>
    </w:p>
    <w:p w14:paraId="2C6CF446">
      <w:pPr>
        <w:pStyle w:val="6"/>
        <w:spacing w:line="560" w:lineRule="exact"/>
        <w:ind w:firstLine="640" w:firstLineChars="200"/>
        <w:rPr>
          <w:rFonts w:hint="default" w:ascii="黑体" w:hAnsi="黑体" w:eastAsia="黑体" w:cs="黑体"/>
          <w:b/>
          <w:bCs/>
          <w:color w:val="FF0000"/>
          <w:sz w:val="32"/>
          <w:szCs w:val="32"/>
        </w:rPr>
      </w:pPr>
      <w:r>
        <w:rPr>
          <w:rFonts w:ascii="仿宋_GB2312" w:eastAsia="仿宋_GB2312"/>
          <w:sz w:val="32"/>
        </w:rPr>
        <w:t>1.基本支出538.07万元，占支出总计的68.79%。主要是为保障机构正常运转、完成日常工作任务而发生的各项支出，其中：工资福利支出370.17万元，对个人和家庭的补助支出0.03万元，商品和服务支出148.61万元，资本性支出19.26万元。</w:t>
      </w:r>
    </w:p>
    <w:p w14:paraId="72EE5104">
      <w:pPr>
        <w:pStyle w:val="6"/>
        <w:spacing w:line="560" w:lineRule="exact"/>
        <w:ind w:firstLine="660"/>
        <w:rPr>
          <w:rFonts w:hint="default" w:ascii="仿宋_GB2312" w:eastAsia="仿宋_GB2312"/>
          <w:sz w:val="32"/>
        </w:rPr>
      </w:pPr>
      <w:r>
        <w:rPr>
          <w:rFonts w:ascii="仿宋_GB2312" w:eastAsia="仿宋_GB2312"/>
          <w:sz w:val="32"/>
        </w:rPr>
        <w:t>2.项目支出244.14 万元，占支出总计的31.21%。</w:t>
      </w:r>
      <w:bookmarkStart w:id="0" w:name="_GoBack"/>
      <w:bookmarkEnd w:id="0"/>
      <w:r>
        <w:rPr>
          <w:rFonts w:hint="eastAsia" w:ascii="仿宋_GB2312" w:eastAsia="仿宋_GB2312"/>
          <w:sz w:val="32"/>
          <w:lang w:eastAsia="zh-CN"/>
        </w:rPr>
        <w:t>主要</w:t>
      </w:r>
      <w:r>
        <w:rPr>
          <w:rFonts w:ascii="仿宋_GB2312" w:eastAsia="仿宋_GB2312"/>
          <w:sz w:val="32"/>
        </w:rPr>
        <w:t>包括小学教育支出142.23万元，其他普通教育支出57.27万元，教育费附加安排的支出44.63万元。</w:t>
      </w:r>
    </w:p>
    <w:p w14:paraId="0EE55607">
      <w:pPr>
        <w:spacing w:line="540" w:lineRule="exact"/>
        <w:ind w:firstLine="660"/>
        <w:rPr>
          <w:rFonts w:hint="default" w:ascii="仿宋_GB2312" w:hAnsi="宋体" w:eastAsia="仿宋_GB2312"/>
          <w:sz w:val="32"/>
          <w:szCs w:val="32"/>
        </w:rPr>
      </w:pPr>
      <w:r>
        <w:rPr>
          <w:rFonts w:ascii="仿宋_GB2312" w:eastAsia="仿宋_GB2312"/>
          <w:sz w:val="32"/>
        </w:rPr>
        <w:t>与上年相比，今年支出增加145.47万元，增长22.85%，</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教师人数增加，人员类支出增加，</w:t>
      </w:r>
      <w:r>
        <w:rPr>
          <w:rFonts w:ascii="黑体" w:hAnsi="黑体" w:eastAsia="黑体"/>
          <w:sz w:val="32"/>
          <w:szCs w:val="32"/>
        </w:rPr>
        <w:t>二是</w:t>
      </w:r>
      <w:r>
        <w:rPr>
          <w:rFonts w:ascii="仿宋_GB2312" w:hAnsi="宋体" w:eastAsia="仿宋_GB2312"/>
          <w:sz w:val="32"/>
          <w:szCs w:val="32"/>
        </w:rPr>
        <w:t>专项资金增加，支出就增加。</w:t>
      </w:r>
    </w:p>
    <w:p w14:paraId="4EE635CE">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14:paraId="67DE003C">
      <w:pPr>
        <w:pStyle w:val="6"/>
        <w:spacing w:line="560" w:lineRule="exact"/>
        <w:ind w:firstLine="660"/>
        <w:rPr>
          <w:rFonts w:hint="default" w:ascii="仿宋_GB2312" w:eastAsia="仿宋_GB2312"/>
          <w:sz w:val="32"/>
        </w:rPr>
      </w:pPr>
      <w:r>
        <w:rPr>
          <w:rFonts w:ascii="仿宋_GB2312" w:eastAsia="仿宋_GB2312"/>
          <w:sz w:val="32"/>
        </w:rPr>
        <w:t>主要是专用基金等原因形成的结余。与上年相比，今年结转结余减少46.19万元，降低100%，主要原因：</w:t>
      </w:r>
      <w:r>
        <w:rPr>
          <w:rFonts w:ascii="黑体" w:eastAsia="黑体"/>
          <w:sz w:val="32"/>
        </w:rPr>
        <w:t>专项资金未产生结转结余</w:t>
      </w:r>
      <w:r>
        <w:rPr>
          <w:rFonts w:ascii="仿宋_GB2312" w:eastAsia="仿宋_GB2312"/>
          <w:sz w:val="32"/>
        </w:rPr>
        <w:t>。</w:t>
      </w:r>
      <w:r>
        <w:rPr>
          <w:rFonts w:ascii="黑体" w:hAnsi="黑体" w:eastAsia="黑体" w:cs="黑体"/>
          <w:b/>
          <w:bCs/>
          <w:color w:val="FF0000"/>
          <w:sz w:val="32"/>
          <w:szCs w:val="32"/>
        </w:rPr>
        <w:t xml:space="preserve"> </w:t>
      </w:r>
    </w:p>
    <w:p w14:paraId="2EDEC8A9">
      <w:pPr>
        <w:pStyle w:val="6"/>
        <w:numPr>
          <w:ilvl w:val="0"/>
          <w:numId w:val="2"/>
        </w:numPr>
        <w:spacing w:line="560" w:lineRule="exact"/>
        <w:ind w:firstLine="660"/>
        <w:rPr>
          <w:rFonts w:hint="default" w:ascii="黑体" w:eastAsia="黑体"/>
          <w:sz w:val="32"/>
        </w:rPr>
      </w:pPr>
      <w:r>
        <w:rPr>
          <w:rFonts w:ascii="黑体" w:eastAsia="黑体"/>
          <w:sz w:val="32"/>
        </w:rPr>
        <w:t>财政拨款收入支出决算情况说明</w:t>
      </w:r>
    </w:p>
    <w:p w14:paraId="0C748E9F">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14:paraId="70E4953C">
      <w:pPr>
        <w:pStyle w:val="6"/>
        <w:spacing w:line="560" w:lineRule="exact"/>
        <w:ind w:firstLine="660"/>
        <w:rPr>
          <w:rFonts w:hint="default" w:ascii="仿宋_GB2312" w:eastAsia="仿宋_GB2312"/>
          <w:sz w:val="32"/>
        </w:rPr>
      </w:pPr>
      <w:r>
        <w:rPr>
          <w:rFonts w:ascii="仿宋_GB2312" w:eastAsia="仿宋_GB2312"/>
          <w:sz w:val="32"/>
        </w:rPr>
        <w:t>2021年度财政拨款支出782.21万元，其中：基本支出538.07万元，项目支出244.14 万元。与上年相比，今年收入增加145.47万元，增长22.85%，主要原因：人员经费和专项经费增加，支出就增加。与年初预算390.31万相比，2021年度财政拨款支出完成年初预算的200.4%，其中：基本支出完成年初预算的137.86%，学校没有单独安排项目支出的年初预算，由教育局统一安排。</w:t>
      </w:r>
    </w:p>
    <w:p w14:paraId="10ACE7C1">
      <w:pPr>
        <w:spacing w:line="560" w:lineRule="exact"/>
        <w:ind w:left="63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14:paraId="17627437">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ascii="仿宋_GB2312" w:eastAsia="仿宋_GB2312"/>
          <w:sz w:val="32"/>
        </w:rPr>
        <w:t>724.94万</w:t>
      </w:r>
      <w:r>
        <w:rPr>
          <w:rFonts w:ascii="仿宋_GB2312" w:hAnsi="宋体" w:eastAsia="仿宋_GB2312"/>
          <w:sz w:val="32"/>
          <w:szCs w:val="32"/>
        </w:rPr>
        <w:t>元，按支出功能分类科目分，包括：教育支出679.46万元，占93.72%；社会保障就业支出26.14万元，占3.61%；卫生健康支出19.34万元，占2.67%。</w:t>
      </w:r>
    </w:p>
    <w:p w14:paraId="0B38D937">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1.教育支出679.46万元，具体包括：</w:t>
      </w:r>
    </w:p>
    <w:p w14:paraId="265DEDAC">
      <w:pPr>
        <w:pStyle w:val="6"/>
        <w:spacing w:line="560" w:lineRule="atLeast"/>
        <w:ind w:firstLine="660"/>
        <w:rPr>
          <w:rFonts w:hint="default" w:ascii="仿宋_GB2312" w:eastAsia="仿宋_GB2312"/>
          <w:sz w:val="32"/>
          <w:szCs w:val="32"/>
        </w:rPr>
      </w:pPr>
      <w:r>
        <w:rPr>
          <w:rFonts w:ascii="仿宋_GB2312" w:eastAsia="仿宋_GB2312"/>
          <w:sz w:val="32"/>
          <w:szCs w:val="32"/>
        </w:rPr>
        <w:t>（1）小学教育634.83万元，主要包括工资福利支出324.7万元，商品服务支出269.27万元，对个人和家庭补助支出0.05万元，资本性支出40.81万元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18B8262F">
      <w:pPr>
        <w:spacing w:line="560" w:lineRule="exact"/>
        <w:ind w:firstLine="660"/>
        <w:rPr>
          <w:rFonts w:hint="default" w:ascii="仿宋_GB2312" w:eastAsia="仿宋_GB2312"/>
          <w:sz w:val="32"/>
          <w:szCs w:val="32"/>
        </w:rPr>
      </w:pPr>
      <w:r>
        <w:rPr>
          <w:rFonts w:ascii="仿宋_GB2312" w:hAnsi="宋体" w:eastAsia="仿宋_GB2312"/>
          <w:sz w:val="32"/>
          <w:szCs w:val="32"/>
        </w:rPr>
        <w:t>（2）</w:t>
      </w:r>
      <w:r>
        <w:rPr>
          <w:rFonts w:ascii="仿宋_GB2312" w:eastAsia="仿宋_GB2312"/>
          <w:sz w:val="32"/>
          <w:szCs w:val="32"/>
        </w:rPr>
        <w:t>其他教育费附加安排的支出44.63万元，主要是商品服务支出42.63万元，对个人和家庭补助支出0.06支出,资本性支1.95万元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616848E4">
      <w:pPr>
        <w:spacing w:line="540" w:lineRule="exact"/>
        <w:ind w:firstLine="640" w:firstLineChars="200"/>
        <w:outlineLvl w:val="2"/>
        <w:rPr>
          <w:rFonts w:hint="default" w:ascii="仿宋_GB2312" w:eastAsia="仿宋_GB2312"/>
          <w:sz w:val="32"/>
          <w:szCs w:val="32"/>
        </w:rPr>
      </w:pPr>
      <w:r>
        <w:rPr>
          <w:rFonts w:hint="default" w:ascii="仿宋_GB2312" w:hAnsi="宋体" w:eastAsia="仿宋_GB2312"/>
          <w:sz w:val="32"/>
          <w:szCs w:val="32"/>
        </w:rPr>
        <w:t>2.社会保障和就业支出</w:t>
      </w:r>
      <w:r>
        <w:rPr>
          <w:rFonts w:ascii="仿宋_GB2312" w:hAnsi="宋体" w:eastAsia="仿宋_GB2312"/>
          <w:sz w:val="32"/>
          <w:szCs w:val="32"/>
        </w:rPr>
        <w:t>44.63</w:t>
      </w:r>
      <w:r>
        <w:rPr>
          <w:rFonts w:hint="default" w:ascii="仿宋_GB2312" w:hAnsi="宋体" w:eastAsia="仿宋_GB2312"/>
          <w:sz w:val="32"/>
          <w:szCs w:val="32"/>
        </w:rPr>
        <w:t>万元，</w:t>
      </w:r>
      <w:r>
        <w:rPr>
          <w:rFonts w:ascii="仿宋_GB2312" w:eastAsia="仿宋_GB2312"/>
          <w:sz w:val="32"/>
          <w:szCs w:val="32"/>
        </w:rPr>
        <w:t>包括：工资福利支出26.14万元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5586F8D1">
      <w:pPr>
        <w:pStyle w:val="6"/>
        <w:spacing w:line="560" w:lineRule="atLeast"/>
        <w:ind w:firstLine="660"/>
        <w:rPr>
          <w:rFonts w:hint="default" w:ascii="仿宋_GB2312" w:eastAsia="仿宋_GB2312"/>
          <w:sz w:val="32"/>
          <w:szCs w:val="32"/>
        </w:rPr>
      </w:pPr>
      <w:r>
        <w:rPr>
          <w:rFonts w:hint="default" w:ascii="仿宋_GB2312" w:eastAsia="仿宋_GB2312"/>
          <w:sz w:val="32"/>
          <w:szCs w:val="32"/>
        </w:rPr>
        <w:t>3.卫生健康支出</w:t>
      </w:r>
      <w:r>
        <w:rPr>
          <w:rFonts w:ascii="仿宋_GB2312" w:eastAsia="仿宋_GB2312"/>
          <w:sz w:val="32"/>
          <w:szCs w:val="32"/>
        </w:rPr>
        <w:t>19.34</w:t>
      </w:r>
      <w:r>
        <w:rPr>
          <w:rFonts w:hint="default" w:ascii="仿宋_GB2312" w:eastAsia="仿宋_GB2312"/>
          <w:sz w:val="32"/>
          <w:szCs w:val="32"/>
        </w:rPr>
        <w:t>万元，</w:t>
      </w:r>
      <w:r>
        <w:rPr>
          <w:rFonts w:ascii="仿宋_GB2312" w:eastAsia="仿宋_GB2312"/>
          <w:sz w:val="32"/>
          <w:szCs w:val="32"/>
        </w:rPr>
        <w:t>包括：工资福利支出19.34万元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14:paraId="1C82DA67">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r>
        <w:rPr>
          <w:rFonts w:ascii="黑体" w:hAnsi="黑体" w:eastAsia="黑体" w:cs="黑体"/>
          <w:b/>
          <w:color w:val="FF0000"/>
          <w:sz w:val="32"/>
          <w:szCs w:val="32"/>
        </w:rPr>
        <w:t xml:space="preserve">  </w:t>
      </w:r>
    </w:p>
    <w:p w14:paraId="517F5A65">
      <w:pPr>
        <w:spacing w:line="560" w:lineRule="exact"/>
        <w:ind w:firstLine="660"/>
        <w:rPr>
          <w:rFonts w:hint="default" w:ascii="仿宋_GB2312" w:hAnsi="宋体" w:eastAsia="仿宋_GB2312"/>
          <w:sz w:val="32"/>
          <w:szCs w:val="32"/>
        </w:rPr>
      </w:pPr>
      <w:r>
        <w:rPr>
          <w:rFonts w:hint="default" w:ascii="仿宋_GB2312" w:hAnsi="宋体" w:eastAsia="仿宋_GB2312"/>
          <w:sz w:val="32"/>
          <w:szCs w:val="32"/>
        </w:rPr>
        <w:t>本年未发生此项资金</w:t>
      </w:r>
    </w:p>
    <w:p w14:paraId="6A428D63">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14:paraId="6F09F54D">
      <w:pPr>
        <w:spacing w:line="560" w:lineRule="exact"/>
        <w:ind w:left="660"/>
        <w:rPr>
          <w:rFonts w:hint="default" w:ascii="仿宋_GB2312" w:hAnsi="宋体" w:eastAsia="仿宋_GB2312"/>
          <w:sz w:val="32"/>
          <w:szCs w:val="32"/>
        </w:rPr>
      </w:pPr>
      <w:r>
        <w:rPr>
          <w:rFonts w:hint="default" w:ascii="仿宋_GB2312" w:hAnsi="宋体" w:eastAsia="仿宋_GB2312"/>
          <w:sz w:val="32"/>
          <w:szCs w:val="32"/>
        </w:rPr>
        <w:t>本年未发生此项资金</w:t>
      </w:r>
    </w:p>
    <w:p w14:paraId="086B9A82">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14:paraId="69FE89F6">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14:paraId="3ED17FA9">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14:paraId="0EF30969">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14:paraId="5A691911">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14:paraId="106F67D6">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14:paraId="5BFBA253">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14:paraId="364E5188">
      <w:pPr>
        <w:spacing w:line="540" w:lineRule="exact"/>
        <w:ind w:firstLine="645"/>
        <w:rPr>
          <w:rFonts w:hint="default" w:ascii="黑体" w:eastAsia="黑体"/>
          <w:sz w:val="32"/>
        </w:rPr>
      </w:pPr>
      <w:r>
        <w:rPr>
          <w:rFonts w:ascii="黑体" w:eastAsia="黑体"/>
          <w:sz w:val="32"/>
        </w:rPr>
        <w:t>四、一般公共预算财政拨款基本支出决算情况说明</w:t>
      </w:r>
    </w:p>
    <w:p w14:paraId="30D54E7A">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538.07万元，其中：人员经费370.2万元，主要包括基本工资、津贴补贴、奖金、其他社会保障缴费、机关事业单位基本养老保险缴费、其他工资福利支出、离休费、退休费、抚恤金、生活补助、奖励金、住房公积金、采暖补贴、其他对个人和家庭补助的支出；日常公用经费167.87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14:paraId="2155CDEA">
      <w:pPr>
        <w:pStyle w:val="6"/>
        <w:spacing w:line="560" w:lineRule="exact"/>
        <w:ind w:firstLine="640"/>
        <w:rPr>
          <w:rFonts w:hint="default" w:ascii="黑体" w:eastAsia="黑体"/>
          <w:sz w:val="32"/>
        </w:rPr>
      </w:pPr>
      <w:r>
        <w:rPr>
          <w:rFonts w:ascii="黑体" w:eastAsia="黑体"/>
          <w:sz w:val="32"/>
        </w:rPr>
        <w:t>五、其他重要事项的情况说明</w:t>
      </w:r>
    </w:p>
    <w:p w14:paraId="38E9965B">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14:paraId="2E7C670A">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2021年机关运行经费支出0万元，与上年持平，主要原因是本单位属于事业单位，无机关运行经费。</w:t>
      </w:r>
    </w:p>
    <w:p w14:paraId="67638F42">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政府采购支出情况。</w:t>
      </w:r>
    </w:p>
    <w:p w14:paraId="49AC3D86">
      <w:pPr>
        <w:pStyle w:val="6"/>
        <w:spacing w:line="560" w:lineRule="exact"/>
        <w:ind w:firstLine="640" w:firstLineChars="20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w:t>
      </w:r>
    </w:p>
    <w:p w14:paraId="79BF4D47">
      <w:pPr>
        <w:pStyle w:val="6"/>
        <w:spacing w:line="560" w:lineRule="exact"/>
        <w:ind w:firstLine="643" w:firstLineChars="200"/>
        <w:rPr>
          <w:rFonts w:hint="default" w:ascii="黑体" w:hAnsi="黑体" w:eastAsia="黑体"/>
          <w:b/>
          <w:bCs/>
          <w:color w:val="FF0000"/>
          <w:sz w:val="32"/>
          <w:szCs w:val="32"/>
        </w:rPr>
      </w:pPr>
      <w:r>
        <w:rPr>
          <w:rFonts w:ascii="楷体_GB2312" w:eastAsia="楷体_GB2312"/>
          <w:b/>
          <w:sz w:val="32"/>
        </w:rPr>
        <w:t>（四）国有资产占用情况。</w:t>
      </w:r>
      <w:r>
        <w:rPr>
          <w:rFonts w:ascii="黑体" w:hAnsi="黑体" w:eastAsia="黑体"/>
          <w:b/>
          <w:bCs/>
          <w:color w:val="FF0000"/>
          <w:sz w:val="32"/>
          <w:szCs w:val="32"/>
        </w:rPr>
        <w:t xml:space="preserve"> </w:t>
      </w:r>
    </w:p>
    <w:p w14:paraId="255D1CA9">
      <w:pPr>
        <w:pStyle w:val="6"/>
        <w:spacing w:line="560" w:lineRule="exact"/>
        <w:ind w:firstLine="640" w:firstLineChars="20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14:paraId="604BBB82">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14:paraId="619E3189">
      <w:pPr>
        <w:pStyle w:val="6"/>
        <w:spacing w:line="560" w:lineRule="exact"/>
        <w:ind w:firstLine="640" w:firstLineChars="200"/>
        <w:rPr>
          <w:rFonts w:hint="default"/>
          <w:b/>
          <w:sz w:val="36"/>
        </w:rPr>
      </w:pPr>
      <w:r>
        <w:rPr>
          <w:rFonts w:hint="default" w:ascii="仿宋_GB2312" w:eastAsia="仿宋_GB2312"/>
          <w:sz w:val="32"/>
        </w:rPr>
        <w:t>202</w:t>
      </w:r>
      <w:r>
        <w:rPr>
          <w:rFonts w:ascii="仿宋_GB2312" w:eastAsia="仿宋_GB2312"/>
          <w:sz w:val="32"/>
        </w:rPr>
        <w:t>1</w:t>
      </w:r>
      <w:r>
        <w:rPr>
          <w:rFonts w:hint="default" w:ascii="仿宋_GB2312" w:eastAsia="仿宋_GB2312"/>
          <w:sz w:val="32"/>
        </w:rPr>
        <w:t>年不涉及民生项目和重点支出项目。因此本单位无绩效自评及部门评价。</w:t>
      </w:r>
    </w:p>
    <w:p w14:paraId="10D3B259">
      <w:pPr>
        <w:pStyle w:val="9"/>
        <w:autoSpaceDN w:val="0"/>
        <w:spacing w:line="560" w:lineRule="exact"/>
        <w:ind w:firstLine="2168" w:firstLineChars="600"/>
        <w:rPr>
          <w:b/>
          <w:bCs/>
          <w:sz w:val="36"/>
          <w:szCs w:val="36"/>
        </w:rPr>
      </w:pPr>
      <w:r>
        <w:rPr>
          <w:rFonts w:hint="eastAsia"/>
          <w:b/>
          <w:bCs/>
          <w:sz w:val="36"/>
          <w:szCs w:val="36"/>
        </w:rPr>
        <w:t>第三部分 名词解释</w:t>
      </w:r>
    </w:p>
    <w:p w14:paraId="07A9B9E9">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14:paraId="3B3743EB">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14:paraId="6C5B178A">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14:paraId="249B729A">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14:paraId="32267E11">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14:paraId="598897CD">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14:paraId="3801A457">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14:paraId="476A1325">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14:paraId="2FC8257A">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14:paraId="721BA4DE">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14:paraId="3EAA89FB">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14:paraId="7791BB5F">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14:paraId="77BD0D95">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14:paraId="6AE1A6E3">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14:paraId="074F3B32">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F6EFCC6">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14:paraId="78E0653C">
      <w:pPr>
        <w:pStyle w:val="6"/>
        <w:spacing w:line="560" w:lineRule="exact"/>
        <w:ind w:firstLine="640"/>
        <w:rPr>
          <w:rFonts w:hint="default" w:ascii="仿宋_GB2312" w:eastAsia="仿宋_GB2312"/>
          <w:i/>
          <w:sz w:val="32"/>
          <w:u w:val="single"/>
        </w:rPr>
      </w:pPr>
    </w:p>
    <w:p w14:paraId="29A2DD51">
      <w:pPr>
        <w:pStyle w:val="6"/>
        <w:spacing w:line="560" w:lineRule="atLeast"/>
        <w:jc w:val="left"/>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cols w:space="425" w:num="1"/>
          <w:docGrid w:type="lines" w:linePitch="312" w:charSpace="0"/>
        </w:sectPr>
      </w:pPr>
    </w:p>
    <w:p w14:paraId="31E5350A">
      <w:pPr>
        <w:pStyle w:val="6"/>
        <w:spacing w:line="560" w:lineRule="atLeast"/>
        <w:jc w:val="left"/>
        <w:rPr>
          <w:rFonts w:hint="default" w:ascii="仿宋_GB2312" w:hAnsi="仿宋_GB2312" w:eastAsia="仿宋_GB2312" w:cs="仿宋_GB2312"/>
          <w:b/>
          <w:sz w:val="52"/>
          <w:szCs w:val="52"/>
        </w:rPr>
      </w:pPr>
    </w:p>
    <w:p w14:paraId="646FCC31">
      <w:pPr>
        <w:pStyle w:val="6"/>
        <w:spacing w:line="560" w:lineRule="atLeast"/>
        <w:jc w:val="left"/>
        <w:rPr>
          <w:rFonts w:hint="default" w:ascii="仿宋_GB2312" w:hAnsi="仿宋_GB2312" w:eastAsia="仿宋_GB2312" w:cs="仿宋_GB2312"/>
          <w:b/>
          <w:sz w:val="52"/>
          <w:szCs w:val="52"/>
        </w:rPr>
      </w:pPr>
    </w:p>
    <w:p w14:paraId="72E85E74">
      <w:pPr>
        <w:pStyle w:val="6"/>
        <w:spacing w:line="560" w:lineRule="atLeast"/>
        <w:jc w:val="left"/>
        <w:rPr>
          <w:rFonts w:hint="default" w:ascii="仿宋_GB2312" w:hAnsi="仿宋_GB2312" w:eastAsia="仿宋_GB2312" w:cs="仿宋_GB2312"/>
          <w:b/>
          <w:sz w:val="52"/>
          <w:szCs w:val="52"/>
        </w:rPr>
      </w:pPr>
    </w:p>
    <w:p w14:paraId="6886B823">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沈阳市浑南区第五小学2021年度决算表</w:t>
      </w:r>
    </w:p>
    <w:p w14:paraId="45F8F79C">
      <w:pPr>
        <w:rPr>
          <w:rFonts w:hint="default" w:ascii="仿宋_GB2312" w:hAnsi="宋体" w:eastAsia="仿宋_GB2312"/>
          <w:kern w:val="0"/>
          <w:sz w:val="32"/>
        </w:rPr>
      </w:pPr>
    </w:p>
    <w:p w14:paraId="2F9C3040">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64756">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A03C"/>
    <w:multiLevelType w:val="singleLevel"/>
    <w:tmpl w:val="978CA03C"/>
    <w:lvl w:ilvl="0" w:tentative="0">
      <w:start w:val="2"/>
      <w:numFmt w:val="chineseCounting"/>
      <w:suff w:val="nothing"/>
      <w:lvlText w:val="%1、"/>
      <w:lvlJc w:val="left"/>
      <w:rPr>
        <w:rFonts w:hint="eastAsia"/>
      </w:rPr>
    </w:lvl>
  </w:abstractNum>
  <w:abstractNum w:abstractNumId="1">
    <w:nsid w:val="116AAEB6"/>
    <w:multiLevelType w:val="singleLevel"/>
    <w:tmpl w:val="116AAEB6"/>
    <w:lvl w:ilvl="0" w:tentative="0">
      <w:start w:val="2"/>
      <w:numFmt w:val="chineseCounting"/>
      <w:suff w:val="nothing"/>
      <w:lvlText w:val="（%1）"/>
      <w:lvlJc w:val="left"/>
      <w:pPr>
        <w:ind w:left="-3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ZTQ3ZmI1OTFmODUzNzgwMGRlNDBmMWZiZDQzMjEifQ=="/>
  </w:docVars>
  <w:rsids>
    <w:rsidRoot w:val="1C635C29"/>
    <w:rsid w:val="00060165"/>
    <w:rsid w:val="000B596F"/>
    <w:rsid w:val="00100607"/>
    <w:rsid w:val="00115689"/>
    <w:rsid w:val="00177E15"/>
    <w:rsid w:val="001D0B4A"/>
    <w:rsid w:val="00272B68"/>
    <w:rsid w:val="002F29F6"/>
    <w:rsid w:val="00317204"/>
    <w:rsid w:val="00320394"/>
    <w:rsid w:val="00342E31"/>
    <w:rsid w:val="0038444A"/>
    <w:rsid w:val="00387684"/>
    <w:rsid w:val="0044142C"/>
    <w:rsid w:val="00485722"/>
    <w:rsid w:val="004C26A5"/>
    <w:rsid w:val="004D35C4"/>
    <w:rsid w:val="00501647"/>
    <w:rsid w:val="00505889"/>
    <w:rsid w:val="005812D3"/>
    <w:rsid w:val="005814A4"/>
    <w:rsid w:val="00590A8D"/>
    <w:rsid w:val="005C4DCE"/>
    <w:rsid w:val="00753B9D"/>
    <w:rsid w:val="00756329"/>
    <w:rsid w:val="007F77B9"/>
    <w:rsid w:val="008040A1"/>
    <w:rsid w:val="00954778"/>
    <w:rsid w:val="00A17144"/>
    <w:rsid w:val="00A5357A"/>
    <w:rsid w:val="00A57A14"/>
    <w:rsid w:val="00A862AB"/>
    <w:rsid w:val="00B52AFE"/>
    <w:rsid w:val="00B54181"/>
    <w:rsid w:val="00B626CD"/>
    <w:rsid w:val="00BC09C4"/>
    <w:rsid w:val="00D1547C"/>
    <w:rsid w:val="00D528F2"/>
    <w:rsid w:val="00DC3915"/>
    <w:rsid w:val="00E4305D"/>
    <w:rsid w:val="00F16B2B"/>
    <w:rsid w:val="00F67249"/>
    <w:rsid w:val="00F724E9"/>
    <w:rsid w:val="01F06D48"/>
    <w:rsid w:val="036F2FCB"/>
    <w:rsid w:val="09C4782E"/>
    <w:rsid w:val="0E39220B"/>
    <w:rsid w:val="0ECB7368"/>
    <w:rsid w:val="11612EA5"/>
    <w:rsid w:val="118B304D"/>
    <w:rsid w:val="11CB732B"/>
    <w:rsid w:val="14C80C53"/>
    <w:rsid w:val="15FF1F8C"/>
    <w:rsid w:val="1BBE01F3"/>
    <w:rsid w:val="1C635C29"/>
    <w:rsid w:val="1EA13964"/>
    <w:rsid w:val="21C20045"/>
    <w:rsid w:val="2B065713"/>
    <w:rsid w:val="2C681CD2"/>
    <w:rsid w:val="2E121474"/>
    <w:rsid w:val="2E4F6256"/>
    <w:rsid w:val="30B40CE8"/>
    <w:rsid w:val="36230505"/>
    <w:rsid w:val="36E2278D"/>
    <w:rsid w:val="38A8570E"/>
    <w:rsid w:val="405745EF"/>
    <w:rsid w:val="441C1B63"/>
    <w:rsid w:val="47B42327"/>
    <w:rsid w:val="47B642F1"/>
    <w:rsid w:val="4A0550BC"/>
    <w:rsid w:val="4D6640C3"/>
    <w:rsid w:val="51E97071"/>
    <w:rsid w:val="51FA74D0"/>
    <w:rsid w:val="54F6469B"/>
    <w:rsid w:val="5B697371"/>
    <w:rsid w:val="673C6F2C"/>
    <w:rsid w:val="6779459B"/>
    <w:rsid w:val="6A7379C8"/>
    <w:rsid w:val="6FCA75DB"/>
    <w:rsid w:val="70BB0F08"/>
    <w:rsid w:val="724179B2"/>
    <w:rsid w:val="72BF3591"/>
    <w:rsid w:val="7AAF2356"/>
    <w:rsid w:val="7C24184F"/>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12</Pages>
  <Words>4323</Words>
  <Characters>4746</Characters>
  <Lines>35</Lines>
  <Paragraphs>9</Paragraphs>
  <TotalTime>1</TotalTime>
  <ScaleCrop>false</ScaleCrop>
  <LinksUpToDate>false</LinksUpToDate>
  <CharactersWithSpaces>4778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杨洋</cp:lastModifiedBy>
  <cp:lastPrinted>2022-09-19T10:34:00Z</cp:lastPrinted>
  <dcterms:modified xsi:type="dcterms:W3CDTF">2024-10-24T01:44:04Z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9C872CB057B74C43AB101636CEB4559F_13</vt:lpwstr>
  </property>
</Properties>
</file>