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53E067">
      <w:pPr>
        <w:pStyle w:val="6"/>
        <w:rPr>
          <w:rFonts w:hint="default" w:ascii="黑体" w:eastAsia="黑体"/>
          <w:sz w:val="32"/>
        </w:rPr>
      </w:pPr>
      <w:r>
        <w:rPr>
          <w:rFonts w:ascii="黑体" w:eastAsia="黑体"/>
          <w:sz w:val="32"/>
        </w:rPr>
        <w:t>附件2</w:t>
      </w:r>
    </w:p>
    <w:p w14:paraId="3DBD054E">
      <w:pPr>
        <w:pStyle w:val="6"/>
        <w:rPr>
          <w:rFonts w:hint="default"/>
          <w:b/>
          <w:sz w:val="44"/>
        </w:rPr>
      </w:pPr>
    </w:p>
    <w:p w14:paraId="49CDBE00">
      <w:pPr>
        <w:pStyle w:val="6"/>
        <w:rPr>
          <w:rFonts w:hint="default"/>
          <w:b/>
          <w:sz w:val="44"/>
        </w:rPr>
      </w:pPr>
    </w:p>
    <w:p w14:paraId="273B0C8B">
      <w:pPr>
        <w:pStyle w:val="6"/>
        <w:rPr>
          <w:rFonts w:hint="default"/>
          <w:b/>
          <w:sz w:val="44"/>
        </w:rPr>
      </w:pPr>
    </w:p>
    <w:p w14:paraId="4EC2DE76">
      <w:pPr>
        <w:pStyle w:val="6"/>
        <w:rPr>
          <w:rFonts w:hint="default"/>
          <w:b/>
          <w:sz w:val="44"/>
        </w:rPr>
      </w:pPr>
    </w:p>
    <w:p w14:paraId="30C8F809">
      <w:pPr>
        <w:pStyle w:val="6"/>
        <w:rPr>
          <w:rFonts w:hint="default"/>
          <w:b/>
          <w:sz w:val="44"/>
        </w:rPr>
      </w:pPr>
    </w:p>
    <w:p w14:paraId="4E268936">
      <w:pPr>
        <w:pStyle w:val="6"/>
        <w:rPr>
          <w:rFonts w:hint="default"/>
          <w:b/>
          <w:sz w:val="44"/>
        </w:rPr>
      </w:pPr>
    </w:p>
    <w:p w14:paraId="62882ACF">
      <w:pPr>
        <w:spacing w:line="540" w:lineRule="exact"/>
        <w:jc w:val="center"/>
        <w:rPr>
          <w:rFonts w:hint="default" w:ascii="宋体" w:hAnsi="宋体"/>
          <w:b/>
          <w:color w:val="FF0000"/>
          <w:sz w:val="52"/>
          <w:szCs w:val="52"/>
        </w:rPr>
      </w:pPr>
      <w:r>
        <w:rPr>
          <w:rFonts w:ascii="宋体" w:hAnsi="宋体"/>
          <w:b/>
          <w:sz w:val="52"/>
          <w:szCs w:val="52"/>
        </w:rPr>
        <w:t>沈阳市浑南区第十一小学2021年度决算说明</w:t>
      </w:r>
    </w:p>
    <w:p w14:paraId="6ED9CCF6">
      <w:pPr>
        <w:pStyle w:val="6"/>
        <w:jc w:val="center"/>
        <w:rPr>
          <w:rFonts w:hint="default" w:ascii="仿宋_GB2312" w:eastAsia="仿宋_GB2312"/>
          <w:b/>
          <w:sz w:val="52"/>
        </w:rPr>
      </w:pPr>
    </w:p>
    <w:p w14:paraId="4C699592">
      <w:pPr>
        <w:pStyle w:val="6"/>
        <w:jc w:val="center"/>
        <w:rPr>
          <w:rFonts w:hint="default" w:ascii="仿宋_GB2312" w:eastAsia="仿宋_GB2312"/>
          <w:b/>
          <w:sz w:val="52"/>
        </w:rPr>
      </w:pPr>
    </w:p>
    <w:p w14:paraId="215E9B7F">
      <w:pPr>
        <w:pStyle w:val="6"/>
        <w:jc w:val="center"/>
        <w:rPr>
          <w:rFonts w:hint="default" w:ascii="Times New Roman" w:eastAsia="Times New Roman"/>
          <w:b/>
          <w:sz w:val="44"/>
          <w:u w:val="single"/>
        </w:rPr>
      </w:pPr>
    </w:p>
    <w:p w14:paraId="50645247">
      <w:pPr>
        <w:pStyle w:val="6"/>
        <w:jc w:val="center"/>
        <w:rPr>
          <w:rFonts w:hint="default" w:ascii="Times New Roman" w:eastAsia="Times New Roman"/>
          <w:b/>
          <w:sz w:val="44"/>
          <w:u w:val="single"/>
        </w:rPr>
      </w:pPr>
    </w:p>
    <w:p w14:paraId="4359DA47">
      <w:pPr>
        <w:pStyle w:val="6"/>
        <w:jc w:val="center"/>
        <w:rPr>
          <w:rFonts w:hint="default" w:ascii="Times New Roman" w:eastAsia="Times New Roman"/>
          <w:b/>
          <w:sz w:val="44"/>
          <w:u w:val="single"/>
        </w:rPr>
      </w:pPr>
    </w:p>
    <w:p w14:paraId="65F70451">
      <w:pPr>
        <w:pStyle w:val="6"/>
        <w:jc w:val="center"/>
        <w:rPr>
          <w:rFonts w:hint="default" w:ascii="Times New Roman" w:eastAsia="Times New Roman"/>
          <w:b/>
          <w:sz w:val="44"/>
          <w:u w:val="single"/>
        </w:rPr>
      </w:pPr>
    </w:p>
    <w:p w14:paraId="12E246AA">
      <w:pPr>
        <w:pStyle w:val="6"/>
        <w:jc w:val="center"/>
        <w:rPr>
          <w:rFonts w:hint="default" w:ascii="Times New Roman" w:eastAsia="Times New Roman"/>
          <w:b/>
          <w:sz w:val="44"/>
          <w:u w:val="single"/>
        </w:rPr>
      </w:pPr>
    </w:p>
    <w:p w14:paraId="20A9155C">
      <w:pPr>
        <w:pStyle w:val="6"/>
        <w:jc w:val="center"/>
        <w:rPr>
          <w:rFonts w:hint="default" w:ascii="Times New Roman" w:eastAsia="Times New Roman"/>
          <w:b/>
          <w:sz w:val="44"/>
          <w:u w:val="single"/>
        </w:rPr>
      </w:pPr>
    </w:p>
    <w:p w14:paraId="21EE5B9B">
      <w:pPr>
        <w:pStyle w:val="6"/>
        <w:jc w:val="center"/>
        <w:rPr>
          <w:rFonts w:hint="default" w:ascii="Times New Roman" w:eastAsia="Times New Roman"/>
          <w:b/>
          <w:sz w:val="44"/>
          <w:u w:val="single"/>
        </w:rPr>
      </w:pPr>
    </w:p>
    <w:p w14:paraId="5F3976D2">
      <w:pPr>
        <w:pStyle w:val="6"/>
        <w:jc w:val="center"/>
        <w:rPr>
          <w:rFonts w:hint="default" w:ascii="Times New Roman" w:eastAsia="Times New Roman"/>
          <w:b/>
          <w:sz w:val="44"/>
          <w:u w:val="single"/>
        </w:rPr>
      </w:pPr>
    </w:p>
    <w:p w14:paraId="695216D8">
      <w:pPr>
        <w:pStyle w:val="6"/>
        <w:jc w:val="center"/>
        <w:rPr>
          <w:rFonts w:hint="default" w:ascii="Times New Roman" w:eastAsia="Times New Roman"/>
          <w:b/>
          <w:sz w:val="44"/>
          <w:u w:val="single"/>
        </w:rPr>
      </w:pPr>
    </w:p>
    <w:p w14:paraId="3514C496">
      <w:pPr>
        <w:pStyle w:val="6"/>
        <w:jc w:val="center"/>
        <w:rPr>
          <w:rFonts w:hint="default" w:ascii="Times New Roman" w:eastAsia="Times New Roman"/>
          <w:b/>
          <w:sz w:val="44"/>
          <w:u w:val="single"/>
        </w:rPr>
      </w:pPr>
    </w:p>
    <w:p w14:paraId="42EE5835">
      <w:pPr>
        <w:pStyle w:val="6"/>
        <w:spacing w:line="560" w:lineRule="exact"/>
        <w:jc w:val="center"/>
        <w:rPr>
          <w:rFonts w:hint="default" w:ascii="Times New Roman" w:eastAsia="Times New Roman"/>
          <w:b/>
          <w:sz w:val="44"/>
        </w:rPr>
      </w:pPr>
      <w:r>
        <w:rPr>
          <w:b/>
          <w:sz w:val="44"/>
        </w:rPr>
        <w:t>目</w:t>
      </w:r>
      <w:r>
        <w:rPr>
          <w:rFonts w:hint="default" w:ascii="Times New Roman" w:hAnsi="Times New Roman"/>
          <w:b/>
          <w:sz w:val="44"/>
        </w:rPr>
        <w:t xml:space="preserve">    </w:t>
      </w:r>
      <w:r>
        <w:rPr>
          <w:b/>
          <w:sz w:val="44"/>
        </w:rPr>
        <w:t>录</w:t>
      </w:r>
    </w:p>
    <w:p w14:paraId="29AC0ECC">
      <w:pPr>
        <w:pStyle w:val="6"/>
        <w:spacing w:line="560" w:lineRule="exact"/>
        <w:rPr>
          <w:rFonts w:hint="default" w:ascii="Times New Roman" w:eastAsia="Times New Roman"/>
          <w:b/>
          <w:sz w:val="44"/>
          <w:u w:val="single"/>
        </w:rPr>
      </w:pPr>
    </w:p>
    <w:p w14:paraId="414661C2">
      <w:pPr>
        <w:pStyle w:val="6"/>
        <w:spacing w:line="560" w:lineRule="exact"/>
        <w:rPr>
          <w:rFonts w:hint="default" w:ascii="黑体" w:eastAsia="黑体"/>
          <w:sz w:val="32"/>
        </w:rPr>
      </w:pPr>
      <w:r>
        <w:rPr>
          <w:rFonts w:ascii="黑体" w:eastAsia="黑体"/>
          <w:sz w:val="32"/>
        </w:rPr>
        <w:t>第一部分   沈阳市浑南区第十一小学部门概况</w:t>
      </w:r>
    </w:p>
    <w:p w14:paraId="05AF2CCF">
      <w:pPr>
        <w:pStyle w:val="6"/>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14:paraId="6E383772">
      <w:pPr>
        <w:pStyle w:val="6"/>
        <w:spacing w:line="560" w:lineRule="exact"/>
        <w:rPr>
          <w:rFonts w:hint="default" w:ascii="仿宋_GB2312" w:eastAsia="仿宋_GB2312"/>
          <w:sz w:val="32"/>
        </w:rPr>
      </w:pPr>
      <w:r>
        <w:rPr>
          <w:rFonts w:ascii="仿宋_GB2312" w:eastAsia="仿宋_GB2312"/>
          <w:sz w:val="32"/>
        </w:rPr>
        <w:t>二、决算单位构成</w:t>
      </w:r>
    </w:p>
    <w:p w14:paraId="3013AD46">
      <w:pPr>
        <w:pStyle w:val="6"/>
        <w:spacing w:line="560" w:lineRule="exact"/>
        <w:rPr>
          <w:rFonts w:hint="default" w:ascii="黑体" w:eastAsia="黑体"/>
          <w:sz w:val="32"/>
        </w:rPr>
      </w:pPr>
      <w:r>
        <w:rPr>
          <w:rFonts w:ascii="黑体" w:eastAsia="黑体"/>
          <w:sz w:val="32"/>
        </w:rPr>
        <w:t xml:space="preserve">第二部分   </w:t>
      </w:r>
      <w:r>
        <w:rPr>
          <w:rFonts w:ascii="黑体" w:hAnsi="黑体" w:eastAsia="黑体"/>
          <w:sz w:val="32"/>
          <w:szCs w:val="32"/>
        </w:rPr>
        <w:t>沈阳市浑南区第十一小学</w:t>
      </w:r>
      <w:r>
        <w:rPr>
          <w:rFonts w:ascii="黑体" w:eastAsia="黑体"/>
          <w:sz w:val="32"/>
        </w:rPr>
        <w:t>2021年决算情况说明</w:t>
      </w:r>
    </w:p>
    <w:p w14:paraId="47516C59">
      <w:pPr>
        <w:pStyle w:val="6"/>
        <w:spacing w:line="560" w:lineRule="exact"/>
        <w:rPr>
          <w:rFonts w:hint="default" w:ascii="仿宋_GB2312" w:eastAsia="仿宋_GB2312"/>
          <w:sz w:val="32"/>
        </w:rPr>
      </w:pPr>
      <w:r>
        <w:rPr>
          <w:rFonts w:ascii="仿宋_GB2312" w:eastAsia="仿宋_GB2312"/>
          <w:sz w:val="32"/>
        </w:rPr>
        <w:t>一、收入支出决算总体情况说明</w:t>
      </w:r>
    </w:p>
    <w:p w14:paraId="12A2CDF6">
      <w:pPr>
        <w:pStyle w:val="6"/>
        <w:spacing w:line="560" w:lineRule="exact"/>
        <w:rPr>
          <w:rFonts w:hint="default" w:ascii="仿宋_GB2312" w:eastAsia="仿宋_GB2312"/>
          <w:sz w:val="32"/>
        </w:rPr>
      </w:pPr>
      <w:r>
        <w:rPr>
          <w:rFonts w:ascii="仿宋_GB2312" w:eastAsia="仿宋_GB2312"/>
          <w:sz w:val="32"/>
        </w:rPr>
        <w:t>二、财政拨款收入支出决算情况说明</w:t>
      </w:r>
    </w:p>
    <w:p w14:paraId="45141883">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14:paraId="209BB9B6">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14:paraId="5F7EDF78">
      <w:pPr>
        <w:pStyle w:val="6"/>
        <w:spacing w:line="560" w:lineRule="exact"/>
        <w:rPr>
          <w:rFonts w:hint="default" w:ascii="黑体" w:eastAsia="黑体"/>
          <w:sz w:val="32"/>
        </w:rPr>
      </w:pPr>
      <w:r>
        <w:rPr>
          <w:rFonts w:ascii="仿宋_GB2312" w:eastAsia="仿宋_GB2312"/>
          <w:sz w:val="32"/>
        </w:rPr>
        <w:t>五、其他重要事项的情况说明</w:t>
      </w:r>
    </w:p>
    <w:p w14:paraId="5CCBB612">
      <w:pPr>
        <w:pStyle w:val="6"/>
        <w:spacing w:line="560" w:lineRule="exact"/>
        <w:rPr>
          <w:rFonts w:hint="default" w:ascii="黑体" w:eastAsia="黑体"/>
          <w:sz w:val="32"/>
        </w:rPr>
      </w:pPr>
      <w:r>
        <w:rPr>
          <w:rFonts w:ascii="黑体" w:eastAsia="黑体"/>
          <w:sz w:val="32"/>
        </w:rPr>
        <w:t>第三部分   名词解释</w:t>
      </w:r>
    </w:p>
    <w:p w14:paraId="183B5B6A">
      <w:pPr>
        <w:pStyle w:val="6"/>
        <w:spacing w:line="560" w:lineRule="exact"/>
        <w:rPr>
          <w:rFonts w:hint="default" w:ascii="黑体" w:eastAsia="黑体"/>
          <w:sz w:val="32"/>
        </w:rPr>
      </w:pPr>
      <w:r>
        <w:rPr>
          <w:rFonts w:ascii="黑体" w:eastAsia="黑体"/>
          <w:sz w:val="32"/>
        </w:rPr>
        <w:t xml:space="preserve">第四部分   </w:t>
      </w:r>
      <w:r>
        <w:rPr>
          <w:rFonts w:ascii="黑体" w:hAnsi="黑体" w:eastAsia="黑体"/>
          <w:sz w:val="32"/>
          <w:szCs w:val="32"/>
        </w:rPr>
        <w:t>沈阳市浑南区第十一小学</w:t>
      </w:r>
      <w:r>
        <w:rPr>
          <w:rFonts w:ascii="黑体" w:eastAsia="黑体"/>
          <w:sz w:val="32"/>
        </w:rPr>
        <w:t>2021年决算报表</w:t>
      </w:r>
    </w:p>
    <w:p w14:paraId="67889D76">
      <w:pPr>
        <w:pStyle w:val="6"/>
        <w:spacing w:line="560" w:lineRule="exact"/>
        <w:rPr>
          <w:rFonts w:hint="default" w:ascii="仿宋_GB2312" w:eastAsia="仿宋_GB2312"/>
          <w:sz w:val="32"/>
        </w:rPr>
      </w:pPr>
      <w:r>
        <w:rPr>
          <w:rFonts w:ascii="仿宋_GB2312" w:eastAsia="仿宋_GB2312"/>
          <w:sz w:val="32"/>
        </w:rPr>
        <w:t>一、2021年度收入支出决算总表</w:t>
      </w:r>
    </w:p>
    <w:p w14:paraId="29EF74FD">
      <w:pPr>
        <w:pStyle w:val="6"/>
        <w:spacing w:line="560" w:lineRule="exact"/>
        <w:rPr>
          <w:rFonts w:hint="default" w:ascii="仿宋_GB2312" w:eastAsia="仿宋_GB2312"/>
          <w:sz w:val="32"/>
        </w:rPr>
      </w:pPr>
      <w:r>
        <w:rPr>
          <w:rFonts w:ascii="仿宋_GB2312" w:eastAsia="仿宋_GB2312"/>
          <w:sz w:val="32"/>
        </w:rPr>
        <w:t>二、2021年度收入决算表</w:t>
      </w:r>
    </w:p>
    <w:p w14:paraId="7FB39BF1">
      <w:pPr>
        <w:pStyle w:val="6"/>
        <w:spacing w:line="560" w:lineRule="exact"/>
        <w:rPr>
          <w:rFonts w:hint="default" w:ascii="仿宋_GB2312" w:eastAsia="仿宋_GB2312"/>
          <w:sz w:val="32"/>
        </w:rPr>
      </w:pPr>
      <w:r>
        <w:rPr>
          <w:rFonts w:ascii="仿宋_GB2312" w:eastAsia="仿宋_GB2312"/>
          <w:sz w:val="32"/>
        </w:rPr>
        <w:t>三、2021年度支出决算表</w:t>
      </w:r>
    </w:p>
    <w:p w14:paraId="62B5EFE7">
      <w:pPr>
        <w:pStyle w:val="6"/>
        <w:spacing w:line="560" w:lineRule="exact"/>
        <w:rPr>
          <w:rFonts w:hint="default" w:ascii="仿宋_GB2312" w:eastAsia="仿宋_GB2312"/>
          <w:sz w:val="32"/>
        </w:rPr>
      </w:pPr>
      <w:r>
        <w:rPr>
          <w:rFonts w:ascii="仿宋_GB2312" w:eastAsia="仿宋_GB2312"/>
          <w:sz w:val="32"/>
        </w:rPr>
        <w:t>四、2021年度财政拨款收入支出决算总表</w:t>
      </w:r>
    </w:p>
    <w:p w14:paraId="2DE4C90C">
      <w:pPr>
        <w:pStyle w:val="6"/>
        <w:spacing w:line="560" w:lineRule="exact"/>
        <w:rPr>
          <w:rFonts w:hint="default" w:ascii="仿宋_GB2312" w:eastAsia="仿宋_GB2312"/>
          <w:sz w:val="32"/>
        </w:rPr>
      </w:pPr>
      <w:r>
        <w:rPr>
          <w:rFonts w:ascii="仿宋_GB2312" w:eastAsia="仿宋_GB2312"/>
          <w:sz w:val="32"/>
        </w:rPr>
        <w:t>五、2021年度一般公共预算财政拨款支出决算表</w:t>
      </w:r>
    </w:p>
    <w:p w14:paraId="6367391D">
      <w:pPr>
        <w:pStyle w:val="6"/>
        <w:spacing w:line="560" w:lineRule="exact"/>
        <w:rPr>
          <w:rFonts w:hint="default" w:ascii="仿宋_GB2312" w:eastAsia="仿宋_GB2312"/>
          <w:sz w:val="32"/>
        </w:rPr>
      </w:pPr>
      <w:r>
        <w:rPr>
          <w:rFonts w:ascii="仿宋_GB2312" w:eastAsia="仿宋_GB2312"/>
          <w:sz w:val="32"/>
        </w:rPr>
        <w:t>六、2021年度一般公共预算财政拨款基本支出决算表</w:t>
      </w:r>
    </w:p>
    <w:p w14:paraId="10D24838">
      <w:pPr>
        <w:pStyle w:val="6"/>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14:paraId="79126ABE">
      <w:pPr>
        <w:pStyle w:val="6"/>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14:paraId="4AAEA727">
      <w:pPr>
        <w:pStyle w:val="6"/>
        <w:spacing w:line="560" w:lineRule="exact"/>
        <w:rPr>
          <w:rFonts w:hint="default" w:ascii="仿宋_GB2312" w:eastAsia="仿宋_GB2312"/>
          <w:sz w:val="32"/>
        </w:rPr>
      </w:pPr>
      <w:r>
        <w:rPr>
          <w:rFonts w:ascii="仿宋_GB2312" w:eastAsia="仿宋_GB2312"/>
          <w:sz w:val="32"/>
        </w:rPr>
        <w:t>九、2021年度国有资本经营预算财政拨款支出决算表</w:t>
      </w:r>
    </w:p>
    <w:p w14:paraId="325951F8">
      <w:pPr>
        <w:pStyle w:val="6"/>
        <w:spacing w:line="560" w:lineRule="exact"/>
        <w:jc w:val="center"/>
        <w:rPr>
          <w:rFonts w:hint="default"/>
          <w:b/>
          <w:sz w:val="36"/>
        </w:rPr>
      </w:pPr>
    </w:p>
    <w:p w14:paraId="1084155B">
      <w:pPr>
        <w:pStyle w:val="6"/>
        <w:spacing w:line="560" w:lineRule="exact"/>
        <w:jc w:val="center"/>
        <w:rPr>
          <w:rFonts w:hint="default"/>
          <w:b/>
          <w:sz w:val="36"/>
        </w:rPr>
      </w:pPr>
      <w:r>
        <w:rPr>
          <w:b/>
          <w:sz w:val="36"/>
        </w:rPr>
        <w:t>第一部分 沈阳市浑南区第十一小学概况</w:t>
      </w:r>
    </w:p>
    <w:p w14:paraId="353FCB7F">
      <w:pPr>
        <w:pStyle w:val="6"/>
        <w:spacing w:line="560" w:lineRule="exact"/>
        <w:ind w:firstLine="640"/>
        <w:rPr>
          <w:rFonts w:hint="default" w:ascii="黑体" w:eastAsia="黑体"/>
          <w:sz w:val="32"/>
        </w:rPr>
      </w:pPr>
    </w:p>
    <w:p w14:paraId="2A2EA01E">
      <w:pPr>
        <w:pStyle w:val="6"/>
        <w:spacing w:line="560" w:lineRule="exact"/>
        <w:ind w:firstLine="640"/>
        <w:rPr>
          <w:rFonts w:hint="default" w:ascii="黑体" w:eastAsia="黑体"/>
          <w:sz w:val="32"/>
        </w:rPr>
      </w:pPr>
      <w:r>
        <w:rPr>
          <w:rFonts w:ascii="黑体" w:eastAsia="黑体"/>
          <w:sz w:val="32"/>
        </w:rPr>
        <w:t>一、主要职责</w:t>
      </w:r>
    </w:p>
    <w:p w14:paraId="1321247F">
      <w:pPr>
        <w:widowControl/>
        <w:spacing w:line="360" w:lineRule="auto"/>
        <w:ind w:firstLine="640" w:firstLineChars="200"/>
        <w:jc w:val="left"/>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（一）组织教育教学、科学研究活动，保证教育教学质量。维护教职工利益，保障教职工合法权益，以教职工和学生的人生幸福和生命质量作为重点。</w:t>
      </w:r>
    </w:p>
    <w:p w14:paraId="69B361EB">
      <w:pPr>
        <w:widowControl/>
        <w:spacing w:line="360" w:lineRule="auto"/>
        <w:ind w:firstLine="640" w:firstLineChars="200"/>
        <w:jc w:val="left"/>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（二）制定学校发展规划，并抓好组织实施和落实情况。</w:t>
      </w:r>
    </w:p>
    <w:p w14:paraId="5026CFC7">
      <w:pPr>
        <w:widowControl/>
        <w:spacing w:line="360" w:lineRule="auto"/>
        <w:ind w:firstLine="640" w:firstLineChars="200"/>
        <w:jc w:val="left"/>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（三）科学管理、合理使用学校的设施和经费，并积极筹措办学资金，改善办学条件。</w:t>
      </w:r>
    </w:p>
    <w:p w14:paraId="6AED02EE">
      <w:pPr>
        <w:pStyle w:val="6"/>
        <w:spacing w:line="560" w:lineRule="atLeast"/>
        <w:ind w:firstLine="64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（四）依法接受各级教育行政部门的检查指导和人民群众的监督。</w:t>
      </w:r>
    </w:p>
    <w:p w14:paraId="2A833970">
      <w:pPr>
        <w:ind w:left="359" w:leftChars="171" w:firstLine="313" w:firstLineChars="98"/>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（五）财务管理方面：</w:t>
      </w:r>
    </w:p>
    <w:p w14:paraId="345EBA05">
      <w:pPr>
        <w:widowControl/>
        <w:spacing w:line="400" w:lineRule="atLeast"/>
        <w:ind w:firstLine="627" w:firstLineChars="196"/>
        <w:jc w:val="left"/>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1、严格执行国家的收费规定，依法组织各项收入，收取的各项预算外资金必须执行收支两条线管理，及时、足额上缴财政专户，不得缓交、截留或擅自坐支应交款项，更不得隐匿不报。严格遵守《沈阳市行政事业性收费票据管理试行办法》保证行政事业性收费有序地进行，全部收入纳入学校的统一管理。规范学校收费行为，完善监督管理措施，增加学校收费透明度，治理乱收费，严格按照国家计委、财政部、教育部的要求，特制定学校教育收费公示制度，本单位的一切收费行为须做到有章可循，有据可依，所有收入都要开列合法的收据，禁止一切乱收费。</w:t>
      </w:r>
    </w:p>
    <w:p w14:paraId="0BBFE721">
      <w:pPr>
        <w:widowControl/>
        <w:wordWrap w:val="0"/>
        <w:ind w:firstLine="560"/>
        <w:jc w:val="left"/>
        <w:rPr>
          <w:rFonts w:hint="eastAsia" w:ascii="仿宋_GB2312" w:hAnsi="仿宋_GB2312" w:eastAsia="仿宋_GB2312" w:cs="仿宋_GB2312"/>
          <w:bCs/>
          <w:sz w:val="32"/>
          <w:szCs w:val="32"/>
        </w:rPr>
      </w:pPr>
    </w:p>
    <w:p w14:paraId="4B247624">
      <w:pPr>
        <w:widowControl/>
        <w:wordWrap w:val="0"/>
        <w:ind w:firstLine="560"/>
        <w:jc w:val="left"/>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严格执行国家有关法律、法规和财务规章制度，厉行节约，制止奢侈浪费；量入为出，保证重点，兼顾一般，注重资金的使用效益；增大教职工民主管理、监督学校财务工作的力度，激发群众当家理财的积极性；改变奖励在封闭和半封闭状态下操作的方式，提高使用透明度，及使发现和纠正财务管理弊端；从源头上预防和遏止不正之风，提高干部廉洁自律的自觉性，密切干群关系，促进行风建设，维护学校良好形象。规范学校财务行为，加强学校财务管理，对学校财务活动进行有效地控制和监督，进一步提高教育经费的使用效益，保障教育事业的健康发展。</w:t>
      </w:r>
    </w:p>
    <w:p w14:paraId="2875A2AB">
      <w:pPr>
        <w:pStyle w:val="6"/>
        <w:spacing w:line="560" w:lineRule="exact"/>
        <w:ind w:firstLine="640"/>
        <w:rPr>
          <w:rFonts w:hint="default" w:ascii="仿宋_GB2312" w:eastAsia="仿宋_GB2312"/>
          <w:bCs/>
          <w:sz w:val="32"/>
        </w:rPr>
      </w:pPr>
      <w:r>
        <w:rPr>
          <w:rFonts w:ascii="黑体" w:eastAsia="黑体"/>
          <w:sz w:val="32"/>
        </w:rPr>
        <w:t>二、决算单位构成</w:t>
      </w:r>
    </w:p>
    <w:p w14:paraId="7F895A19">
      <w:pPr>
        <w:pStyle w:val="6"/>
        <w:spacing w:line="560" w:lineRule="exact"/>
        <w:ind w:firstLine="960" w:firstLineChars="300"/>
        <w:rPr>
          <w:rFonts w:hint="default" w:ascii="仿宋_GB2312" w:hAnsi="仿宋_GB2312" w:eastAsia="仿宋_GB2312" w:cs="仿宋_GB2312"/>
          <w:bCs/>
          <w:sz w:val="32"/>
          <w:szCs w:val="32"/>
        </w:rPr>
      </w:pPr>
      <w:r>
        <w:rPr>
          <w:rFonts w:ascii="仿宋_GB2312" w:hAnsi="仿宋_GB2312" w:eastAsia="仿宋_GB2312" w:cs="仿宋_GB2312"/>
          <w:bCs/>
          <w:sz w:val="32"/>
          <w:szCs w:val="32"/>
        </w:rPr>
        <w:t>沈阳市浑南区第十一小学是纳入浑南区教育局2021年决算编制范围的二级预算单位,本单位无下设机构。</w:t>
      </w:r>
    </w:p>
    <w:p w14:paraId="5DB0895E">
      <w:pPr>
        <w:pStyle w:val="6"/>
        <w:spacing w:line="560" w:lineRule="exact"/>
        <w:jc w:val="center"/>
        <w:rPr>
          <w:rFonts w:hint="default"/>
          <w:b/>
          <w:sz w:val="36"/>
        </w:rPr>
      </w:pPr>
    </w:p>
    <w:p w14:paraId="60175D13">
      <w:pPr>
        <w:pStyle w:val="6"/>
        <w:spacing w:line="560" w:lineRule="exact"/>
        <w:jc w:val="center"/>
        <w:rPr>
          <w:rFonts w:hint="default"/>
          <w:b/>
          <w:sz w:val="36"/>
        </w:rPr>
      </w:pPr>
      <w:r>
        <w:rPr>
          <w:b/>
          <w:sz w:val="36"/>
        </w:rPr>
        <w:t>第二部分 沈阳市浑南区第十一小学2021年决算情况说明</w:t>
      </w:r>
    </w:p>
    <w:p w14:paraId="0670AA4B">
      <w:pPr>
        <w:spacing w:line="540" w:lineRule="exact"/>
        <w:ind w:firstLine="627" w:firstLineChars="196"/>
        <w:rPr>
          <w:rFonts w:hint="default" w:ascii="黑体" w:eastAsia="黑体"/>
          <w:sz w:val="32"/>
        </w:rPr>
      </w:pPr>
    </w:p>
    <w:p w14:paraId="55CF8F65">
      <w:pPr>
        <w:spacing w:line="540" w:lineRule="exact"/>
        <w:ind w:firstLine="627" w:firstLineChars="196"/>
        <w:rPr>
          <w:rFonts w:hint="default" w:ascii="黑体" w:hAnsi="黑体" w:eastAsia="黑体"/>
          <w:b/>
          <w:bCs/>
          <w:color w:val="FF0000"/>
          <w:sz w:val="32"/>
          <w:szCs w:val="32"/>
        </w:rPr>
      </w:pPr>
      <w:r>
        <w:rPr>
          <w:rFonts w:ascii="黑体" w:eastAsia="黑体"/>
          <w:sz w:val="32"/>
        </w:rPr>
        <w:t>一、收入支出决算总体情况说明</w:t>
      </w:r>
    </w:p>
    <w:p w14:paraId="7D47B5BF">
      <w:pPr>
        <w:spacing w:line="540" w:lineRule="exact"/>
        <w:ind w:firstLine="630" w:firstLineChars="196"/>
        <w:rPr>
          <w:rFonts w:hint="default" w:ascii="楷体_GB2312" w:eastAsia="楷体_GB2312"/>
          <w:b/>
          <w:sz w:val="32"/>
        </w:rPr>
      </w:pPr>
      <w:r>
        <w:rPr>
          <w:rFonts w:ascii="楷体_GB2312" w:eastAsia="楷体_GB2312"/>
          <w:b/>
          <w:sz w:val="32"/>
        </w:rPr>
        <w:t>（一）收入总计1441.41万元，包括：</w:t>
      </w:r>
    </w:p>
    <w:p w14:paraId="4B3BDC7D">
      <w:pPr>
        <w:pStyle w:val="6"/>
        <w:spacing w:line="560" w:lineRule="exact"/>
        <w:ind w:firstLine="660"/>
        <w:rPr>
          <w:rFonts w:hint="default" w:ascii="仿宋_GB2312" w:eastAsia="仿宋_GB2312"/>
          <w:sz w:val="32"/>
        </w:rPr>
      </w:pPr>
      <w:r>
        <w:rPr>
          <w:rFonts w:ascii="仿宋_GB2312" w:eastAsia="仿宋_GB2312"/>
          <w:sz w:val="32"/>
        </w:rPr>
        <w:t>1.财政拨款收入1289.32万元，占收入总计的89.5%。其中：一般公共预算财政拨款收入1289.32万元，政府性基金收入0万元，国有资本经营预算财政拨款收入0万元。</w:t>
      </w:r>
    </w:p>
    <w:p w14:paraId="5743DAFD">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2</w:t>
      </w:r>
      <w:r>
        <w:rPr>
          <w:rFonts w:ascii="仿宋_GB2312" w:eastAsia="仿宋_GB2312"/>
          <w:sz w:val="32"/>
        </w:rPr>
        <w:t>.其他收入61.09万元，占收入总计的4.3%。主要是绩效工资等收入。</w:t>
      </w:r>
    </w:p>
    <w:p w14:paraId="1C61DC98">
      <w:pPr>
        <w:spacing w:line="540" w:lineRule="exact"/>
        <w:ind w:firstLine="660"/>
        <w:rPr>
          <w:rFonts w:hint="default" w:ascii="仿宋_GB2312" w:eastAsia="仿宋_GB2312"/>
          <w:sz w:val="32"/>
        </w:rPr>
      </w:pPr>
      <w:r>
        <w:rPr>
          <w:rFonts w:hint="eastAsia" w:ascii="仿宋_GB2312" w:eastAsia="仿宋_GB2312"/>
          <w:sz w:val="32"/>
          <w:lang w:val="en-US" w:eastAsia="zh-CN"/>
        </w:rPr>
        <w:t>3</w:t>
      </w:r>
      <w:r>
        <w:rPr>
          <w:rFonts w:ascii="仿宋_GB2312" w:eastAsia="仿宋_GB2312"/>
          <w:sz w:val="32"/>
        </w:rPr>
        <w:t>.上年结转和结余91万元，占收入总计的6.4%。</w:t>
      </w:r>
      <w:r>
        <w:rPr>
          <w:rFonts w:ascii="仿宋_GB2312" w:hAnsi="宋体" w:eastAsia="仿宋_GB2312"/>
          <w:color w:val="000000"/>
          <w:sz w:val="32"/>
          <w:szCs w:val="32"/>
        </w:rPr>
        <w:t>主要是教育局归集调入2020年图书采购款等47.13万元</w:t>
      </w:r>
      <w:r>
        <w:rPr>
          <w:rFonts w:ascii="仿宋_GB2312" w:eastAsia="仿宋_GB2312"/>
          <w:sz w:val="32"/>
        </w:rPr>
        <w:t>、弹性离校、市转移支付普惠性课后服务费42.22万元等。</w:t>
      </w:r>
    </w:p>
    <w:p w14:paraId="5C3A0341">
      <w:pPr>
        <w:spacing w:line="540" w:lineRule="exact"/>
        <w:ind w:firstLine="660"/>
        <w:rPr>
          <w:rFonts w:hint="default" w:ascii="仿宋_GB2312" w:hAnsi="宋体" w:eastAsia="仿宋_GB2312"/>
          <w:sz w:val="32"/>
          <w:szCs w:val="32"/>
        </w:rPr>
      </w:pPr>
      <w:r>
        <w:rPr>
          <w:rFonts w:ascii="仿宋_GB2312" w:eastAsia="仿宋_GB2312"/>
          <w:sz w:val="32"/>
        </w:rPr>
        <w:t>与上年相比，今年收入增加487.59万元，增长51.2%，</w:t>
      </w:r>
      <w:r>
        <w:rPr>
          <w:rFonts w:ascii="仿宋_GB2312" w:hAnsi="宋体" w:eastAsia="仿宋_GB2312"/>
          <w:sz w:val="32"/>
          <w:szCs w:val="32"/>
        </w:rPr>
        <w:t>主要原因：</w:t>
      </w:r>
      <w:r>
        <w:rPr>
          <w:rFonts w:ascii="黑体" w:hAnsi="黑体" w:eastAsia="黑体"/>
          <w:sz w:val="32"/>
          <w:szCs w:val="32"/>
        </w:rPr>
        <w:t>一是</w:t>
      </w:r>
      <w:r>
        <w:rPr>
          <w:rFonts w:ascii="仿宋_GB2312" w:hAnsi="宋体" w:eastAsia="仿宋_GB2312"/>
          <w:sz w:val="32"/>
          <w:szCs w:val="32"/>
        </w:rPr>
        <w:t>教师人数增加，人员经费增加，</w:t>
      </w:r>
      <w:r>
        <w:rPr>
          <w:rFonts w:ascii="黑体" w:hAnsi="黑体" w:eastAsia="黑体"/>
          <w:sz w:val="32"/>
          <w:szCs w:val="32"/>
        </w:rPr>
        <w:t>二是</w:t>
      </w:r>
      <w:r>
        <w:rPr>
          <w:rFonts w:ascii="仿宋_GB2312" w:hAnsi="宋体" w:eastAsia="仿宋_GB2312"/>
          <w:sz w:val="32"/>
          <w:szCs w:val="32"/>
        </w:rPr>
        <w:t>专项资金增加。</w:t>
      </w:r>
    </w:p>
    <w:p w14:paraId="047C6522">
      <w:pPr>
        <w:pStyle w:val="6"/>
        <w:numPr>
          <w:ilvl w:val="0"/>
          <w:numId w:val="1"/>
        </w:numPr>
        <w:spacing w:line="560" w:lineRule="exact"/>
        <w:ind w:firstLine="660"/>
        <w:rPr>
          <w:rFonts w:hint="default" w:ascii="楷体_GB2312" w:eastAsia="楷体_GB2312"/>
          <w:b/>
          <w:sz w:val="32"/>
        </w:rPr>
      </w:pPr>
      <w:r>
        <w:rPr>
          <w:rFonts w:ascii="楷体_GB2312" w:eastAsia="楷体_GB2312"/>
          <w:b/>
          <w:sz w:val="32"/>
        </w:rPr>
        <w:t>支出总计1441.22万元，包括：</w:t>
      </w:r>
    </w:p>
    <w:p w14:paraId="50099696">
      <w:pPr>
        <w:pStyle w:val="6"/>
        <w:spacing w:line="560" w:lineRule="exact"/>
        <w:ind w:firstLine="640" w:firstLineChars="200"/>
        <w:rPr>
          <w:rFonts w:hint="default" w:ascii="黑体" w:hAnsi="黑体" w:eastAsia="黑体" w:cs="黑体"/>
          <w:b/>
          <w:bCs/>
          <w:color w:val="FF0000"/>
          <w:sz w:val="32"/>
          <w:szCs w:val="32"/>
        </w:rPr>
      </w:pPr>
      <w:r>
        <w:rPr>
          <w:rFonts w:ascii="仿宋_GB2312" w:eastAsia="仿宋_GB2312"/>
          <w:sz w:val="32"/>
        </w:rPr>
        <w:t>1.基本支出1116.69万元，占支出总计的77.50%。主要是为保障机构正常运转、完成日常工作任务而发生的各项支出，其中：工资福利支出597.63万元，对个人和家庭的补助支出333.27万元，商品和服务支出163.46万元，资本性支出22.34万元。</w:t>
      </w:r>
    </w:p>
    <w:p w14:paraId="6A33B520">
      <w:pPr>
        <w:pStyle w:val="6"/>
        <w:spacing w:line="560" w:lineRule="exact"/>
        <w:ind w:firstLine="660"/>
        <w:rPr>
          <w:rFonts w:hint="default" w:ascii="仿宋_GB2312" w:eastAsia="仿宋_GB2312"/>
          <w:sz w:val="32"/>
        </w:rPr>
      </w:pPr>
      <w:r>
        <w:rPr>
          <w:rFonts w:ascii="仿宋_GB2312" w:eastAsia="仿宋_GB2312"/>
          <w:sz w:val="32"/>
        </w:rPr>
        <w:t>2.项目支出324.52万元，占支出总计的22.60%。</w:t>
      </w:r>
      <w:bookmarkStart w:id="0" w:name="_GoBack"/>
      <w:bookmarkEnd w:id="0"/>
      <w:r>
        <w:rPr>
          <w:rFonts w:hint="eastAsia" w:ascii="仿宋_GB2312" w:eastAsia="仿宋_GB2312"/>
          <w:sz w:val="32"/>
          <w:lang w:eastAsia="zh-CN"/>
        </w:rPr>
        <w:t>主要</w:t>
      </w:r>
      <w:r>
        <w:rPr>
          <w:rFonts w:ascii="仿宋_GB2312" w:eastAsia="仿宋_GB2312"/>
          <w:sz w:val="32"/>
        </w:rPr>
        <w:t>包括小学教育支出208.08万元，其他普通教育支出62.54万元，教育费附加安排的支出53.06万元，其他教育支出0.84万元。</w:t>
      </w:r>
    </w:p>
    <w:p w14:paraId="3D290B96">
      <w:pPr>
        <w:spacing w:line="540" w:lineRule="exact"/>
        <w:ind w:firstLine="660"/>
        <w:rPr>
          <w:rFonts w:hint="default" w:ascii="仿宋_GB2312" w:hAnsi="宋体" w:eastAsia="仿宋_GB2312"/>
          <w:sz w:val="32"/>
          <w:szCs w:val="32"/>
        </w:rPr>
      </w:pPr>
      <w:r>
        <w:rPr>
          <w:rFonts w:ascii="仿宋_GB2312" w:eastAsia="仿宋_GB2312"/>
          <w:sz w:val="32"/>
        </w:rPr>
        <w:t>与上年相比，今年支出增加489.05万元，增长51.40%，主要原因：</w:t>
      </w:r>
      <w:r>
        <w:rPr>
          <w:rFonts w:ascii="黑体" w:hAnsi="黑体" w:eastAsia="黑体"/>
          <w:sz w:val="32"/>
          <w:szCs w:val="32"/>
        </w:rPr>
        <w:t>一是</w:t>
      </w:r>
      <w:r>
        <w:rPr>
          <w:rFonts w:ascii="仿宋_GB2312" w:hAnsi="宋体" w:eastAsia="仿宋_GB2312"/>
          <w:sz w:val="32"/>
          <w:szCs w:val="32"/>
        </w:rPr>
        <w:t>教师人数增加，人员类支出增加，</w:t>
      </w:r>
      <w:r>
        <w:rPr>
          <w:rFonts w:ascii="黑体" w:hAnsi="黑体" w:eastAsia="黑体"/>
          <w:sz w:val="32"/>
          <w:szCs w:val="32"/>
        </w:rPr>
        <w:t>二是</w:t>
      </w:r>
      <w:r>
        <w:rPr>
          <w:rFonts w:ascii="仿宋_GB2312" w:hAnsi="宋体" w:eastAsia="仿宋_GB2312"/>
          <w:sz w:val="32"/>
          <w:szCs w:val="32"/>
        </w:rPr>
        <w:t>专项资金增加，支出就增加。</w:t>
      </w:r>
    </w:p>
    <w:p w14:paraId="7717EC17">
      <w:pPr>
        <w:pStyle w:val="6"/>
        <w:spacing w:line="560" w:lineRule="exact"/>
        <w:ind w:firstLine="660"/>
        <w:rPr>
          <w:rFonts w:hint="default" w:ascii="楷体_GB2312" w:eastAsia="楷体_GB2312"/>
          <w:b/>
          <w:sz w:val="32"/>
        </w:rPr>
      </w:pPr>
      <w:r>
        <w:rPr>
          <w:rFonts w:ascii="楷体_GB2312" w:eastAsia="楷体_GB2312"/>
          <w:b/>
          <w:sz w:val="32"/>
        </w:rPr>
        <w:t>（三）年末结转和结余0.19万元</w:t>
      </w:r>
    </w:p>
    <w:p w14:paraId="77492E5D">
      <w:pPr>
        <w:pStyle w:val="6"/>
        <w:spacing w:line="560" w:lineRule="exact"/>
        <w:ind w:firstLine="660"/>
        <w:rPr>
          <w:rFonts w:hint="eastAsia" w:ascii="仿宋_GB2312" w:hAnsi="仿宋_GB2312" w:eastAsia="仿宋_GB2312" w:cs="仿宋_GB2312"/>
          <w:sz w:val="32"/>
        </w:rPr>
      </w:pPr>
      <w:r>
        <w:rPr>
          <w:rFonts w:ascii="仿宋_GB2312" w:eastAsia="仿宋_GB2312"/>
          <w:sz w:val="32"/>
        </w:rPr>
        <w:t>主要是专用基金等原因形成的结余。与上年相比，今年结转结余减少90.81万元，降低99.8%，主要</w:t>
      </w:r>
      <w:r>
        <w:rPr>
          <w:rFonts w:hint="eastAsia" w:ascii="仿宋_GB2312" w:hAnsi="仿宋_GB2312" w:eastAsia="仿宋_GB2312" w:cs="仿宋_GB2312"/>
          <w:sz w:val="32"/>
        </w:rPr>
        <w:t>原因：专项资金结转结余减少。</w:t>
      </w:r>
      <w:r>
        <w:rPr>
          <w:rFonts w:hint="eastAsia" w:ascii="仿宋_GB2312" w:hAnsi="仿宋_GB2312" w:eastAsia="仿宋_GB2312" w:cs="仿宋_GB2312"/>
          <w:b/>
          <w:bCs/>
          <w:color w:val="FF0000"/>
          <w:sz w:val="32"/>
          <w:szCs w:val="32"/>
        </w:rPr>
        <w:t xml:space="preserve"> </w:t>
      </w:r>
    </w:p>
    <w:p w14:paraId="1B31E1B4">
      <w:pPr>
        <w:pStyle w:val="6"/>
        <w:numPr>
          <w:ilvl w:val="0"/>
          <w:numId w:val="2"/>
        </w:numPr>
        <w:spacing w:line="560" w:lineRule="exact"/>
        <w:ind w:firstLine="660"/>
        <w:rPr>
          <w:rFonts w:hint="default" w:ascii="黑体" w:eastAsia="黑体"/>
          <w:sz w:val="32"/>
        </w:rPr>
      </w:pPr>
      <w:r>
        <w:rPr>
          <w:rFonts w:ascii="黑体" w:eastAsia="黑体"/>
          <w:sz w:val="32"/>
        </w:rPr>
        <w:t>财政拨款收入支出决算情况说明</w:t>
      </w:r>
    </w:p>
    <w:p w14:paraId="001C6B61">
      <w:pPr>
        <w:pStyle w:val="6"/>
        <w:spacing w:line="560" w:lineRule="exact"/>
        <w:ind w:firstLine="643" w:firstLineChars="200"/>
        <w:rPr>
          <w:rFonts w:hint="default" w:ascii="楷体_GB2312" w:eastAsia="楷体_GB2312"/>
          <w:b/>
          <w:sz w:val="32"/>
        </w:rPr>
      </w:pPr>
      <w:r>
        <w:rPr>
          <w:rFonts w:ascii="楷体_GB2312" w:eastAsia="楷体_GB2312"/>
          <w:b/>
          <w:sz w:val="32"/>
        </w:rPr>
        <w:t>（一）总体情况</w:t>
      </w:r>
    </w:p>
    <w:p w14:paraId="79E766C1">
      <w:pPr>
        <w:pStyle w:val="6"/>
        <w:spacing w:line="560" w:lineRule="exact"/>
        <w:ind w:firstLine="660"/>
        <w:rPr>
          <w:rFonts w:hint="default" w:ascii="仿宋_GB2312" w:eastAsia="仿宋_GB2312"/>
          <w:sz w:val="32"/>
        </w:rPr>
      </w:pPr>
      <w:r>
        <w:rPr>
          <w:rFonts w:ascii="仿宋_GB2312" w:eastAsia="仿宋_GB2312"/>
          <w:sz w:val="32"/>
        </w:rPr>
        <w:t>2021年度财政拨款支出1441.22万元，其中：基本支出1116.70万元，项目支出324.52万元。与上年相比，财政拨款支出增加489.05万元，增长51.40%，主要原因：人员经费和专项经费增加，支出就增加。与年初预算641.47万相比，2021年度财政拨款支出完成年初预算的224.70%，其中：基本支出完成年初预算的174.10%，学校没有单独安排项目支出的年初预算，由教育局统一安排。</w:t>
      </w:r>
    </w:p>
    <w:p w14:paraId="419D6661">
      <w:pPr>
        <w:spacing w:line="560" w:lineRule="exact"/>
        <w:ind w:left="630"/>
        <w:rPr>
          <w:rFonts w:hint="default" w:ascii="楷体_GB2312" w:hAnsi="宋体" w:eastAsia="楷体_GB2312"/>
          <w:b/>
          <w:sz w:val="32"/>
          <w:szCs w:val="32"/>
        </w:rPr>
      </w:pPr>
      <w:r>
        <w:rPr>
          <w:rFonts w:ascii="楷体_GB2312" w:hAnsi="宋体" w:eastAsia="楷体_GB2312"/>
          <w:b/>
          <w:sz w:val="32"/>
          <w:szCs w:val="32"/>
        </w:rPr>
        <w:t>（二）一般公共预算财政拨款支出情况。</w:t>
      </w:r>
    </w:p>
    <w:p w14:paraId="15AEC2C8">
      <w:pPr>
        <w:spacing w:line="560" w:lineRule="exact"/>
        <w:ind w:firstLine="640" w:firstLineChars="200"/>
        <w:rPr>
          <w:rFonts w:hint="default" w:ascii="仿宋_GB2312" w:hAnsi="宋体" w:eastAsia="仿宋_GB2312"/>
          <w:sz w:val="32"/>
          <w:szCs w:val="32"/>
        </w:rPr>
      </w:pPr>
      <w:r>
        <w:rPr>
          <w:rFonts w:ascii="仿宋_GB2312" w:hAnsi="宋体" w:eastAsia="仿宋_GB2312"/>
          <w:sz w:val="32"/>
          <w:szCs w:val="32"/>
        </w:rPr>
        <w:t>2021年度一般公共预算财政拨款支出</w:t>
      </w:r>
      <w:r>
        <w:rPr>
          <w:rFonts w:ascii="仿宋_GB2312" w:eastAsia="仿宋_GB2312"/>
          <w:sz w:val="32"/>
        </w:rPr>
        <w:t>1378.67万</w:t>
      </w:r>
      <w:r>
        <w:rPr>
          <w:rFonts w:ascii="仿宋_GB2312" w:hAnsi="宋体" w:eastAsia="仿宋_GB2312"/>
          <w:sz w:val="32"/>
          <w:szCs w:val="32"/>
        </w:rPr>
        <w:t>元，按支出功能分类科目分，包括：教育支出1292.16万元，占93.7%；社会保障就业支出53.46万元，占3.9%；卫生健康支出33.04万元，占2.4%。。</w:t>
      </w:r>
    </w:p>
    <w:p w14:paraId="7EE51608">
      <w:pPr>
        <w:spacing w:line="560" w:lineRule="exact"/>
        <w:ind w:firstLine="660"/>
        <w:rPr>
          <w:rFonts w:hint="default" w:ascii="仿宋_GB2312" w:hAnsi="宋体" w:eastAsia="仿宋_GB2312"/>
          <w:sz w:val="32"/>
          <w:szCs w:val="32"/>
        </w:rPr>
      </w:pPr>
      <w:r>
        <w:rPr>
          <w:rFonts w:ascii="仿宋_GB2312" w:hAnsi="宋体" w:eastAsia="仿宋_GB2312"/>
          <w:sz w:val="32"/>
          <w:szCs w:val="32"/>
        </w:rPr>
        <w:t>1.教育支出1292.16万元，具体包括：</w:t>
      </w:r>
    </w:p>
    <w:p w14:paraId="64317411">
      <w:pPr>
        <w:rPr>
          <w:rFonts w:hint="eastAsia" w:ascii="仿宋_GB2312" w:eastAsia="仿宋_GB2312"/>
          <w:sz w:val="32"/>
          <w:szCs w:val="32"/>
          <w:lang w:val="en-US" w:eastAsia="zh-CN"/>
        </w:rPr>
      </w:pPr>
      <w:r>
        <w:rPr>
          <w:rFonts w:ascii="仿宋_GB2312" w:eastAsia="仿宋_GB2312"/>
          <w:sz w:val="32"/>
          <w:szCs w:val="32"/>
        </w:rPr>
        <w:t>（1）小学教育1238.26万元，主要包括工资福利支出514.11万元，商品服务支出318.70万元，对个人和家庭补助支出330.52万元，资本性支出74.94万元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p>
    <w:p w14:paraId="0AD83F22">
      <w:pPr>
        <w:pStyle w:val="6"/>
        <w:spacing w:line="560" w:lineRule="atLeast"/>
        <w:ind w:firstLine="660"/>
        <w:rPr>
          <w:rFonts w:hint="default" w:ascii="仿宋_GB2312" w:hAnsi="宋体" w:eastAsia="仿宋_GB2312"/>
          <w:sz w:val="32"/>
          <w:szCs w:val="32"/>
        </w:rPr>
      </w:pPr>
      <w:r>
        <w:rPr>
          <w:rFonts w:ascii="仿宋_GB2312" w:hAnsi="宋体" w:eastAsia="仿宋_GB2312"/>
          <w:sz w:val="32"/>
          <w:szCs w:val="32"/>
        </w:rPr>
        <w:t>（2）其他普通教育支出0.84万元，主要是</w:t>
      </w:r>
      <w:r>
        <w:rPr>
          <w:rFonts w:ascii="仿宋_GB2312" w:eastAsia="仿宋_GB2312"/>
          <w:sz w:val="32"/>
          <w:szCs w:val="32"/>
        </w:rPr>
        <w:t>商品服务支出0.84万元</w:t>
      </w:r>
      <w:r>
        <w:rPr>
          <w:rFonts w:ascii="仿宋_GB2312" w:hAnsi="宋体" w:eastAsia="仿宋_GB2312"/>
          <w:sz w:val="32"/>
          <w:szCs w:val="32"/>
        </w:rPr>
        <w:t>支出</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hAnsi="宋体" w:eastAsia="仿宋_GB2312"/>
          <w:sz w:val="32"/>
          <w:szCs w:val="32"/>
        </w:rPr>
        <w:t>。</w:t>
      </w:r>
    </w:p>
    <w:p w14:paraId="2709A69C">
      <w:pPr>
        <w:pStyle w:val="6"/>
        <w:spacing w:line="560" w:lineRule="atLeast"/>
        <w:ind w:firstLine="660"/>
        <w:rPr>
          <w:rFonts w:hint="default" w:ascii="仿宋_GB2312" w:eastAsia="仿宋_GB2312"/>
          <w:sz w:val="32"/>
          <w:szCs w:val="32"/>
        </w:rPr>
      </w:pPr>
      <w:r>
        <w:rPr>
          <w:rFonts w:ascii="仿宋_GB2312" w:eastAsia="仿宋_GB2312"/>
          <w:sz w:val="32"/>
          <w:szCs w:val="32"/>
        </w:rPr>
        <w:t>（3）其他教育费附加安排的支出53.06万元，主要是商品服务支出50.94万元，对个人和家庭补助支出0.74支出,资本性支1.37万元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sz w:val="32"/>
          <w:szCs w:val="32"/>
        </w:rPr>
        <w:t>。</w:t>
      </w:r>
    </w:p>
    <w:p w14:paraId="15EF0901">
      <w:pPr>
        <w:spacing w:line="540" w:lineRule="exact"/>
        <w:ind w:firstLine="640" w:firstLineChars="200"/>
        <w:outlineLvl w:val="2"/>
        <w:rPr>
          <w:rFonts w:hint="default" w:ascii="仿宋_GB2312" w:eastAsia="仿宋_GB2312"/>
          <w:sz w:val="32"/>
          <w:szCs w:val="32"/>
        </w:rPr>
      </w:pPr>
      <w:r>
        <w:rPr>
          <w:rFonts w:hint="default" w:ascii="仿宋_GB2312" w:hAnsi="宋体" w:eastAsia="仿宋_GB2312"/>
          <w:sz w:val="32"/>
          <w:szCs w:val="32"/>
        </w:rPr>
        <w:t>2.社会保障和就业支出</w:t>
      </w:r>
      <w:r>
        <w:rPr>
          <w:rFonts w:ascii="仿宋_GB2312" w:hAnsi="宋体" w:eastAsia="仿宋_GB2312"/>
          <w:sz w:val="32"/>
          <w:szCs w:val="32"/>
        </w:rPr>
        <w:t>53.46</w:t>
      </w:r>
      <w:r>
        <w:rPr>
          <w:rFonts w:hint="default" w:ascii="仿宋_GB2312" w:hAnsi="宋体" w:eastAsia="仿宋_GB2312"/>
          <w:sz w:val="32"/>
          <w:szCs w:val="32"/>
        </w:rPr>
        <w:t>万元，</w:t>
      </w:r>
      <w:r>
        <w:rPr>
          <w:rFonts w:ascii="仿宋_GB2312" w:eastAsia="仿宋_GB2312"/>
          <w:sz w:val="32"/>
          <w:szCs w:val="32"/>
        </w:rPr>
        <w:t>包括：工资福利支出50.48万元，对个人和家庭补助支出2.98万元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sz w:val="32"/>
          <w:szCs w:val="32"/>
        </w:rPr>
        <w:t>。</w:t>
      </w:r>
    </w:p>
    <w:p w14:paraId="18D0587D">
      <w:pPr>
        <w:pStyle w:val="6"/>
        <w:spacing w:line="560" w:lineRule="atLeast"/>
        <w:ind w:firstLine="660"/>
        <w:rPr>
          <w:rFonts w:hint="default" w:ascii="仿宋_GB2312" w:eastAsia="仿宋_GB2312"/>
          <w:sz w:val="32"/>
          <w:szCs w:val="32"/>
        </w:rPr>
      </w:pPr>
      <w:r>
        <w:rPr>
          <w:rFonts w:hint="default" w:ascii="仿宋_GB2312" w:eastAsia="仿宋_GB2312"/>
          <w:sz w:val="32"/>
          <w:szCs w:val="32"/>
        </w:rPr>
        <w:t>3.卫生健康支出</w:t>
      </w:r>
      <w:r>
        <w:rPr>
          <w:rFonts w:ascii="仿宋_GB2312" w:eastAsia="仿宋_GB2312"/>
          <w:sz w:val="32"/>
          <w:szCs w:val="32"/>
        </w:rPr>
        <w:t>33.04</w:t>
      </w:r>
      <w:r>
        <w:rPr>
          <w:rFonts w:hint="default" w:ascii="仿宋_GB2312" w:eastAsia="仿宋_GB2312"/>
          <w:sz w:val="32"/>
          <w:szCs w:val="32"/>
        </w:rPr>
        <w:t>万元，</w:t>
      </w:r>
      <w:r>
        <w:rPr>
          <w:rFonts w:ascii="仿宋_GB2312" w:eastAsia="仿宋_GB2312"/>
          <w:sz w:val="32"/>
          <w:szCs w:val="32"/>
        </w:rPr>
        <w:t>包括：工资福利支出33.04万元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sz w:val="32"/>
          <w:szCs w:val="32"/>
        </w:rPr>
        <w:t>。</w:t>
      </w:r>
    </w:p>
    <w:p w14:paraId="74F13CE5">
      <w:pPr>
        <w:spacing w:line="540" w:lineRule="exact"/>
        <w:ind w:firstLine="643" w:firstLineChars="200"/>
        <w:outlineLvl w:val="2"/>
        <w:rPr>
          <w:rFonts w:hint="default" w:ascii="黑体" w:hAnsi="黑体" w:eastAsia="黑体" w:cs="黑体"/>
          <w:b/>
          <w:color w:val="FF0000"/>
          <w:sz w:val="32"/>
          <w:szCs w:val="32"/>
        </w:rPr>
      </w:pPr>
      <w:r>
        <w:rPr>
          <w:rFonts w:ascii="楷体_GB2312" w:hAnsi="宋体" w:eastAsia="楷体_GB2312"/>
          <w:b/>
          <w:sz w:val="32"/>
          <w:szCs w:val="32"/>
        </w:rPr>
        <w:t>（三）政府性基金预算财政拨款支出情况。</w:t>
      </w:r>
      <w:r>
        <w:rPr>
          <w:rFonts w:ascii="黑体" w:hAnsi="黑体" w:eastAsia="黑体" w:cs="黑体"/>
          <w:b/>
          <w:color w:val="FF0000"/>
          <w:sz w:val="32"/>
          <w:szCs w:val="32"/>
        </w:rPr>
        <w:t xml:space="preserve">  </w:t>
      </w:r>
    </w:p>
    <w:p w14:paraId="2E3D8324">
      <w:pPr>
        <w:spacing w:line="560" w:lineRule="exact"/>
        <w:ind w:firstLine="660"/>
        <w:rPr>
          <w:rFonts w:hint="default" w:ascii="仿宋_GB2312" w:hAnsi="宋体" w:eastAsia="仿宋_GB2312"/>
          <w:sz w:val="32"/>
          <w:szCs w:val="32"/>
        </w:rPr>
      </w:pPr>
      <w:r>
        <w:rPr>
          <w:rFonts w:hint="default" w:ascii="仿宋_GB2312" w:hAnsi="宋体" w:eastAsia="仿宋_GB2312"/>
          <w:sz w:val="32"/>
          <w:szCs w:val="32"/>
        </w:rPr>
        <w:t>本年未发生此项资金</w:t>
      </w:r>
    </w:p>
    <w:p w14:paraId="2B8BF46E">
      <w:pPr>
        <w:numPr>
          <w:ilvl w:val="0"/>
          <w:numId w:val="3"/>
        </w:num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国有资本经营预算财政拨款支出情况。</w:t>
      </w:r>
    </w:p>
    <w:p w14:paraId="41E63F13">
      <w:pPr>
        <w:spacing w:line="560" w:lineRule="exact"/>
        <w:ind w:left="660"/>
        <w:rPr>
          <w:rFonts w:hint="default" w:ascii="仿宋_GB2312" w:hAnsi="宋体" w:eastAsia="仿宋_GB2312"/>
          <w:sz w:val="32"/>
          <w:szCs w:val="32"/>
        </w:rPr>
      </w:pPr>
      <w:r>
        <w:rPr>
          <w:rFonts w:hint="default" w:ascii="仿宋_GB2312" w:hAnsi="宋体" w:eastAsia="仿宋_GB2312"/>
          <w:sz w:val="32"/>
          <w:szCs w:val="32"/>
        </w:rPr>
        <w:t>本年未发生此项资金</w:t>
      </w:r>
    </w:p>
    <w:p w14:paraId="06616DDF">
      <w:pPr>
        <w:pStyle w:val="6"/>
        <w:spacing w:line="560" w:lineRule="exact"/>
        <w:ind w:firstLine="660"/>
        <w:rPr>
          <w:rFonts w:hint="default" w:ascii="黑体" w:eastAsia="黑体"/>
          <w:sz w:val="32"/>
        </w:rPr>
      </w:pPr>
      <w:r>
        <w:rPr>
          <w:rFonts w:ascii="黑体" w:eastAsia="黑体"/>
          <w:sz w:val="32"/>
        </w:rPr>
        <w:t>三、一般公共预算财政拨款“三公”经费支出决算情况说明</w:t>
      </w:r>
    </w:p>
    <w:p w14:paraId="1CDC3C70">
      <w:pPr>
        <w:pStyle w:val="6"/>
        <w:autoSpaceDN w:val="0"/>
        <w:spacing w:line="560" w:lineRule="exact"/>
        <w:ind w:firstLine="645"/>
        <w:rPr>
          <w:rFonts w:hint="default" w:ascii="仿宋_GB2312" w:eastAsia="仿宋_GB2312"/>
          <w:sz w:val="32"/>
        </w:rPr>
      </w:pPr>
      <w:r>
        <w:rPr>
          <w:rFonts w:ascii="仿宋_GB2312" w:eastAsia="仿宋_GB2312"/>
          <w:sz w:val="32"/>
        </w:rPr>
        <w:t>2021年度一般公共预算财政拨款安排的“三公”经费支出0万元，未安排年初预算，决算数等于年初预算数的主要原因是无此任务。其中：因公出国（境）费0万元，公务接待费0万元，公务用车购置及运行维护费0万元。</w:t>
      </w:r>
    </w:p>
    <w:p w14:paraId="20EA8871">
      <w:pPr>
        <w:pStyle w:val="6"/>
        <w:spacing w:line="560" w:lineRule="exact"/>
        <w:ind w:firstLine="645"/>
        <w:rPr>
          <w:rFonts w:hint="default" w:ascii="仿宋_GB2312" w:hAnsi="Times New Roman" w:eastAsia="仿宋_GB2312" w:cs="Times New Roman"/>
          <w:kern w:val="0"/>
          <w:sz w:val="32"/>
          <w:szCs w:val="32"/>
        </w:rPr>
      </w:pPr>
      <w:r>
        <w:rPr>
          <w:rFonts w:ascii="仿宋_GB2312" w:eastAsia="仿宋_GB2312"/>
          <w:sz w:val="32"/>
        </w:rPr>
        <w:t>1.因公出国（境）费0万元，未安排年初预算，决算数等于年初预算数的主要原因是无此任务。2021年参加出国（境）团组0个，累计0人次</w:t>
      </w:r>
      <w:r>
        <w:rPr>
          <w:rFonts w:ascii="仿宋_GB2312" w:hAnsi="Times New Roman" w:eastAsia="仿宋_GB2312" w:cs="Times New Roman"/>
          <w:kern w:val="0"/>
          <w:sz w:val="32"/>
          <w:szCs w:val="32"/>
        </w:rPr>
        <w:t>。</w:t>
      </w:r>
      <w:r>
        <w:rPr>
          <w:rFonts w:ascii="仿宋_GB2312" w:eastAsia="仿宋_GB2312"/>
          <w:sz w:val="32"/>
        </w:rPr>
        <w:t>2021年因公出国（境）费比上年减少0万元，下降0%，主要是2020年及2021年均无出国任务。</w:t>
      </w:r>
    </w:p>
    <w:p w14:paraId="6E3B84A8">
      <w:pPr>
        <w:pStyle w:val="6"/>
        <w:spacing w:line="560" w:lineRule="exact"/>
        <w:rPr>
          <w:rFonts w:hint="default" w:ascii="Times New Roman" w:hAnsi="Times New Roman" w:cs="Times New Roman"/>
          <w:kern w:val="0"/>
          <w:szCs w:val="21"/>
        </w:rPr>
      </w:pPr>
      <w:r>
        <w:rPr>
          <w:rFonts w:ascii="仿宋_GB2312" w:eastAsia="仿宋_GB2312"/>
          <w:sz w:val="32"/>
        </w:rPr>
        <w:t xml:space="preserve">    2.公务接待费0万元，未安排年初预算，决算数等于年初预算数的主要原因是无此任务。2021年国内公务接待累计0批次、0人、0万元。2021年公务接待费比上年减少0万元，下降0%，主要是2020年及2021年均无公务招待。</w:t>
      </w:r>
    </w:p>
    <w:p w14:paraId="04214B00">
      <w:pPr>
        <w:pStyle w:val="6"/>
        <w:spacing w:line="560" w:lineRule="exact"/>
        <w:ind w:firstLine="640" w:firstLineChars="200"/>
        <w:rPr>
          <w:rFonts w:hint="default" w:ascii="仿宋_GB2312" w:eastAsia="仿宋_GB2312"/>
          <w:sz w:val="32"/>
        </w:rPr>
      </w:pPr>
      <w:r>
        <w:rPr>
          <w:rFonts w:ascii="仿宋_GB2312" w:eastAsia="仿宋_GB2312"/>
          <w:sz w:val="32"/>
        </w:rPr>
        <w:t>3.</w:t>
      </w:r>
      <w:r>
        <w:rPr>
          <w:rFonts w:hint="default" w:ascii="Times New Roman" w:hAnsi="Times New Roman"/>
        </w:rPr>
        <w:t xml:space="preserve"> </w:t>
      </w:r>
      <w:r>
        <w:rPr>
          <w:rFonts w:ascii="仿宋_GB2312" w:eastAsia="仿宋_GB2312"/>
          <w:sz w:val="32"/>
        </w:rPr>
        <w:t>公务用车购置及运行费0万元，未安排年初预算，决算数等于年初预算数的主要原因是无此任务。2021年公务用车购置及运行费比上年减少0万元，下降0%，主要是2020年及2021年均无公务用车购置。</w:t>
      </w:r>
    </w:p>
    <w:p w14:paraId="4F2735F6">
      <w:pPr>
        <w:spacing w:line="540" w:lineRule="exact"/>
        <w:ind w:firstLine="645"/>
        <w:rPr>
          <w:rFonts w:hint="default" w:ascii="仿宋_GB2312" w:eastAsia="仿宋_GB2312"/>
          <w:sz w:val="32"/>
        </w:rPr>
      </w:pPr>
      <w:r>
        <w:rPr>
          <w:rFonts w:ascii="仿宋_GB2312" w:hAnsi="宋体" w:eastAsia="仿宋_GB2312"/>
          <w:sz w:val="32"/>
          <w:szCs w:val="32"/>
        </w:rPr>
        <w:t>其中：公务用车购置费0万元，当年购置公务用车0辆。</w:t>
      </w:r>
      <w:r>
        <w:rPr>
          <w:rFonts w:ascii="仿宋_GB2312" w:eastAsia="仿宋_GB2312"/>
          <w:sz w:val="32"/>
        </w:rPr>
        <w:t>未安排年初预算，决算数等于年初预算数的主要原因是无此任务。</w:t>
      </w:r>
    </w:p>
    <w:p w14:paraId="6661DEDE">
      <w:pPr>
        <w:pStyle w:val="6"/>
        <w:autoSpaceDN w:val="0"/>
        <w:spacing w:line="560" w:lineRule="exact"/>
        <w:ind w:firstLine="640"/>
        <w:rPr>
          <w:rFonts w:hint="default" w:ascii="仿宋_GB2312" w:eastAsia="仿宋_GB2312"/>
          <w:sz w:val="32"/>
        </w:rPr>
      </w:pPr>
      <w:r>
        <w:rPr>
          <w:rFonts w:ascii="仿宋_GB2312" w:eastAsia="仿宋_GB2312"/>
          <w:sz w:val="32"/>
          <w:szCs w:val="32"/>
        </w:rPr>
        <w:t>公务用车运行维护费0万元，截至年末使用一般公共预算财政拨款开支运行维护费的公务用车保有量0辆。</w:t>
      </w:r>
      <w:r>
        <w:rPr>
          <w:rFonts w:ascii="仿宋_GB2312" w:eastAsia="仿宋_GB2312"/>
          <w:sz w:val="32"/>
        </w:rPr>
        <w:t>未安排年初预算，决算数等于年初预算数的主要原因是无此任务。</w:t>
      </w:r>
    </w:p>
    <w:p w14:paraId="1DC6E0E7">
      <w:pPr>
        <w:pStyle w:val="6"/>
        <w:spacing w:line="560" w:lineRule="exact"/>
        <w:ind w:firstLine="645"/>
        <w:rPr>
          <w:rFonts w:hint="default" w:ascii="黑体" w:eastAsia="黑体"/>
          <w:sz w:val="32"/>
        </w:rPr>
      </w:pPr>
      <w:r>
        <w:rPr>
          <w:rFonts w:ascii="黑体" w:eastAsia="黑体"/>
          <w:sz w:val="32"/>
        </w:rPr>
        <w:t>四、一般公共预算财政拨款基本支出决算情况说明</w:t>
      </w:r>
    </w:p>
    <w:p w14:paraId="1171059C">
      <w:pPr>
        <w:pStyle w:val="6"/>
        <w:spacing w:line="560" w:lineRule="exact"/>
        <w:ind w:firstLine="645"/>
        <w:rPr>
          <w:rFonts w:hint="default" w:ascii="仿宋_GB2312" w:eastAsia="仿宋_GB2312"/>
          <w:sz w:val="32"/>
        </w:rPr>
      </w:pPr>
      <w:r>
        <w:rPr>
          <w:rFonts w:ascii="仿宋_GB2312" w:eastAsia="仿宋_GB2312"/>
          <w:sz w:val="32"/>
        </w:rPr>
        <w:t>2021年度一般公共预算财政拨款基本支出1116.69万元，其中：人员经费930.89万元，主要包括基本工资、津贴补贴、奖金、其他社会保障缴费、机关事业单位基本养老保险缴费、其他工资福利支出、离休费、退休费、抚恤金、生活补助、奖励金、住房公积金、采暖补贴、其他对个人和家庭补助的支出；日常公用经费185.80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14:paraId="20EC09E4">
      <w:pPr>
        <w:pStyle w:val="6"/>
        <w:spacing w:line="560" w:lineRule="exact"/>
        <w:ind w:firstLine="640"/>
        <w:rPr>
          <w:rFonts w:hint="default" w:ascii="黑体" w:eastAsia="黑体"/>
          <w:sz w:val="32"/>
        </w:rPr>
      </w:pPr>
      <w:r>
        <w:rPr>
          <w:rFonts w:ascii="黑体" w:eastAsia="黑体"/>
          <w:sz w:val="32"/>
        </w:rPr>
        <w:t>五、其他重要事项的情况说明</w:t>
      </w:r>
    </w:p>
    <w:p w14:paraId="30B62E84">
      <w:pPr>
        <w:pStyle w:val="6"/>
        <w:spacing w:line="560" w:lineRule="exact"/>
        <w:ind w:firstLine="640"/>
        <w:rPr>
          <w:rFonts w:hint="default" w:ascii="楷体_GB2312" w:eastAsia="楷体_GB2312"/>
          <w:b/>
          <w:sz w:val="32"/>
        </w:rPr>
      </w:pPr>
      <w:r>
        <w:rPr>
          <w:rFonts w:ascii="楷体_GB2312" w:eastAsia="楷体_GB2312"/>
          <w:b/>
          <w:sz w:val="32"/>
        </w:rPr>
        <w:t>（一）机关运行经费支出情况。</w:t>
      </w:r>
    </w:p>
    <w:p w14:paraId="0A0777BE">
      <w:pPr>
        <w:pStyle w:val="6"/>
        <w:spacing w:line="560" w:lineRule="exact"/>
        <w:ind w:firstLine="640"/>
        <w:rPr>
          <w:rFonts w:hint="default" w:ascii="仿宋_GB2312" w:eastAsia="仿宋_GB2312"/>
          <w:sz w:val="32"/>
        </w:rPr>
      </w:pPr>
      <w:r>
        <w:rPr>
          <w:rFonts w:ascii="仿宋_GB2312" w:eastAsia="仿宋_GB2312"/>
          <w:sz w:val="32"/>
        </w:rPr>
        <w:t>2021年机关运行经费支出0万元，与上年持平，主要原因是本单位属于事业单位，无机关运行经费。</w:t>
      </w:r>
    </w:p>
    <w:p w14:paraId="4E4863DB">
      <w:pPr>
        <w:pStyle w:val="6"/>
        <w:numPr>
          <w:ilvl w:val="0"/>
          <w:numId w:val="1"/>
        </w:numPr>
        <w:spacing w:line="560" w:lineRule="exact"/>
        <w:ind w:firstLine="660"/>
        <w:rPr>
          <w:rFonts w:hint="default" w:ascii="楷体_GB2312" w:eastAsia="楷体_GB2312"/>
          <w:b/>
          <w:sz w:val="32"/>
        </w:rPr>
      </w:pPr>
      <w:r>
        <w:rPr>
          <w:rFonts w:ascii="楷体_GB2312" w:eastAsia="楷体_GB2312"/>
          <w:b/>
          <w:sz w:val="32"/>
        </w:rPr>
        <w:t>政府采购支出情况。</w:t>
      </w:r>
    </w:p>
    <w:p w14:paraId="21A24D42">
      <w:pPr>
        <w:pStyle w:val="6"/>
        <w:spacing w:line="560" w:lineRule="exact"/>
        <w:ind w:firstLine="640" w:firstLineChars="200"/>
        <w:rPr>
          <w:rFonts w:hint="default" w:ascii="仿宋_GB2312" w:eastAsia="仿宋_GB2312"/>
          <w:sz w:val="32"/>
        </w:rPr>
      </w:pPr>
      <w:r>
        <w:rPr>
          <w:rFonts w:ascii="仿宋_GB2312" w:eastAsia="仿宋_GB2312"/>
          <w:sz w:val="32"/>
        </w:rPr>
        <w:t>2021年政府采购支出总额0万元，其中：政府采购货物支出0万元，政府采购工程支出0万元，政府采购服务支出0万元。</w:t>
      </w:r>
    </w:p>
    <w:p w14:paraId="02227EC8">
      <w:pPr>
        <w:pStyle w:val="6"/>
        <w:spacing w:line="560" w:lineRule="exact"/>
        <w:ind w:firstLine="643" w:firstLineChars="200"/>
        <w:rPr>
          <w:rFonts w:hint="default" w:ascii="黑体" w:hAnsi="黑体" w:eastAsia="黑体"/>
          <w:b/>
          <w:bCs/>
          <w:color w:val="FF0000"/>
          <w:sz w:val="32"/>
          <w:szCs w:val="32"/>
        </w:rPr>
      </w:pPr>
      <w:r>
        <w:rPr>
          <w:rFonts w:ascii="楷体_GB2312" w:eastAsia="楷体_GB2312"/>
          <w:b/>
          <w:sz w:val="32"/>
        </w:rPr>
        <w:t>（四）国有资产占用情况。</w:t>
      </w:r>
      <w:r>
        <w:rPr>
          <w:rFonts w:ascii="黑体" w:hAnsi="黑体" w:eastAsia="黑体"/>
          <w:b/>
          <w:bCs/>
          <w:color w:val="FF0000"/>
          <w:sz w:val="32"/>
          <w:szCs w:val="32"/>
        </w:rPr>
        <w:t xml:space="preserve"> </w:t>
      </w:r>
    </w:p>
    <w:p w14:paraId="05EC50D5">
      <w:pPr>
        <w:pStyle w:val="6"/>
        <w:spacing w:line="560" w:lineRule="exact"/>
        <w:ind w:firstLine="640" w:firstLineChars="200"/>
        <w:rPr>
          <w:rFonts w:hint="default" w:ascii="仿宋_GB2312" w:eastAsia="仿宋_GB2312"/>
          <w:sz w:val="32"/>
        </w:rPr>
      </w:pPr>
      <w:r>
        <w:rPr>
          <w:rFonts w:ascii="仿宋_GB2312" w:eastAsia="仿宋_GB2312"/>
          <w:sz w:val="32"/>
        </w:rPr>
        <w:t>截至2021年12月31日，共有车辆0辆，其中：副省级以上领导干部用车0辆，主要领导干部用车0辆，机要通讯用车0辆，应急保障用车0辆，执法执勤用车0辆，特种专业技术用车0辆，离退休干部用车0辆，其他用车0辆；单位价值50万元以上通用设备0台(套），单价100万元以上专用设备0台（套）。</w:t>
      </w:r>
    </w:p>
    <w:p w14:paraId="1CDE5B56">
      <w:pPr>
        <w:widowControl/>
        <w:spacing w:line="540" w:lineRule="exact"/>
        <w:ind w:firstLine="643" w:firstLineChars="200"/>
        <w:jc w:val="left"/>
        <w:rPr>
          <w:rFonts w:hint="default"/>
          <w:b/>
          <w:color w:val="FF0000"/>
        </w:rPr>
      </w:pPr>
      <w:r>
        <w:rPr>
          <w:rFonts w:ascii="楷体_GB2312" w:eastAsia="楷体_GB2312"/>
          <w:b/>
          <w:sz w:val="32"/>
        </w:rPr>
        <w:t>（四）预算绩效管理工作开展情况。</w:t>
      </w:r>
    </w:p>
    <w:p w14:paraId="7B09BE2C">
      <w:pPr>
        <w:pStyle w:val="6"/>
        <w:spacing w:line="560" w:lineRule="exact"/>
        <w:ind w:firstLine="640" w:firstLineChars="200"/>
        <w:rPr>
          <w:rFonts w:hint="default"/>
          <w:b/>
          <w:sz w:val="36"/>
        </w:rPr>
      </w:pPr>
      <w:r>
        <w:rPr>
          <w:rFonts w:hint="default" w:ascii="仿宋_GB2312" w:eastAsia="仿宋_GB2312"/>
          <w:sz w:val="32"/>
        </w:rPr>
        <w:t>202</w:t>
      </w:r>
      <w:r>
        <w:rPr>
          <w:rFonts w:ascii="仿宋_GB2312" w:eastAsia="仿宋_GB2312"/>
          <w:sz w:val="32"/>
        </w:rPr>
        <w:t>1</w:t>
      </w:r>
      <w:r>
        <w:rPr>
          <w:rFonts w:hint="default" w:ascii="仿宋_GB2312" w:eastAsia="仿宋_GB2312"/>
          <w:sz w:val="32"/>
        </w:rPr>
        <w:t>年不涉及民生项目和重点支出项目。因此本单位无绩效自评及部门评价。</w:t>
      </w:r>
    </w:p>
    <w:p w14:paraId="48F10B64">
      <w:pPr>
        <w:pStyle w:val="9"/>
        <w:autoSpaceDN w:val="0"/>
        <w:spacing w:line="560" w:lineRule="exact"/>
        <w:ind w:firstLine="2530" w:firstLineChars="700"/>
        <w:rPr>
          <w:b/>
          <w:bCs/>
          <w:sz w:val="36"/>
          <w:szCs w:val="36"/>
        </w:rPr>
      </w:pPr>
      <w:r>
        <w:rPr>
          <w:rFonts w:hint="eastAsia"/>
          <w:b/>
          <w:bCs/>
          <w:sz w:val="36"/>
          <w:szCs w:val="36"/>
        </w:rPr>
        <w:t>第三部分 名词解释</w:t>
      </w:r>
    </w:p>
    <w:p w14:paraId="6CA5D270">
      <w:pPr>
        <w:pStyle w:val="6"/>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14:paraId="3AD0501E">
      <w:pPr>
        <w:pStyle w:val="6"/>
        <w:spacing w:line="560" w:lineRule="exact"/>
        <w:ind w:firstLine="640"/>
        <w:rPr>
          <w:rFonts w:hint="default" w:ascii="仿宋_GB2312" w:eastAsia="仿宋_GB2312"/>
          <w:sz w:val="32"/>
        </w:rPr>
      </w:pPr>
      <w:r>
        <w:rPr>
          <w:rFonts w:ascii="仿宋_GB2312" w:eastAsia="仿宋_GB2312"/>
          <w:b/>
          <w:sz w:val="32"/>
        </w:rPr>
        <w:t>2.上级补助收入：</w:t>
      </w:r>
      <w:r>
        <w:rPr>
          <w:rFonts w:ascii="仿宋_GB2312" w:eastAsia="仿宋_GB2312"/>
          <w:sz w:val="32"/>
        </w:rPr>
        <w:t>指单位从主管部门和上级单位取得的非财政性补助收入。</w:t>
      </w:r>
    </w:p>
    <w:p w14:paraId="55E2F38B">
      <w:pPr>
        <w:pStyle w:val="6"/>
        <w:spacing w:line="560" w:lineRule="exact"/>
        <w:ind w:firstLine="640"/>
        <w:rPr>
          <w:rFonts w:hint="default" w:ascii="仿宋_GB2312" w:eastAsia="仿宋_GB2312"/>
          <w:sz w:val="32"/>
        </w:rPr>
      </w:pPr>
      <w:r>
        <w:rPr>
          <w:rFonts w:ascii="仿宋_GB2312" w:eastAsia="仿宋_GB2312"/>
          <w:b/>
          <w:sz w:val="32"/>
        </w:rPr>
        <w:t>3.事业收入：</w:t>
      </w:r>
      <w:r>
        <w:rPr>
          <w:rFonts w:ascii="仿宋_GB2312" w:eastAsia="仿宋_GB2312"/>
          <w:sz w:val="32"/>
        </w:rPr>
        <w:t>指事业单位开展专业业务活动及辅助活动所取得的收入。</w:t>
      </w:r>
    </w:p>
    <w:p w14:paraId="757887CC">
      <w:pPr>
        <w:pStyle w:val="6"/>
        <w:spacing w:line="560" w:lineRule="exact"/>
        <w:ind w:firstLine="640"/>
        <w:rPr>
          <w:rFonts w:hint="default" w:ascii="仿宋_GB2312" w:eastAsia="仿宋_GB2312"/>
          <w:sz w:val="32"/>
        </w:rPr>
      </w:pPr>
      <w:r>
        <w:rPr>
          <w:rFonts w:ascii="仿宋_GB2312" w:eastAsia="仿宋_GB2312"/>
          <w:b/>
          <w:sz w:val="32"/>
        </w:rPr>
        <w:t>4.经营收入：</w:t>
      </w:r>
      <w:r>
        <w:rPr>
          <w:rFonts w:ascii="仿宋_GB2312" w:eastAsia="仿宋_GB2312"/>
          <w:sz w:val="32"/>
        </w:rPr>
        <w:t>指事业单位在专业业务活动及辅助活动之外开展非独立核算经营活动取得的收入。</w:t>
      </w:r>
    </w:p>
    <w:p w14:paraId="3AE00379">
      <w:pPr>
        <w:pStyle w:val="6"/>
        <w:spacing w:line="560" w:lineRule="exact"/>
        <w:ind w:firstLine="640"/>
        <w:rPr>
          <w:rFonts w:hint="default" w:ascii="仿宋_GB2312" w:eastAsia="仿宋_GB2312"/>
          <w:sz w:val="32"/>
        </w:rPr>
      </w:pPr>
      <w:r>
        <w:rPr>
          <w:rFonts w:ascii="仿宋_GB2312" w:eastAsia="仿宋_GB2312"/>
          <w:b/>
          <w:sz w:val="32"/>
        </w:rPr>
        <w:t>5.附属单位上缴收入：</w:t>
      </w:r>
      <w:r>
        <w:rPr>
          <w:rFonts w:ascii="仿宋_GB2312" w:eastAsia="仿宋_GB2312"/>
          <w:sz w:val="32"/>
        </w:rPr>
        <w:t>指单位附属的独立核算单位按照规定上缴的收入。</w:t>
      </w:r>
    </w:p>
    <w:p w14:paraId="6311EAE2">
      <w:pPr>
        <w:pStyle w:val="6"/>
        <w:spacing w:line="560" w:lineRule="exact"/>
        <w:ind w:firstLine="640"/>
        <w:rPr>
          <w:rFonts w:hint="default" w:ascii="仿宋_GB2312" w:eastAsia="仿宋_GB2312"/>
          <w:sz w:val="32"/>
        </w:rPr>
      </w:pPr>
      <w:r>
        <w:rPr>
          <w:rFonts w:ascii="仿宋_GB2312" w:eastAsia="仿宋_GB2312"/>
          <w:b/>
          <w:sz w:val="32"/>
        </w:rPr>
        <w:t>6.其他收入：</w:t>
      </w:r>
      <w:r>
        <w:rPr>
          <w:rFonts w:ascii="仿宋_GB2312" w:eastAsia="仿宋_GB2312"/>
          <w:sz w:val="32"/>
        </w:rPr>
        <w:t>指除上述“财政拨款收入”、</w:t>
      </w:r>
      <w:r>
        <w:rPr>
          <w:rFonts w:ascii="仿宋_GB2312" w:eastAsia="仿宋_GB2312"/>
          <w:b/>
          <w:sz w:val="32"/>
        </w:rPr>
        <w:t xml:space="preserve"> </w:t>
      </w:r>
      <w:r>
        <w:rPr>
          <w:rFonts w:ascii="仿宋_GB2312" w:eastAsia="仿宋_GB2312"/>
          <w:sz w:val="32"/>
        </w:rPr>
        <w:t>“上级补助收入”、“事业收入”、“经营收入”、“附属单位上缴收入”等以外的收入。</w:t>
      </w:r>
    </w:p>
    <w:p w14:paraId="779F4FC9">
      <w:pPr>
        <w:pStyle w:val="6"/>
        <w:spacing w:line="560" w:lineRule="exact"/>
        <w:ind w:firstLine="640"/>
        <w:rPr>
          <w:rFonts w:hint="default" w:ascii="仿宋_GB2312" w:eastAsia="仿宋_GB2312"/>
          <w:sz w:val="32"/>
        </w:rPr>
      </w:pPr>
      <w:r>
        <w:rPr>
          <w:rFonts w:ascii="仿宋_GB2312" w:eastAsia="仿宋_GB2312"/>
          <w:b/>
          <w:sz w:val="32"/>
        </w:rPr>
        <w:t>7.使用非财政拨款结余：</w:t>
      </w:r>
      <w:r>
        <w:rPr>
          <w:rFonts w:ascii="仿宋_GB2312" w:eastAsia="仿宋_GB2312"/>
          <w:sz w:val="32"/>
        </w:rPr>
        <w:t>指事业单位按照预算管理要求使用非财政拨款结余弥补收支差额的金额。。</w:t>
      </w:r>
    </w:p>
    <w:p w14:paraId="20F2BD9A">
      <w:pPr>
        <w:pStyle w:val="6"/>
        <w:spacing w:line="560" w:lineRule="exact"/>
        <w:ind w:firstLine="640"/>
        <w:rPr>
          <w:rFonts w:hint="default" w:ascii="仿宋_GB2312" w:eastAsia="仿宋_GB2312"/>
          <w:sz w:val="32"/>
        </w:rPr>
      </w:pPr>
      <w:r>
        <w:rPr>
          <w:rFonts w:ascii="仿宋_GB2312" w:eastAsia="仿宋_GB2312"/>
          <w:b/>
          <w:sz w:val="32"/>
        </w:rPr>
        <w:t>8.上年结转和结余：</w:t>
      </w:r>
      <w:r>
        <w:rPr>
          <w:rFonts w:ascii="仿宋_GB2312" w:eastAsia="仿宋_GB2312"/>
          <w:sz w:val="32"/>
        </w:rPr>
        <w:t>指以前年度尚未完成、结转到本年按有关规定继续使用的资金。</w:t>
      </w:r>
    </w:p>
    <w:p w14:paraId="7412D6BA">
      <w:pPr>
        <w:pStyle w:val="6"/>
        <w:spacing w:line="560" w:lineRule="exact"/>
        <w:ind w:firstLine="640"/>
        <w:rPr>
          <w:rFonts w:hint="default" w:ascii="仿宋_GB2312" w:eastAsia="仿宋_GB2312"/>
          <w:sz w:val="32"/>
        </w:rPr>
      </w:pPr>
      <w:r>
        <w:rPr>
          <w:rFonts w:ascii="仿宋_GB2312" w:eastAsia="仿宋_GB2312"/>
          <w:b/>
          <w:sz w:val="32"/>
        </w:rPr>
        <w:t>9.基本支出：</w:t>
      </w:r>
      <w:r>
        <w:rPr>
          <w:rFonts w:ascii="仿宋_GB2312" w:eastAsia="仿宋_GB2312"/>
          <w:sz w:val="32"/>
        </w:rPr>
        <w:t>指保障机构正常运转、完成日常工作任务而发生的人员支出和公用支出。</w:t>
      </w:r>
    </w:p>
    <w:p w14:paraId="010BC4CC">
      <w:pPr>
        <w:pStyle w:val="6"/>
        <w:spacing w:line="560" w:lineRule="exact"/>
        <w:ind w:firstLine="640"/>
        <w:rPr>
          <w:rFonts w:hint="default" w:ascii="仿宋_GB2312" w:eastAsia="仿宋_GB2312"/>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14:paraId="2E72627E">
      <w:pPr>
        <w:pStyle w:val="6"/>
        <w:spacing w:line="560" w:lineRule="exact"/>
        <w:ind w:firstLine="640"/>
        <w:rPr>
          <w:rFonts w:hint="default" w:ascii="仿宋_GB2312" w:eastAsia="仿宋_GB2312"/>
          <w:sz w:val="32"/>
        </w:rPr>
      </w:pPr>
      <w:r>
        <w:rPr>
          <w:rFonts w:ascii="仿宋_GB2312" w:eastAsia="仿宋_GB2312"/>
          <w:b/>
          <w:sz w:val="32"/>
        </w:rPr>
        <w:t>11.上缴上级支出：</w:t>
      </w:r>
      <w:r>
        <w:rPr>
          <w:rFonts w:ascii="仿宋_GB2312" w:eastAsia="仿宋_GB2312"/>
          <w:sz w:val="32"/>
        </w:rPr>
        <w:t>指事业单位按照财政部门和主管部门的规定上缴上级单位的支出。</w:t>
      </w:r>
    </w:p>
    <w:p w14:paraId="275E3017">
      <w:pPr>
        <w:pStyle w:val="6"/>
        <w:spacing w:line="560" w:lineRule="exact"/>
        <w:ind w:firstLine="640"/>
        <w:rPr>
          <w:rFonts w:hint="default" w:ascii="仿宋_GB2312" w:eastAsia="仿宋_GB2312"/>
          <w:sz w:val="32"/>
        </w:rPr>
      </w:pPr>
      <w:r>
        <w:rPr>
          <w:rFonts w:ascii="仿宋_GB2312" w:eastAsia="仿宋_GB2312"/>
          <w:b/>
          <w:sz w:val="32"/>
        </w:rPr>
        <w:t>12.经营支出：</w:t>
      </w:r>
      <w:r>
        <w:rPr>
          <w:rFonts w:ascii="仿宋_GB2312" w:eastAsia="仿宋_GB2312"/>
          <w:sz w:val="32"/>
        </w:rPr>
        <w:t>指事业单位在专业活动及辅助活动之外开展非独立核算经营活动发生的支出。</w:t>
      </w:r>
    </w:p>
    <w:p w14:paraId="0A09D1FE">
      <w:pPr>
        <w:pStyle w:val="6"/>
        <w:spacing w:line="560" w:lineRule="exact"/>
        <w:ind w:firstLine="640"/>
        <w:rPr>
          <w:rFonts w:hint="default" w:ascii="仿宋_GB2312" w:eastAsia="仿宋_GB2312"/>
          <w:b/>
          <w:sz w:val="32"/>
        </w:rPr>
      </w:pPr>
      <w:r>
        <w:rPr>
          <w:rFonts w:ascii="仿宋_GB2312" w:eastAsia="仿宋_GB2312"/>
          <w:b/>
          <w:sz w:val="32"/>
        </w:rPr>
        <w:t>13.对附属单位补助支出：</w:t>
      </w:r>
      <w:r>
        <w:rPr>
          <w:rFonts w:ascii="仿宋_GB2312" w:eastAsia="仿宋_GB2312"/>
          <w:sz w:val="32"/>
        </w:rPr>
        <w:t>指事业单位用财政补助收入之外的收入对附属单位补助发生的支出。</w:t>
      </w:r>
    </w:p>
    <w:p w14:paraId="5AF30A84">
      <w:pPr>
        <w:pStyle w:val="6"/>
        <w:spacing w:line="560" w:lineRule="exact"/>
        <w:ind w:firstLine="640"/>
        <w:rPr>
          <w:rFonts w:hint="default" w:ascii="仿宋_GB2312" w:eastAsia="仿宋_GB2312"/>
          <w:sz w:val="32"/>
        </w:rPr>
      </w:pPr>
      <w:r>
        <w:rPr>
          <w:rFonts w:ascii="仿宋_GB2312" w:eastAsia="仿宋_GB2312"/>
          <w:b/>
          <w:sz w:val="32"/>
        </w:rPr>
        <w:t>14.“三公”经费：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14:paraId="3E6657DB">
      <w:pPr>
        <w:pStyle w:val="6"/>
        <w:spacing w:line="560" w:lineRule="exact"/>
        <w:ind w:firstLine="640"/>
        <w:rPr>
          <w:rFonts w:hint="default" w:ascii="仿宋_GB2312" w:eastAsia="仿宋_GB2312"/>
          <w:sz w:val="32"/>
          <w:szCs w:val="32"/>
        </w:rPr>
      </w:pPr>
      <w:r>
        <w:rPr>
          <w:rFonts w:ascii="仿宋_GB2312" w:eastAsia="仿宋_GB2312"/>
          <w:b/>
          <w:bCs/>
          <w:sz w:val="32"/>
        </w:rPr>
        <w:t>15.机关运行经费：</w:t>
      </w:r>
      <w:r>
        <w:rPr>
          <w:rFonts w:ascii="仿宋_GB2312" w:eastAsia="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0500D6F9">
      <w:pPr>
        <w:pStyle w:val="6"/>
        <w:spacing w:line="560" w:lineRule="exact"/>
        <w:ind w:firstLine="640"/>
        <w:rPr>
          <w:rFonts w:hint="default" w:ascii="仿宋_GB2312" w:eastAsia="仿宋_GB2312"/>
          <w:b/>
          <w:sz w:val="32"/>
        </w:rPr>
      </w:pPr>
      <w:r>
        <w:rPr>
          <w:rFonts w:ascii="仿宋_GB2312" w:eastAsia="仿宋_GB2312"/>
          <w:b/>
          <w:sz w:val="32"/>
        </w:rPr>
        <w:t>16.一般公共服务（类）财政事务（款）行政运行（项）：</w:t>
      </w:r>
      <w:r>
        <w:rPr>
          <w:rFonts w:ascii="仿宋_GB2312" w:eastAsia="仿宋_GB2312"/>
          <w:sz w:val="32"/>
        </w:rPr>
        <w:t>反映行政单位（包括实行公务员管理的事业单位）的基本支出。</w:t>
      </w:r>
    </w:p>
    <w:p w14:paraId="70E9523A">
      <w:pPr>
        <w:pStyle w:val="6"/>
        <w:spacing w:line="560" w:lineRule="exact"/>
        <w:ind w:firstLine="640"/>
        <w:rPr>
          <w:rFonts w:hint="default" w:ascii="仿宋_GB2312" w:eastAsia="仿宋_GB2312"/>
          <w:i/>
          <w:sz w:val="32"/>
          <w:u w:val="single"/>
        </w:rPr>
      </w:pPr>
    </w:p>
    <w:p w14:paraId="1E0F7FE5">
      <w:pPr>
        <w:pStyle w:val="6"/>
        <w:spacing w:line="560" w:lineRule="atLeast"/>
        <w:jc w:val="left"/>
        <w:rPr>
          <w:rFonts w:hint="default" w:ascii="仿宋_GB2312" w:hAnsi="仿宋_GB2312" w:eastAsia="仿宋_GB2312" w:cs="仿宋_GB2312"/>
          <w:b/>
          <w:sz w:val="52"/>
          <w:szCs w:val="52"/>
        </w:rPr>
        <w:sectPr>
          <w:headerReference r:id="rId3" w:type="default"/>
          <w:pgSz w:w="11906" w:h="16838"/>
          <w:pgMar w:top="1440" w:right="1800" w:bottom="1440" w:left="1800" w:header="851" w:footer="992" w:gutter="0"/>
          <w:cols w:space="425" w:num="1"/>
          <w:docGrid w:type="lines" w:linePitch="312" w:charSpace="0"/>
        </w:sectPr>
      </w:pPr>
    </w:p>
    <w:p w14:paraId="7455FB3E">
      <w:pPr>
        <w:pStyle w:val="6"/>
        <w:spacing w:line="560" w:lineRule="atLeast"/>
        <w:jc w:val="left"/>
        <w:rPr>
          <w:rFonts w:hint="default" w:ascii="仿宋_GB2312" w:hAnsi="仿宋_GB2312" w:eastAsia="仿宋_GB2312" w:cs="仿宋_GB2312"/>
          <w:b/>
          <w:sz w:val="52"/>
          <w:szCs w:val="52"/>
        </w:rPr>
      </w:pPr>
    </w:p>
    <w:p w14:paraId="075F2D92">
      <w:pPr>
        <w:pStyle w:val="6"/>
        <w:spacing w:line="560" w:lineRule="atLeast"/>
        <w:jc w:val="left"/>
        <w:rPr>
          <w:rFonts w:hint="default" w:ascii="仿宋_GB2312" w:hAnsi="仿宋_GB2312" w:eastAsia="仿宋_GB2312" w:cs="仿宋_GB2312"/>
          <w:b/>
          <w:sz w:val="52"/>
          <w:szCs w:val="52"/>
        </w:rPr>
      </w:pPr>
    </w:p>
    <w:p w14:paraId="199611E9">
      <w:pPr>
        <w:pStyle w:val="6"/>
        <w:spacing w:line="560" w:lineRule="atLeast"/>
        <w:jc w:val="left"/>
        <w:rPr>
          <w:rFonts w:hint="default" w:ascii="仿宋_GB2312" w:hAnsi="仿宋_GB2312" w:eastAsia="仿宋_GB2312" w:cs="仿宋_GB2312"/>
          <w:b/>
          <w:sz w:val="52"/>
          <w:szCs w:val="52"/>
        </w:rPr>
      </w:pPr>
    </w:p>
    <w:p w14:paraId="48B3F17D">
      <w:pPr>
        <w:pStyle w:val="6"/>
        <w:spacing w:line="560" w:lineRule="atLeast"/>
        <w:jc w:val="center"/>
        <w:rPr>
          <w:rFonts w:hint="default"/>
          <w:b/>
          <w:sz w:val="36"/>
        </w:rPr>
      </w:pPr>
      <w:r>
        <w:rPr>
          <w:rFonts w:ascii="仿宋_GB2312" w:hAnsi="仿宋_GB2312" w:eastAsia="仿宋_GB2312" w:cs="仿宋_GB2312"/>
          <w:b/>
          <w:sz w:val="52"/>
          <w:szCs w:val="52"/>
        </w:rPr>
        <w:t>第四部分 沈阳市浑南区第十一小学2021年度决算表</w:t>
      </w:r>
    </w:p>
    <w:p w14:paraId="7A36D67E">
      <w:pPr>
        <w:rPr>
          <w:rFonts w:hint="default" w:ascii="仿宋_GB2312" w:hAnsi="宋体" w:eastAsia="仿宋_GB2312"/>
          <w:kern w:val="0"/>
          <w:sz w:val="32"/>
        </w:rPr>
      </w:pPr>
    </w:p>
    <w:p w14:paraId="12FE35CD">
      <w:pPr>
        <w:rPr>
          <w:rFonts w:hint="default" w:ascii="仿宋_GB2312" w:hAnsi="宋体" w:eastAsia="仿宋_GB2312"/>
          <w:kern w:val="0"/>
          <w:sz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B620E9">
    <w:pPr>
      <w:pStyle w:val="3"/>
      <w:pBdr>
        <w:bottom w:val="none" w:color="auto" w:sz="0" w:space="0"/>
      </w:pBdr>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8CA03C"/>
    <w:multiLevelType w:val="singleLevel"/>
    <w:tmpl w:val="978CA03C"/>
    <w:lvl w:ilvl="0" w:tentative="0">
      <w:start w:val="2"/>
      <w:numFmt w:val="chineseCounting"/>
      <w:suff w:val="nothing"/>
      <w:lvlText w:val="%1、"/>
      <w:lvlJc w:val="left"/>
      <w:rPr>
        <w:rFonts w:hint="eastAsia"/>
      </w:rPr>
    </w:lvl>
  </w:abstractNum>
  <w:abstractNum w:abstractNumId="1">
    <w:nsid w:val="E9E08A24"/>
    <w:multiLevelType w:val="singleLevel"/>
    <w:tmpl w:val="E9E08A24"/>
    <w:lvl w:ilvl="0" w:tentative="0">
      <w:start w:val="3"/>
      <w:numFmt w:val="chineseCounting"/>
      <w:suff w:val="nothing"/>
      <w:lvlText w:val="（%1）"/>
      <w:lvlJc w:val="left"/>
      <w:rPr>
        <w:rFonts w:hint="eastAsia"/>
        <w:color w:val="auto"/>
      </w:rPr>
    </w:lvl>
  </w:abstractNum>
  <w:abstractNum w:abstractNumId="2">
    <w:nsid w:val="116AAEB6"/>
    <w:multiLevelType w:val="singleLevel"/>
    <w:tmpl w:val="116AAEB6"/>
    <w:lvl w:ilvl="0" w:tentative="0">
      <w:start w:val="2"/>
      <w:numFmt w:val="chineseCounting"/>
      <w:suff w:val="nothing"/>
      <w:lvlText w:val="（%1）"/>
      <w:lvlJc w:val="left"/>
      <w:pPr>
        <w:ind w:left="-3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ZiZTQ3ZmI1OTFmODUzNzgwMGRlNDBmMWZiZDQzMjEifQ=="/>
  </w:docVars>
  <w:rsids>
    <w:rsidRoot w:val="1C635C29"/>
    <w:rsid w:val="00060165"/>
    <w:rsid w:val="000B596F"/>
    <w:rsid w:val="00100607"/>
    <w:rsid w:val="00177E15"/>
    <w:rsid w:val="001D0B4A"/>
    <w:rsid w:val="002B6AB7"/>
    <w:rsid w:val="002F29F6"/>
    <w:rsid w:val="00317204"/>
    <w:rsid w:val="00320394"/>
    <w:rsid w:val="00342E31"/>
    <w:rsid w:val="003455FD"/>
    <w:rsid w:val="0038444A"/>
    <w:rsid w:val="00387684"/>
    <w:rsid w:val="0044142C"/>
    <w:rsid w:val="00485722"/>
    <w:rsid w:val="004C26A5"/>
    <w:rsid w:val="004D295C"/>
    <w:rsid w:val="00505889"/>
    <w:rsid w:val="005812D3"/>
    <w:rsid w:val="005814A4"/>
    <w:rsid w:val="00590A8D"/>
    <w:rsid w:val="005C4DCE"/>
    <w:rsid w:val="00753B9D"/>
    <w:rsid w:val="00756329"/>
    <w:rsid w:val="007D4C39"/>
    <w:rsid w:val="007F77B9"/>
    <w:rsid w:val="008040A1"/>
    <w:rsid w:val="00954778"/>
    <w:rsid w:val="00A17144"/>
    <w:rsid w:val="00A5357A"/>
    <w:rsid w:val="00A57A14"/>
    <w:rsid w:val="00A862AB"/>
    <w:rsid w:val="00B4493C"/>
    <w:rsid w:val="00B52AFE"/>
    <w:rsid w:val="00B54181"/>
    <w:rsid w:val="00B626CD"/>
    <w:rsid w:val="00BC09C4"/>
    <w:rsid w:val="00D528F2"/>
    <w:rsid w:val="00DC3915"/>
    <w:rsid w:val="00E4305D"/>
    <w:rsid w:val="00F16B2B"/>
    <w:rsid w:val="00F67249"/>
    <w:rsid w:val="00F724E9"/>
    <w:rsid w:val="01F06D48"/>
    <w:rsid w:val="036F2FCB"/>
    <w:rsid w:val="04AD146F"/>
    <w:rsid w:val="09C4782E"/>
    <w:rsid w:val="0E39220B"/>
    <w:rsid w:val="0ECB7368"/>
    <w:rsid w:val="11612EA5"/>
    <w:rsid w:val="11CB732B"/>
    <w:rsid w:val="14C80C53"/>
    <w:rsid w:val="15FF1F8C"/>
    <w:rsid w:val="1BBE01F3"/>
    <w:rsid w:val="1C635C29"/>
    <w:rsid w:val="21C20045"/>
    <w:rsid w:val="2B065713"/>
    <w:rsid w:val="2C681CD2"/>
    <w:rsid w:val="2E121474"/>
    <w:rsid w:val="2E4F6256"/>
    <w:rsid w:val="36230505"/>
    <w:rsid w:val="36E2278D"/>
    <w:rsid w:val="405745EF"/>
    <w:rsid w:val="43E66EB1"/>
    <w:rsid w:val="441C1B63"/>
    <w:rsid w:val="47B42327"/>
    <w:rsid w:val="47B642F1"/>
    <w:rsid w:val="4A0550BC"/>
    <w:rsid w:val="50A12E82"/>
    <w:rsid w:val="51E97071"/>
    <w:rsid w:val="51FA74D0"/>
    <w:rsid w:val="54F6469B"/>
    <w:rsid w:val="5B697371"/>
    <w:rsid w:val="5FFC277F"/>
    <w:rsid w:val="673C6F2C"/>
    <w:rsid w:val="6779459B"/>
    <w:rsid w:val="6A7379C8"/>
    <w:rsid w:val="70BB0F08"/>
    <w:rsid w:val="724179B2"/>
    <w:rsid w:val="72BF3591"/>
    <w:rsid w:val="7D0248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宋体" w:hAnsi="宋体"/>
    </w:rPr>
  </w:style>
  <w:style w:type="character" w:customStyle="1" w:styleId="7">
    <w:name w:val="页眉 Char"/>
    <w:basedOn w:val="5"/>
    <w:link w:val="3"/>
    <w:qFormat/>
    <w:uiPriority w:val="0"/>
    <w:rPr>
      <w:rFonts w:ascii="Times New Roman" w:hAnsi="Times New Roman" w:eastAsia="宋体"/>
      <w:kern w:val="2"/>
      <w:sz w:val="18"/>
      <w:szCs w:val="18"/>
    </w:rPr>
  </w:style>
  <w:style w:type="character" w:customStyle="1" w:styleId="8">
    <w:name w:val="页脚 Char"/>
    <w:basedOn w:val="5"/>
    <w:link w:val="2"/>
    <w:qFormat/>
    <w:uiPriority w:val="0"/>
    <w:rPr>
      <w:rFonts w:ascii="Times New Roman" w:hAnsi="Times New Roman" w:eastAsia="宋体"/>
      <w:kern w:val="2"/>
      <w:sz w:val="18"/>
      <w:szCs w:val="18"/>
    </w:rPr>
  </w:style>
  <w:style w:type="paragraph" w:customStyle="1" w:styleId="9">
    <w:name w:val="p15"/>
    <w:basedOn w:val="1"/>
    <w:qFormat/>
    <w:uiPriority w:val="0"/>
    <w:pPr>
      <w:widowControl/>
    </w:pPr>
    <w:rPr>
      <w:rFonts w:hint="default" w:ascii="宋体" w:hAnsi="宋体" w:cs="宋体"/>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12</Pages>
  <Words>4437</Words>
  <Characters>4895</Characters>
  <Lines>36</Lines>
  <Paragraphs>10</Paragraphs>
  <TotalTime>1</TotalTime>
  <ScaleCrop>false</ScaleCrop>
  <LinksUpToDate>false</LinksUpToDate>
  <CharactersWithSpaces>4925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杨洋</cp:lastModifiedBy>
  <cp:lastPrinted>2022-09-19T10:34:00Z</cp:lastPrinted>
  <dcterms:modified xsi:type="dcterms:W3CDTF">2024-10-24T01:44:51Z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9C872CB057B74C43AB101636CEB4559F_13</vt:lpwstr>
  </property>
</Properties>
</file>