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0DCC5">
      <w:pPr>
        <w:pStyle w:val="6"/>
        <w:rPr>
          <w:rFonts w:hint="default" w:ascii="黑体" w:eastAsia="黑体"/>
          <w:sz w:val="32"/>
        </w:rPr>
      </w:pPr>
      <w:r>
        <w:rPr>
          <w:rFonts w:ascii="黑体" w:eastAsia="黑体"/>
          <w:sz w:val="32"/>
        </w:rPr>
        <w:t>附件2</w:t>
      </w:r>
    </w:p>
    <w:p w14:paraId="6EE5C4C3">
      <w:pPr>
        <w:pStyle w:val="6"/>
        <w:rPr>
          <w:rFonts w:hint="default"/>
          <w:b/>
          <w:sz w:val="44"/>
        </w:rPr>
      </w:pPr>
    </w:p>
    <w:p w14:paraId="577513C4">
      <w:pPr>
        <w:pStyle w:val="6"/>
        <w:rPr>
          <w:rFonts w:hint="default"/>
          <w:b/>
          <w:sz w:val="44"/>
        </w:rPr>
      </w:pPr>
    </w:p>
    <w:p w14:paraId="2423C0FE">
      <w:pPr>
        <w:pStyle w:val="6"/>
        <w:rPr>
          <w:rFonts w:hint="default"/>
          <w:b/>
          <w:sz w:val="44"/>
        </w:rPr>
      </w:pPr>
    </w:p>
    <w:p w14:paraId="4A5F8F00">
      <w:pPr>
        <w:pStyle w:val="6"/>
        <w:rPr>
          <w:rFonts w:hint="default"/>
          <w:b/>
          <w:sz w:val="44"/>
        </w:rPr>
      </w:pPr>
    </w:p>
    <w:p w14:paraId="2177B5E9">
      <w:pPr>
        <w:pStyle w:val="6"/>
        <w:rPr>
          <w:rFonts w:hint="default"/>
          <w:b/>
          <w:sz w:val="44"/>
        </w:rPr>
      </w:pPr>
    </w:p>
    <w:p w14:paraId="40D699D3">
      <w:pPr>
        <w:pStyle w:val="6"/>
        <w:rPr>
          <w:rFonts w:hint="default"/>
          <w:b/>
          <w:sz w:val="44"/>
        </w:rPr>
      </w:pPr>
    </w:p>
    <w:p w14:paraId="6A99F104">
      <w:pPr>
        <w:spacing w:line="360" w:lineRule="auto"/>
        <w:jc w:val="center"/>
        <w:rPr>
          <w:rFonts w:hint="eastAsia" w:ascii="宋体" w:hAnsi="宋体"/>
          <w:b/>
          <w:sz w:val="52"/>
          <w:szCs w:val="52"/>
        </w:rPr>
      </w:pPr>
      <w:r>
        <w:rPr>
          <w:rFonts w:hint="eastAsia" w:ascii="宋体" w:hAnsi="宋体"/>
          <w:b/>
          <w:sz w:val="52"/>
          <w:szCs w:val="52"/>
          <w:lang w:val="en-US" w:eastAsia="zh-CN"/>
        </w:rPr>
        <w:t>沈阳市浑南区</w:t>
      </w:r>
      <w:r>
        <w:rPr>
          <w:rFonts w:hint="eastAsia" w:ascii="宋体" w:hAnsi="宋体"/>
          <w:b/>
          <w:sz w:val="52"/>
          <w:szCs w:val="52"/>
        </w:rPr>
        <w:t>土地房屋征收补偿</w:t>
      </w:r>
    </w:p>
    <w:p w14:paraId="7B6A7618">
      <w:pPr>
        <w:spacing w:line="540" w:lineRule="exact"/>
        <w:jc w:val="center"/>
        <w:rPr>
          <w:rFonts w:hint="default" w:ascii="宋体" w:hAnsi="宋体" w:eastAsia="宋体"/>
          <w:b/>
          <w:bCs w:val="0"/>
          <w:color w:val="FF0000"/>
          <w:sz w:val="52"/>
          <w:szCs w:val="52"/>
          <w:lang w:val="en-US" w:eastAsia="zh-CN"/>
        </w:rPr>
      </w:pPr>
      <w:r>
        <w:rPr>
          <w:rFonts w:hint="eastAsia" w:ascii="宋体" w:hAnsi="宋体"/>
          <w:b/>
          <w:sz w:val="52"/>
          <w:szCs w:val="52"/>
        </w:rPr>
        <w:t>服务中心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w:t>
      </w:r>
      <w:r>
        <w:rPr>
          <w:rFonts w:hint="eastAsia" w:ascii="宋体" w:hAnsi="宋体"/>
          <w:b/>
          <w:sz w:val="52"/>
          <w:szCs w:val="52"/>
          <w:lang w:val="en-US" w:eastAsia="zh-CN"/>
        </w:rPr>
        <w:t>明</w:t>
      </w:r>
    </w:p>
    <w:p w14:paraId="15FF203E">
      <w:pPr>
        <w:pStyle w:val="6"/>
        <w:jc w:val="center"/>
        <w:rPr>
          <w:rFonts w:hint="default" w:ascii="仿宋_GB2312" w:eastAsia="仿宋_GB2312"/>
          <w:b/>
          <w:sz w:val="52"/>
        </w:rPr>
      </w:pPr>
    </w:p>
    <w:p w14:paraId="2E2322C6">
      <w:pPr>
        <w:pStyle w:val="6"/>
        <w:jc w:val="center"/>
        <w:rPr>
          <w:rFonts w:hint="default" w:ascii="仿宋_GB2312" w:eastAsia="仿宋_GB2312"/>
          <w:b/>
          <w:sz w:val="52"/>
        </w:rPr>
      </w:pPr>
    </w:p>
    <w:p w14:paraId="09AF7AB2">
      <w:pPr>
        <w:pStyle w:val="6"/>
        <w:jc w:val="center"/>
        <w:rPr>
          <w:rFonts w:hint="default" w:ascii="Times New Roman" w:eastAsia="Times New Roman"/>
          <w:b/>
          <w:sz w:val="44"/>
          <w:u w:val="single"/>
        </w:rPr>
      </w:pPr>
    </w:p>
    <w:p w14:paraId="61E64201">
      <w:pPr>
        <w:pStyle w:val="6"/>
        <w:jc w:val="center"/>
        <w:rPr>
          <w:rFonts w:hint="default" w:ascii="Times New Roman" w:eastAsia="Times New Roman"/>
          <w:b/>
          <w:sz w:val="44"/>
          <w:u w:val="single"/>
        </w:rPr>
      </w:pPr>
    </w:p>
    <w:p w14:paraId="344BD352">
      <w:pPr>
        <w:pStyle w:val="6"/>
        <w:jc w:val="center"/>
        <w:rPr>
          <w:rFonts w:hint="default" w:ascii="Times New Roman" w:eastAsia="Times New Roman"/>
          <w:b/>
          <w:sz w:val="44"/>
          <w:u w:val="single"/>
        </w:rPr>
      </w:pPr>
    </w:p>
    <w:p w14:paraId="0E107DAA">
      <w:pPr>
        <w:pStyle w:val="6"/>
        <w:jc w:val="center"/>
        <w:rPr>
          <w:rFonts w:hint="default" w:ascii="Times New Roman" w:eastAsia="Times New Roman"/>
          <w:b/>
          <w:sz w:val="44"/>
          <w:u w:val="single"/>
        </w:rPr>
      </w:pPr>
    </w:p>
    <w:p w14:paraId="27CF522C">
      <w:pPr>
        <w:pStyle w:val="6"/>
        <w:jc w:val="center"/>
        <w:rPr>
          <w:rFonts w:hint="default" w:ascii="Times New Roman" w:eastAsia="Times New Roman"/>
          <w:b/>
          <w:sz w:val="44"/>
          <w:u w:val="single"/>
        </w:rPr>
      </w:pPr>
    </w:p>
    <w:p w14:paraId="700C987E">
      <w:pPr>
        <w:pStyle w:val="6"/>
        <w:jc w:val="center"/>
        <w:rPr>
          <w:rFonts w:hint="default" w:ascii="Times New Roman" w:eastAsia="Times New Roman"/>
          <w:b/>
          <w:sz w:val="44"/>
          <w:u w:val="single"/>
        </w:rPr>
      </w:pPr>
    </w:p>
    <w:p w14:paraId="54E81431">
      <w:pPr>
        <w:pStyle w:val="6"/>
        <w:jc w:val="center"/>
        <w:rPr>
          <w:rFonts w:hint="default" w:ascii="Times New Roman" w:eastAsia="Times New Roman"/>
          <w:b/>
          <w:sz w:val="44"/>
          <w:u w:val="single"/>
        </w:rPr>
      </w:pPr>
    </w:p>
    <w:p w14:paraId="4E79563D">
      <w:pPr>
        <w:pStyle w:val="6"/>
        <w:jc w:val="center"/>
        <w:rPr>
          <w:rFonts w:hint="default" w:ascii="Times New Roman" w:eastAsia="Times New Roman"/>
          <w:b/>
          <w:sz w:val="44"/>
          <w:u w:val="single"/>
        </w:rPr>
      </w:pPr>
    </w:p>
    <w:p w14:paraId="2D58E186">
      <w:pPr>
        <w:pStyle w:val="6"/>
        <w:jc w:val="center"/>
        <w:rPr>
          <w:rFonts w:hint="default" w:ascii="Times New Roman" w:eastAsia="Times New Roman"/>
          <w:b/>
          <w:sz w:val="44"/>
          <w:u w:val="single"/>
        </w:rPr>
      </w:pPr>
    </w:p>
    <w:p w14:paraId="6ED1026A">
      <w:pPr>
        <w:pStyle w:val="6"/>
        <w:jc w:val="center"/>
        <w:rPr>
          <w:rFonts w:hint="default" w:ascii="Times New Roman" w:eastAsia="Times New Roman"/>
          <w:b/>
          <w:sz w:val="44"/>
          <w:u w:val="single"/>
        </w:rPr>
      </w:pPr>
    </w:p>
    <w:p w14:paraId="68CFAFF7">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73C2FE2B">
      <w:pPr>
        <w:pStyle w:val="6"/>
        <w:spacing w:line="560" w:lineRule="exact"/>
        <w:rPr>
          <w:rFonts w:hint="default" w:ascii="Times New Roman" w:eastAsia="Times New Roman"/>
          <w:b/>
          <w:sz w:val="44"/>
          <w:u w:val="single"/>
        </w:rPr>
      </w:pPr>
    </w:p>
    <w:p w14:paraId="0CBDFDAA">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沈阳市浑南区土地房屋征收补偿服务中心概况</w:t>
      </w:r>
    </w:p>
    <w:p w14:paraId="2A88F8B2">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6AA9DED">
      <w:pPr>
        <w:pStyle w:val="6"/>
        <w:spacing w:line="560" w:lineRule="exact"/>
        <w:rPr>
          <w:rFonts w:hint="default" w:ascii="仿宋_GB2312" w:eastAsia="仿宋_GB2312"/>
          <w:sz w:val="32"/>
        </w:rPr>
      </w:pPr>
      <w:r>
        <w:rPr>
          <w:rFonts w:ascii="仿宋_GB2312" w:eastAsia="仿宋_GB2312"/>
          <w:sz w:val="32"/>
        </w:rPr>
        <w:t>二、决算单位构成</w:t>
      </w:r>
    </w:p>
    <w:p w14:paraId="4D11F96D">
      <w:pPr>
        <w:pStyle w:val="6"/>
        <w:spacing w:line="560" w:lineRule="exact"/>
        <w:ind w:left="1920" w:hanging="1920" w:hangingChars="600"/>
        <w:rPr>
          <w:rFonts w:hint="default" w:ascii="黑体" w:eastAsia="黑体"/>
          <w:sz w:val="32"/>
        </w:rPr>
      </w:pPr>
      <w:r>
        <w:rPr>
          <w:rFonts w:ascii="黑体" w:eastAsia="黑体"/>
          <w:sz w:val="32"/>
        </w:rPr>
        <w:t xml:space="preserve">第二部分   </w:t>
      </w:r>
      <w:r>
        <w:rPr>
          <w:rFonts w:hint="eastAsia" w:ascii="黑体" w:hAnsi="黑体" w:eastAsia="黑体"/>
          <w:sz w:val="32"/>
          <w:szCs w:val="32"/>
        </w:rPr>
        <w:t>沈阳市浑南区土地房屋征收补偿服务中心</w:t>
      </w:r>
      <w:r>
        <w:rPr>
          <w:rFonts w:ascii="黑体" w:eastAsia="黑体"/>
          <w:sz w:val="32"/>
        </w:rPr>
        <w:t>2021年决算情况说明</w:t>
      </w:r>
    </w:p>
    <w:p w14:paraId="3E35F95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4AE89CD5">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25A5C76D">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0F2759A">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0F69F613">
      <w:pPr>
        <w:pStyle w:val="6"/>
        <w:spacing w:line="560" w:lineRule="exact"/>
        <w:rPr>
          <w:rFonts w:hint="default" w:ascii="黑体" w:eastAsia="黑体"/>
          <w:sz w:val="32"/>
        </w:rPr>
      </w:pPr>
      <w:r>
        <w:rPr>
          <w:rFonts w:ascii="仿宋_GB2312" w:eastAsia="仿宋_GB2312"/>
          <w:sz w:val="32"/>
        </w:rPr>
        <w:t>五、其他重要事项的情况说明</w:t>
      </w:r>
    </w:p>
    <w:p w14:paraId="2E2D6895">
      <w:pPr>
        <w:pStyle w:val="6"/>
        <w:spacing w:line="560" w:lineRule="exact"/>
        <w:rPr>
          <w:rFonts w:hint="default" w:ascii="黑体" w:eastAsia="黑体"/>
          <w:sz w:val="32"/>
        </w:rPr>
      </w:pPr>
      <w:r>
        <w:rPr>
          <w:rFonts w:ascii="黑体" w:eastAsia="黑体"/>
          <w:sz w:val="32"/>
        </w:rPr>
        <w:t>第三部分   名词解释</w:t>
      </w:r>
    </w:p>
    <w:p w14:paraId="4D0464E9">
      <w:pPr>
        <w:pStyle w:val="6"/>
        <w:spacing w:line="560" w:lineRule="exact"/>
        <w:rPr>
          <w:rFonts w:hint="default" w:ascii="黑体" w:eastAsia="黑体"/>
          <w:sz w:val="32"/>
        </w:rPr>
      </w:pPr>
      <w:r>
        <w:rPr>
          <w:rFonts w:ascii="黑体" w:eastAsia="黑体"/>
          <w:sz w:val="32"/>
        </w:rPr>
        <w:t xml:space="preserve">第四部分   </w:t>
      </w:r>
      <w:r>
        <w:rPr>
          <w:rFonts w:hint="eastAsia" w:ascii="黑体" w:hAnsi="黑体" w:eastAsia="黑体"/>
          <w:sz w:val="32"/>
          <w:szCs w:val="32"/>
        </w:rPr>
        <w:t>沈阳市浑南区土地房屋征收补偿服务中心概况</w:t>
      </w:r>
      <w:r>
        <w:rPr>
          <w:rFonts w:ascii="黑体" w:eastAsia="黑体"/>
          <w:sz w:val="32"/>
        </w:rPr>
        <w:t>2021年决算报表</w:t>
      </w:r>
    </w:p>
    <w:p w14:paraId="6BA8D723">
      <w:pPr>
        <w:pStyle w:val="6"/>
        <w:spacing w:line="560" w:lineRule="exact"/>
        <w:rPr>
          <w:rFonts w:hint="default" w:ascii="仿宋_GB2312" w:eastAsia="仿宋_GB2312"/>
          <w:sz w:val="32"/>
        </w:rPr>
      </w:pPr>
      <w:r>
        <w:rPr>
          <w:rFonts w:ascii="仿宋_GB2312" w:eastAsia="仿宋_GB2312"/>
          <w:sz w:val="32"/>
        </w:rPr>
        <w:t>一、2021年度收入支出决算总表</w:t>
      </w:r>
    </w:p>
    <w:p w14:paraId="3D43EEA7">
      <w:pPr>
        <w:pStyle w:val="6"/>
        <w:spacing w:line="560" w:lineRule="exact"/>
        <w:rPr>
          <w:rFonts w:hint="default" w:ascii="仿宋_GB2312" w:eastAsia="仿宋_GB2312"/>
          <w:sz w:val="32"/>
        </w:rPr>
      </w:pPr>
      <w:r>
        <w:rPr>
          <w:rFonts w:ascii="仿宋_GB2312" w:eastAsia="仿宋_GB2312"/>
          <w:sz w:val="32"/>
        </w:rPr>
        <w:t>二、2021年度收入决算表</w:t>
      </w:r>
    </w:p>
    <w:p w14:paraId="06487589">
      <w:pPr>
        <w:pStyle w:val="6"/>
        <w:spacing w:line="560" w:lineRule="exact"/>
        <w:rPr>
          <w:rFonts w:hint="default" w:ascii="仿宋_GB2312" w:eastAsia="仿宋_GB2312"/>
          <w:sz w:val="32"/>
        </w:rPr>
      </w:pPr>
      <w:r>
        <w:rPr>
          <w:rFonts w:ascii="仿宋_GB2312" w:eastAsia="仿宋_GB2312"/>
          <w:sz w:val="32"/>
        </w:rPr>
        <w:t>三、2021年度支出决算表</w:t>
      </w:r>
    </w:p>
    <w:p w14:paraId="5CCF4FD3">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2A30D230">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2FC3832D">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56E612CD">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08E3B677">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050E6738">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0F27AE25">
      <w:pPr>
        <w:pStyle w:val="6"/>
        <w:spacing w:line="560" w:lineRule="exact"/>
        <w:jc w:val="center"/>
        <w:rPr>
          <w:rFonts w:hint="default"/>
          <w:b/>
          <w:sz w:val="36"/>
        </w:rPr>
      </w:pPr>
    </w:p>
    <w:p w14:paraId="6B91E273">
      <w:pPr>
        <w:pStyle w:val="6"/>
        <w:spacing w:line="560" w:lineRule="exact"/>
        <w:jc w:val="center"/>
        <w:rPr>
          <w:rFonts w:hint="default"/>
          <w:b/>
          <w:sz w:val="36"/>
        </w:rPr>
      </w:pPr>
      <w:r>
        <w:rPr>
          <w:b/>
          <w:sz w:val="36"/>
        </w:rPr>
        <w:t xml:space="preserve">第一部分 </w:t>
      </w:r>
      <w:r>
        <w:rPr>
          <w:rFonts w:hint="eastAsia" w:ascii="黑体" w:hAnsi="黑体" w:eastAsia="黑体"/>
          <w:sz w:val="32"/>
          <w:szCs w:val="32"/>
        </w:rPr>
        <w:t>沈阳市浑南区土地房屋征收补偿服务中心概况</w:t>
      </w:r>
    </w:p>
    <w:p w14:paraId="4E3E2F80">
      <w:pPr>
        <w:pStyle w:val="6"/>
        <w:spacing w:line="560" w:lineRule="exact"/>
        <w:ind w:firstLine="640"/>
        <w:rPr>
          <w:rFonts w:hint="default" w:ascii="黑体" w:eastAsia="黑体"/>
          <w:sz w:val="32"/>
        </w:rPr>
      </w:pPr>
    </w:p>
    <w:p w14:paraId="35F21727">
      <w:pPr>
        <w:pStyle w:val="6"/>
        <w:spacing w:line="560" w:lineRule="exact"/>
        <w:ind w:firstLine="640"/>
        <w:rPr>
          <w:rFonts w:hint="default" w:ascii="黑体" w:eastAsia="黑体"/>
          <w:sz w:val="32"/>
        </w:rPr>
      </w:pPr>
      <w:r>
        <w:rPr>
          <w:rFonts w:ascii="黑体" w:eastAsia="黑体"/>
          <w:sz w:val="32"/>
        </w:rPr>
        <w:t>一、主要职责</w:t>
      </w:r>
    </w:p>
    <w:p w14:paraId="14DBBCBC">
      <w:pPr>
        <w:spacing w:line="54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rPr>
        <w:t xml:space="preserve">一）贯彻执行国家有关土地房屋征收相关法律、法规、规 章和政策及省、市、区有关要求，配合区城市更新局制定征收、 补偿、安置等规范性文件，完善征收工作有关制度。         </w:t>
      </w:r>
    </w:p>
    <w:p w14:paraId="181B9C1A">
      <w:pPr>
        <w:spacing w:line="540" w:lineRule="exact"/>
        <w:ind w:left="580" w:leftChars="276"/>
        <w:jc w:val="left"/>
        <w:rPr>
          <w:rFonts w:hint="eastAsia" w:ascii="仿宋_GB2312" w:hAnsi="仿宋" w:eastAsia="仿宋_GB2312"/>
          <w:sz w:val="32"/>
          <w:szCs w:val="32"/>
        </w:rPr>
      </w:pPr>
      <w:r>
        <w:rPr>
          <w:rFonts w:hint="eastAsia" w:ascii="仿宋_GB2312" w:hAnsi="仿宋" w:eastAsia="仿宋_GB2312"/>
          <w:sz w:val="32"/>
          <w:szCs w:val="32"/>
        </w:rPr>
        <w:t xml:space="preserve">（二）配合区城市更新局编制全区土地房屋征收工作年度计 划；负责对征收项目及实施情况进行统计汇总。  </w:t>
      </w:r>
    </w:p>
    <w:p w14:paraId="29CEFCC3">
      <w:pPr>
        <w:spacing w:line="54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 xml:space="preserve">（三）负责全区土地房屋征收实施主体单位（街道办事处） 从事征收工作人员的业务培训工作。 </w:t>
      </w:r>
    </w:p>
    <w:p w14:paraId="422B222B">
      <w:pPr>
        <w:spacing w:line="540" w:lineRule="exact"/>
        <w:ind w:left="638" w:leftChars="304"/>
        <w:jc w:val="left"/>
        <w:rPr>
          <w:rFonts w:hint="eastAsia" w:ascii="仿宋_GB2312" w:hAnsi="仿宋" w:eastAsia="仿宋_GB2312"/>
          <w:sz w:val="32"/>
          <w:szCs w:val="32"/>
        </w:rPr>
      </w:pPr>
      <w:r>
        <w:rPr>
          <w:rFonts w:hint="eastAsia" w:ascii="仿宋_GB2312" w:hAnsi="仿宋" w:eastAsia="仿宋_GB2312"/>
          <w:sz w:val="32"/>
          <w:szCs w:val="32"/>
        </w:rPr>
        <w:t xml:space="preserve">（四）配合街道办事处完成征收补偿安置的相关工作。 （五）负责各征收现场人员的调配和各街道办事处征收工作 经费的核拨工作。 </w:t>
      </w:r>
    </w:p>
    <w:p w14:paraId="3AB6A358">
      <w:pPr>
        <w:spacing w:line="540" w:lineRule="exact"/>
        <w:ind w:left="638" w:leftChars="304"/>
        <w:jc w:val="left"/>
        <w:rPr>
          <w:rFonts w:hint="eastAsia" w:ascii="仿宋_GB2312" w:hAnsi="仿宋" w:eastAsia="仿宋_GB2312"/>
          <w:sz w:val="32"/>
          <w:szCs w:val="32"/>
        </w:rPr>
      </w:pPr>
      <w:r>
        <w:rPr>
          <w:rFonts w:hint="eastAsia" w:ascii="仿宋_GB2312" w:hAnsi="仿宋" w:eastAsia="仿宋_GB2312"/>
          <w:sz w:val="32"/>
          <w:szCs w:val="32"/>
        </w:rPr>
        <w:t>（六）配合区城市更新局、街道办事处做好土地房屋征收工 作中使用第三方机构的服务工作。</w:t>
      </w:r>
    </w:p>
    <w:p w14:paraId="0FA5D1C5">
      <w:pPr>
        <w:spacing w:line="540" w:lineRule="exact"/>
        <w:ind w:left="638" w:leftChars="304"/>
        <w:jc w:val="left"/>
        <w:rPr>
          <w:rFonts w:hint="eastAsia" w:ascii="仿宋_GB2312" w:hAnsi="宋体" w:eastAsia="仿宋_GB2312"/>
          <w:sz w:val="32"/>
          <w:szCs w:val="32"/>
        </w:rPr>
      </w:pPr>
      <w:r>
        <w:rPr>
          <w:rFonts w:hint="eastAsia" w:ascii="仿宋_GB2312" w:hAnsi="宋体" w:eastAsia="仿宋_GB2312"/>
          <w:sz w:val="32"/>
          <w:szCs w:val="32"/>
        </w:rPr>
        <w:t xml:space="preserve">（七）配合区法制办、区城市更新局和街道办事处做好因土 地房屋征收所引发的各类行政复议、司法诉讼案件的应诉工作； 配合区信访局、区城市更新局及各街道办事处做好因征收引发的 信访工作。 </w:t>
      </w:r>
    </w:p>
    <w:p w14:paraId="39AFC721">
      <w:pPr>
        <w:spacing w:line="540" w:lineRule="exact"/>
        <w:ind w:left="638" w:leftChars="304"/>
        <w:jc w:val="left"/>
        <w:rPr>
          <w:rFonts w:hint="eastAsia" w:ascii="仿宋_GB2312" w:hAnsi="宋体" w:eastAsia="仿宋_GB2312"/>
          <w:sz w:val="32"/>
          <w:szCs w:val="32"/>
        </w:rPr>
      </w:pPr>
      <w:r>
        <w:rPr>
          <w:rFonts w:hint="eastAsia" w:ascii="仿宋_GB2312" w:hAnsi="宋体" w:eastAsia="仿宋_GB2312"/>
          <w:sz w:val="32"/>
          <w:szCs w:val="32"/>
        </w:rPr>
        <w:t xml:space="preserve">（八）配合街道办事处梳理上报征收过程中遇到的疑难问题。 </w:t>
      </w:r>
    </w:p>
    <w:p w14:paraId="38404D8E">
      <w:pPr>
        <w:spacing w:line="540" w:lineRule="exact"/>
        <w:ind w:left="638" w:leftChars="304"/>
        <w:jc w:val="left"/>
        <w:rPr>
          <w:rFonts w:hint="eastAsia" w:ascii="仿宋_GB2312" w:hAnsi="宋体" w:eastAsia="仿宋_GB2312"/>
          <w:sz w:val="32"/>
          <w:szCs w:val="32"/>
          <w:lang w:eastAsia="zh-CN"/>
        </w:rPr>
      </w:pPr>
      <w:r>
        <w:rPr>
          <w:rFonts w:hint="eastAsia" w:ascii="仿宋_GB2312" w:hAnsi="宋体" w:eastAsia="仿宋_GB2312"/>
          <w:sz w:val="32"/>
          <w:szCs w:val="32"/>
        </w:rPr>
        <w:t>（九）负责城市基础设施配套费的收取及耕地占用税的交纳工作</w:t>
      </w:r>
      <w:r>
        <w:rPr>
          <w:rFonts w:hint="eastAsia" w:ascii="仿宋_GB2312" w:hAnsi="宋体" w:eastAsia="仿宋_GB2312"/>
          <w:sz w:val="32"/>
          <w:szCs w:val="32"/>
          <w:lang w:eastAsia="zh-CN"/>
        </w:rPr>
        <w:t>。</w:t>
      </w:r>
    </w:p>
    <w:p w14:paraId="48503F80">
      <w:pPr>
        <w:pStyle w:val="6"/>
        <w:spacing w:line="560" w:lineRule="exact"/>
        <w:ind w:firstLine="640"/>
        <w:rPr>
          <w:rFonts w:ascii="黑体" w:eastAsia="黑体"/>
          <w:sz w:val="32"/>
        </w:rPr>
      </w:pPr>
    </w:p>
    <w:p w14:paraId="0AC8E182">
      <w:pPr>
        <w:pStyle w:val="6"/>
        <w:spacing w:line="560" w:lineRule="exact"/>
        <w:ind w:firstLine="640"/>
        <w:rPr>
          <w:rFonts w:ascii="黑体" w:eastAsia="黑体"/>
          <w:sz w:val="32"/>
        </w:rPr>
      </w:pPr>
      <w:r>
        <w:rPr>
          <w:rFonts w:ascii="黑体" w:eastAsia="黑体"/>
          <w:sz w:val="32"/>
        </w:rPr>
        <w:t>二、</w:t>
      </w:r>
      <w:r>
        <w:rPr>
          <w:rFonts w:hint="eastAsia" w:ascii="黑体" w:eastAsia="黑体"/>
          <w:sz w:val="32"/>
          <w:szCs w:val="32"/>
        </w:rPr>
        <w:t>浑南区土地房屋征收补偿服务中心</w:t>
      </w:r>
      <w:r>
        <w:rPr>
          <w:rFonts w:ascii="黑体" w:eastAsia="黑体"/>
          <w:sz w:val="32"/>
        </w:rPr>
        <w:t>决算单位构成</w:t>
      </w:r>
    </w:p>
    <w:p w14:paraId="60DC8788">
      <w:pPr>
        <w:pStyle w:val="6"/>
        <w:spacing w:line="560" w:lineRule="exact"/>
        <w:ind w:firstLine="640"/>
        <w:rPr>
          <w:rFonts w:hint="default" w:ascii="黑体" w:eastAsia="黑体"/>
          <w:color w:val="auto"/>
          <w:sz w:val="32"/>
        </w:rPr>
      </w:pPr>
      <w:r>
        <w:rPr>
          <w:rFonts w:ascii="仿宋_GB2312" w:eastAsia="仿宋_GB2312"/>
          <w:b/>
          <w:bCs/>
          <w:color w:val="auto"/>
          <w:sz w:val="32"/>
          <w:szCs w:val="32"/>
        </w:rPr>
        <w:t>本单位无下设机构</w:t>
      </w:r>
    </w:p>
    <w:p w14:paraId="33FB4888">
      <w:pPr>
        <w:pStyle w:val="6"/>
        <w:spacing w:line="560" w:lineRule="exact"/>
        <w:jc w:val="both"/>
        <w:rPr>
          <w:rFonts w:hint="default"/>
          <w:b/>
          <w:sz w:val="36"/>
        </w:rPr>
      </w:pPr>
    </w:p>
    <w:p w14:paraId="4441999B">
      <w:pPr>
        <w:pStyle w:val="6"/>
        <w:spacing w:line="560" w:lineRule="exact"/>
        <w:jc w:val="center"/>
        <w:rPr>
          <w:rFonts w:hint="default"/>
          <w:b/>
          <w:sz w:val="36"/>
        </w:rPr>
      </w:pPr>
      <w:r>
        <w:rPr>
          <w:b/>
          <w:sz w:val="36"/>
        </w:rPr>
        <w:t xml:space="preserve">第二部分 </w:t>
      </w:r>
      <w:r>
        <w:rPr>
          <w:rFonts w:hint="eastAsia" w:ascii="黑体" w:eastAsia="黑体"/>
          <w:sz w:val="32"/>
          <w:szCs w:val="32"/>
        </w:rPr>
        <w:t>浑南区土地房屋征收补偿服务中心</w:t>
      </w:r>
      <w:r>
        <w:rPr>
          <w:b/>
          <w:sz w:val="36"/>
        </w:rPr>
        <w:t>2021年决算情况说明</w:t>
      </w:r>
    </w:p>
    <w:p w14:paraId="12CD8B99">
      <w:pPr>
        <w:pStyle w:val="6"/>
        <w:spacing w:line="560" w:lineRule="exact"/>
        <w:ind w:firstLine="640" w:firstLineChars="200"/>
        <w:rPr>
          <w:rFonts w:hint="default" w:ascii="黑体" w:eastAsia="黑体"/>
          <w:sz w:val="32"/>
        </w:rPr>
      </w:pPr>
    </w:p>
    <w:p w14:paraId="77738935">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672CB598">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48109.37</w:t>
      </w:r>
      <w:r>
        <w:rPr>
          <w:rFonts w:ascii="楷体_GB2312" w:eastAsia="楷体_GB2312"/>
          <w:b/>
          <w:sz w:val="32"/>
        </w:rPr>
        <w:t>万元</w:t>
      </w:r>
    </w:p>
    <w:p w14:paraId="4987342B">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48108.82</w:t>
      </w:r>
      <w:r>
        <w:rPr>
          <w:rFonts w:ascii="仿宋_GB2312" w:eastAsia="仿宋_GB2312"/>
          <w:sz w:val="32"/>
        </w:rPr>
        <w:t>万元，占收入总计的</w:t>
      </w:r>
      <w:r>
        <w:rPr>
          <w:rFonts w:hint="eastAsia" w:ascii="仿宋_GB2312" w:eastAsia="仿宋_GB2312"/>
          <w:sz w:val="32"/>
          <w:lang w:val="en-US" w:eastAsia="zh-CN"/>
        </w:rPr>
        <w:t>99.99</w:t>
      </w:r>
      <w:r>
        <w:rPr>
          <w:rFonts w:ascii="仿宋_GB2312" w:eastAsia="仿宋_GB2312"/>
          <w:sz w:val="32"/>
        </w:rPr>
        <w:t>%。其中：一般公共预算财政拨款收入</w:t>
      </w:r>
      <w:r>
        <w:rPr>
          <w:rFonts w:hint="eastAsia" w:ascii="仿宋_GB2312" w:eastAsia="仿宋_GB2312"/>
          <w:sz w:val="32"/>
          <w:lang w:val="en-US" w:eastAsia="zh-CN"/>
        </w:rPr>
        <w:t>2717.32</w:t>
      </w:r>
      <w:r>
        <w:rPr>
          <w:rFonts w:ascii="仿宋_GB2312" w:eastAsia="仿宋_GB2312"/>
          <w:sz w:val="32"/>
        </w:rPr>
        <w:t>万元，政府性基金收入</w:t>
      </w:r>
      <w:r>
        <w:rPr>
          <w:rFonts w:hint="eastAsia" w:ascii="仿宋_GB2312" w:eastAsia="仿宋_GB2312"/>
          <w:sz w:val="32"/>
          <w:lang w:val="en-US" w:eastAsia="zh-CN"/>
        </w:rPr>
        <w:t>45391.51</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264E654">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0.55</w:t>
      </w:r>
      <w:r>
        <w:rPr>
          <w:rFonts w:ascii="仿宋_GB2312" w:eastAsia="仿宋_GB2312"/>
          <w:sz w:val="32"/>
        </w:rPr>
        <w:t>万元，占收入总计的</w:t>
      </w:r>
      <w:r>
        <w:rPr>
          <w:rFonts w:hint="eastAsia" w:ascii="仿宋_GB2312" w:eastAsia="仿宋_GB2312"/>
          <w:sz w:val="32"/>
          <w:lang w:val="en-US" w:eastAsia="zh-CN"/>
        </w:rPr>
        <w:t>0.001</w:t>
      </w:r>
      <w:r>
        <w:rPr>
          <w:rFonts w:ascii="仿宋_GB2312" w:eastAsia="仿宋_GB2312"/>
          <w:sz w:val="32"/>
        </w:rPr>
        <w:t>%。主要是</w:t>
      </w:r>
      <w:r>
        <w:rPr>
          <w:rFonts w:hint="eastAsia" w:ascii="仿宋_GB2312" w:eastAsia="仿宋_GB2312"/>
          <w:sz w:val="32"/>
          <w:lang w:val="en-US" w:eastAsia="zh-CN"/>
        </w:rPr>
        <w:t>人员调转</w:t>
      </w:r>
      <w:r>
        <w:rPr>
          <w:rFonts w:ascii="仿宋_GB2312" w:eastAsia="仿宋_GB2312"/>
          <w:sz w:val="32"/>
        </w:rPr>
        <w:t>收入。</w:t>
      </w:r>
    </w:p>
    <w:p w14:paraId="24D54F63">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.使用非财政拨款结余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152D612E">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4</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0282B411">
      <w:pPr>
        <w:pStyle w:val="6"/>
        <w:spacing w:line="560" w:lineRule="exact"/>
        <w:ind w:firstLine="660"/>
        <w:rPr>
          <w:rFonts w:hint="eastAsia" w:ascii="仿宋_GB2312" w:hAnsi="宋体"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9336.11</w:t>
      </w:r>
      <w:r>
        <w:rPr>
          <w:rFonts w:ascii="仿宋_GB2312" w:eastAsia="仿宋_GB2312"/>
          <w:sz w:val="32"/>
        </w:rPr>
        <w:t>万元，增长</w:t>
      </w:r>
      <w:r>
        <w:rPr>
          <w:rFonts w:hint="eastAsia" w:ascii="仿宋_GB2312" w:eastAsia="仿宋_GB2312"/>
          <w:sz w:val="32"/>
          <w:lang w:val="en-US" w:eastAsia="zh-CN"/>
        </w:rPr>
        <w:t>24.08</w:t>
      </w:r>
      <w:r>
        <w:rPr>
          <w:rFonts w:ascii="仿宋_GB2312" w:eastAsia="仿宋_GB2312"/>
          <w:sz w:val="32"/>
        </w:rPr>
        <w:t>%，主要原因：</w:t>
      </w:r>
      <w:r>
        <w:rPr>
          <w:rFonts w:hint="eastAsia" w:ascii="仿宋_GB2312" w:hAnsi="宋体" w:eastAsia="仿宋_GB2312"/>
          <w:sz w:val="32"/>
          <w:szCs w:val="32"/>
        </w:rPr>
        <w:t>政府性基金预算财政拨款收入增加</w:t>
      </w:r>
    </w:p>
    <w:p w14:paraId="6FC6A0AF">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48109.37</w:t>
      </w:r>
      <w:r>
        <w:rPr>
          <w:rFonts w:ascii="楷体_GB2312" w:eastAsia="楷体_GB2312"/>
          <w:b/>
          <w:sz w:val="32"/>
        </w:rPr>
        <w:t>万元，包括：</w:t>
      </w:r>
    </w:p>
    <w:p w14:paraId="543DBD4F">
      <w:pPr>
        <w:pStyle w:val="6"/>
        <w:numPr>
          <w:ilvl w:val="0"/>
          <w:numId w:val="0"/>
        </w:numPr>
        <w:spacing w:line="560" w:lineRule="exact"/>
        <w:ind w:firstLine="640" w:firstLineChars="200"/>
        <w:rPr>
          <w:rFonts w:hint="default" w:ascii="仿宋_GB2312" w:eastAsia="仿宋_GB2312"/>
          <w:color w:val="FF0000"/>
          <w:sz w:val="32"/>
          <w:lang w:val="en-US"/>
        </w:rPr>
      </w:pPr>
      <w:r>
        <w:rPr>
          <w:rFonts w:ascii="仿宋_GB2312" w:eastAsia="仿宋_GB2312"/>
          <w:sz w:val="32"/>
        </w:rPr>
        <w:t>1.基本支出</w:t>
      </w:r>
      <w:r>
        <w:rPr>
          <w:rFonts w:hint="eastAsia" w:ascii="仿宋_GB2312" w:eastAsia="仿宋_GB2312"/>
          <w:sz w:val="32"/>
          <w:lang w:val="en-US" w:eastAsia="zh-CN"/>
        </w:rPr>
        <w:t>716.39</w:t>
      </w:r>
      <w:r>
        <w:rPr>
          <w:rFonts w:ascii="仿宋_GB2312" w:eastAsia="仿宋_GB2312"/>
          <w:sz w:val="32"/>
        </w:rPr>
        <w:t>万元，</w:t>
      </w:r>
      <w:r>
        <w:rPr>
          <w:rFonts w:ascii="仿宋_GB2312" w:eastAsia="仿宋_GB2312"/>
          <w:color w:val="auto"/>
          <w:sz w:val="32"/>
        </w:rPr>
        <w:t>占支出总计的</w:t>
      </w:r>
      <w:r>
        <w:rPr>
          <w:rFonts w:hint="eastAsia" w:ascii="仿宋_GB2312" w:eastAsia="仿宋_GB2312"/>
          <w:color w:val="auto"/>
          <w:sz w:val="32"/>
          <w:lang w:val="en-US" w:eastAsia="zh-CN"/>
        </w:rPr>
        <w:t>1.49</w:t>
      </w:r>
      <w:r>
        <w:rPr>
          <w:rFonts w:ascii="仿宋_GB2312" w:eastAsia="仿宋_GB2312"/>
          <w:color w:val="auto"/>
          <w:sz w:val="32"/>
        </w:rPr>
        <w:t>%。主要是为保障机构正常运转、完成日常工作任务而发生的各项支出，其中：工资福利支出</w:t>
      </w:r>
      <w:r>
        <w:rPr>
          <w:rFonts w:hint="eastAsia" w:ascii="仿宋_GB2312" w:eastAsia="仿宋_GB2312"/>
          <w:color w:val="auto"/>
          <w:sz w:val="32"/>
          <w:lang w:val="en-US" w:eastAsia="zh-CN"/>
        </w:rPr>
        <w:t>660.62</w:t>
      </w:r>
      <w:r>
        <w:rPr>
          <w:rFonts w:ascii="仿宋_GB2312" w:eastAsia="仿宋_GB2312"/>
          <w:color w:val="auto"/>
          <w:sz w:val="32"/>
        </w:rPr>
        <w:t>万元，对个人和家庭的补助支出</w:t>
      </w:r>
      <w:r>
        <w:rPr>
          <w:rFonts w:hint="eastAsia" w:ascii="仿宋_GB2312" w:eastAsia="仿宋_GB2312"/>
          <w:color w:val="auto"/>
          <w:sz w:val="32"/>
          <w:lang w:val="en-US" w:eastAsia="zh-CN"/>
        </w:rPr>
        <w:t>1.17</w:t>
      </w:r>
      <w:r>
        <w:rPr>
          <w:rFonts w:ascii="仿宋_GB2312" w:eastAsia="仿宋_GB2312"/>
          <w:color w:val="auto"/>
          <w:sz w:val="32"/>
        </w:rPr>
        <w:t>万元，商品和服务支出</w:t>
      </w:r>
      <w:r>
        <w:rPr>
          <w:rFonts w:hint="eastAsia" w:ascii="仿宋_GB2312" w:eastAsia="仿宋_GB2312"/>
          <w:color w:val="auto"/>
          <w:sz w:val="32"/>
          <w:lang w:val="en-US" w:eastAsia="zh-CN"/>
        </w:rPr>
        <w:t>53.34</w:t>
      </w:r>
      <w:r>
        <w:rPr>
          <w:rFonts w:ascii="仿宋_GB2312" w:eastAsia="仿宋_GB2312"/>
          <w:color w:val="auto"/>
          <w:sz w:val="32"/>
        </w:rPr>
        <w:t>万元，</w:t>
      </w:r>
      <w:r>
        <w:rPr>
          <w:rFonts w:hint="eastAsia" w:ascii="仿宋_GB2312" w:eastAsia="仿宋_GB2312"/>
          <w:color w:val="auto"/>
          <w:sz w:val="32"/>
          <w:lang w:val="en-US" w:eastAsia="zh-CN"/>
        </w:rPr>
        <w:t>资本性支出0.71万元，城乡社区支付0.55万元。</w:t>
      </w:r>
    </w:p>
    <w:p w14:paraId="3DC6711B">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47392.99</w:t>
      </w:r>
      <w:r>
        <w:rPr>
          <w:rFonts w:ascii="仿宋_GB2312" w:eastAsia="仿宋_GB2312"/>
          <w:sz w:val="32"/>
        </w:rPr>
        <w:t>万元，占支出总计的</w:t>
      </w:r>
      <w:r>
        <w:rPr>
          <w:rFonts w:hint="eastAsia" w:ascii="仿宋_GB2312" w:eastAsia="仿宋_GB2312"/>
          <w:sz w:val="32"/>
          <w:lang w:val="en-US" w:eastAsia="zh-CN"/>
        </w:rPr>
        <w:t>98.51</w:t>
      </w:r>
      <w:r>
        <w:rPr>
          <w:rFonts w:ascii="仿宋_GB2312" w:eastAsia="仿宋_GB2312"/>
          <w:sz w:val="32"/>
        </w:rPr>
        <w:t>%。主要包括</w:t>
      </w:r>
      <w:r>
        <w:rPr>
          <w:rFonts w:hint="eastAsia" w:ascii="仿宋_GB2312" w:hAnsi="宋体" w:eastAsia="仿宋_GB2312"/>
          <w:sz w:val="32"/>
          <w:szCs w:val="32"/>
        </w:rPr>
        <w:t>土地补偿支出、拆迁补偿支出等业务支出</w:t>
      </w:r>
      <w:r>
        <w:rPr>
          <w:rFonts w:ascii="仿宋_GB2312" w:eastAsia="仿宋_GB2312"/>
          <w:sz w:val="32"/>
        </w:rPr>
        <w:t>。</w:t>
      </w:r>
    </w:p>
    <w:p w14:paraId="02BE8667">
      <w:pPr>
        <w:spacing w:line="540" w:lineRule="exact"/>
        <w:ind w:firstLine="660"/>
        <w:rPr>
          <w:rFonts w:hint="eastAsia" w:ascii="仿宋_GB2312" w:hAnsi="宋体" w:eastAsia="仿宋_GB2312"/>
          <w:sz w:val="32"/>
          <w:szCs w:val="32"/>
        </w:rPr>
      </w:pPr>
      <w:r>
        <w:rPr>
          <w:rFonts w:ascii="仿宋_GB2312" w:eastAsia="仿宋_GB2312"/>
          <w:sz w:val="32"/>
        </w:rPr>
        <w:t>与上年相比，今年支出增加</w:t>
      </w:r>
      <w:r>
        <w:rPr>
          <w:rFonts w:hint="eastAsia" w:ascii="仿宋_GB2312" w:eastAsia="仿宋_GB2312"/>
          <w:sz w:val="32"/>
          <w:lang w:val="en-US" w:eastAsia="zh-CN"/>
        </w:rPr>
        <w:t>9336.11</w:t>
      </w:r>
      <w:r>
        <w:rPr>
          <w:rFonts w:ascii="仿宋_GB2312" w:eastAsia="仿宋_GB2312"/>
          <w:sz w:val="32"/>
        </w:rPr>
        <w:t>万元，增长</w:t>
      </w:r>
      <w:r>
        <w:rPr>
          <w:rFonts w:hint="eastAsia" w:ascii="仿宋_GB2312" w:eastAsia="仿宋_GB2312"/>
          <w:sz w:val="32"/>
          <w:lang w:val="en-US" w:eastAsia="zh-CN"/>
        </w:rPr>
        <w:t>24.08</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rPr>
        <w:t>土地补偿支出的增加；</w:t>
      </w:r>
      <w:r>
        <w:rPr>
          <w:rFonts w:hint="eastAsia" w:ascii="黑体" w:hAnsi="黑体" w:eastAsia="黑体"/>
          <w:sz w:val="32"/>
          <w:szCs w:val="32"/>
        </w:rPr>
        <w:t>二是</w:t>
      </w:r>
      <w:r>
        <w:rPr>
          <w:rFonts w:hint="eastAsia" w:ascii="仿宋_GB2312" w:hAnsi="宋体" w:eastAsia="仿宋_GB2312"/>
          <w:sz w:val="32"/>
          <w:szCs w:val="32"/>
        </w:rPr>
        <w:t>拆迁补偿支出的增加。</w:t>
      </w:r>
    </w:p>
    <w:p w14:paraId="0E82A924">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30D624DE">
      <w:pPr>
        <w:pStyle w:val="6"/>
        <w:spacing w:line="560" w:lineRule="exact"/>
        <w:ind w:firstLine="660"/>
        <w:rPr>
          <w:rFonts w:hint="eastAsia" w:ascii="仿宋_GB2312" w:eastAsia="仿宋_GB2312"/>
          <w:color w:val="auto"/>
          <w:sz w:val="32"/>
          <w:lang w:val="en-US" w:eastAsia="zh-CN"/>
        </w:rPr>
      </w:pPr>
      <w:r>
        <w:rPr>
          <w:rFonts w:ascii="仿宋_GB2312" w:eastAsia="仿宋_GB2312"/>
          <w:sz w:val="32"/>
        </w:rPr>
        <w:t>与上年相比，今年结转结余</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0</w:t>
      </w:r>
      <w:r>
        <w:rPr>
          <w:rFonts w:ascii="仿宋_GB2312" w:eastAsia="仿宋_GB2312"/>
          <w:color w:val="auto"/>
          <w:sz w:val="32"/>
        </w:rPr>
        <w:t>%，</w:t>
      </w:r>
      <w:r>
        <w:rPr>
          <w:rFonts w:hint="eastAsia" w:ascii="仿宋_GB2312" w:eastAsia="仿宋_GB2312"/>
          <w:color w:val="auto"/>
          <w:sz w:val="32"/>
          <w:lang w:val="en-US" w:eastAsia="zh-CN"/>
        </w:rPr>
        <w:t>与上年持平。</w:t>
      </w:r>
    </w:p>
    <w:p w14:paraId="7D854BDC">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14:paraId="23115A5D">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14:paraId="2C8F3A9C">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48109.37</w:t>
      </w:r>
      <w:r>
        <w:rPr>
          <w:rFonts w:ascii="仿宋_GB2312" w:eastAsia="仿宋_GB2312"/>
          <w:sz w:val="32"/>
        </w:rPr>
        <w:t>万元，其中：基本支出</w:t>
      </w:r>
      <w:r>
        <w:rPr>
          <w:rFonts w:hint="eastAsia" w:ascii="仿宋_GB2312" w:eastAsia="仿宋_GB2312"/>
          <w:sz w:val="32"/>
          <w:lang w:val="en-US" w:eastAsia="zh-CN"/>
        </w:rPr>
        <w:t>716.39</w:t>
      </w:r>
      <w:r>
        <w:rPr>
          <w:rFonts w:ascii="仿宋_GB2312" w:eastAsia="仿宋_GB2312"/>
          <w:sz w:val="32"/>
        </w:rPr>
        <w:t>万元，项目支出</w:t>
      </w:r>
      <w:r>
        <w:rPr>
          <w:rFonts w:hint="eastAsia" w:ascii="仿宋_GB2312" w:eastAsia="仿宋_GB2312"/>
          <w:sz w:val="32"/>
          <w:lang w:val="en-US" w:eastAsia="zh-CN"/>
        </w:rPr>
        <w:t>47392.99</w:t>
      </w:r>
      <w:r>
        <w:rPr>
          <w:rFonts w:ascii="仿宋_GB2312" w:eastAsia="仿宋_GB2312"/>
          <w:sz w:val="32"/>
        </w:rPr>
        <w:t>万元。与上年相比，财政拨款支出增加</w:t>
      </w:r>
      <w:r>
        <w:rPr>
          <w:rFonts w:hint="eastAsia" w:ascii="仿宋_GB2312" w:eastAsia="仿宋_GB2312"/>
          <w:sz w:val="32"/>
          <w:lang w:val="en-US" w:eastAsia="zh-CN"/>
        </w:rPr>
        <w:t>9336.11</w:t>
      </w:r>
      <w:r>
        <w:rPr>
          <w:rFonts w:ascii="仿宋_GB2312" w:eastAsia="仿宋_GB2312"/>
          <w:sz w:val="32"/>
        </w:rPr>
        <w:t>万元，增长</w:t>
      </w:r>
      <w:r>
        <w:rPr>
          <w:rFonts w:hint="eastAsia" w:ascii="仿宋_GB2312" w:eastAsia="仿宋_GB2312"/>
          <w:sz w:val="32"/>
          <w:lang w:val="en-US" w:eastAsia="zh-CN"/>
        </w:rPr>
        <w:t>24.08</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rPr>
        <w:t>土地补偿支出的增加；</w:t>
      </w:r>
      <w:r>
        <w:rPr>
          <w:rFonts w:hint="eastAsia" w:ascii="黑体" w:hAnsi="黑体" w:eastAsia="黑体"/>
          <w:sz w:val="32"/>
          <w:szCs w:val="32"/>
        </w:rPr>
        <w:t>二是</w:t>
      </w:r>
      <w:r>
        <w:rPr>
          <w:rFonts w:hint="eastAsia" w:ascii="仿宋_GB2312" w:hAnsi="宋体" w:eastAsia="仿宋_GB2312"/>
          <w:sz w:val="32"/>
          <w:szCs w:val="32"/>
        </w:rPr>
        <w:t>拆迁补偿支出的增加。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1D966967">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val="en-US" w:eastAsia="zh-CN"/>
        </w:rPr>
        <w:t>（二）</w:t>
      </w:r>
      <w:r>
        <w:rPr>
          <w:rFonts w:ascii="楷体_GB2312" w:hAnsi="宋体" w:eastAsia="楷体_GB2312"/>
          <w:b/>
          <w:sz w:val="32"/>
          <w:szCs w:val="32"/>
        </w:rPr>
        <w:t>一般公共预算财政拨款支出情况。</w:t>
      </w:r>
    </w:p>
    <w:p w14:paraId="30C97345">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2717.32</w:t>
      </w:r>
      <w:r>
        <w:rPr>
          <w:rFonts w:ascii="仿宋_GB2312" w:hAnsi="宋体" w:eastAsia="仿宋_GB2312"/>
          <w:sz w:val="32"/>
          <w:szCs w:val="32"/>
        </w:rPr>
        <w:t>万元，按支出功能分类科目分，</w:t>
      </w:r>
      <w:r>
        <w:rPr>
          <w:rFonts w:hint="eastAsia" w:ascii="仿宋_GB2312" w:hAnsi="宋体" w:eastAsia="仿宋_GB2312"/>
          <w:sz w:val="32"/>
          <w:szCs w:val="32"/>
        </w:rPr>
        <w:t>包括：社会保障和就业支出</w:t>
      </w:r>
      <w:r>
        <w:rPr>
          <w:rFonts w:hint="eastAsia" w:ascii="仿宋_GB2312" w:hAnsi="宋体" w:eastAsia="仿宋_GB2312"/>
          <w:sz w:val="32"/>
          <w:szCs w:val="32"/>
          <w:lang w:val="en-US" w:eastAsia="zh-CN"/>
        </w:rPr>
        <w:t>75.05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2.76</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29.35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1.08</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2472.14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90.98</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117.05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4.31</w:t>
      </w:r>
      <w:r>
        <w:rPr>
          <w:rFonts w:hint="eastAsia" w:ascii="仿宋_GB2312" w:hAnsi="宋体" w:eastAsia="仿宋_GB2312"/>
          <w:sz w:val="32"/>
          <w:szCs w:val="32"/>
        </w:rPr>
        <w:t>%；灾害防治及济急管理支出</w:t>
      </w:r>
      <w:r>
        <w:rPr>
          <w:rFonts w:hint="eastAsia" w:ascii="仿宋_GB2312" w:hAnsi="宋体" w:eastAsia="仿宋_GB2312"/>
          <w:sz w:val="32"/>
          <w:szCs w:val="32"/>
          <w:lang w:val="en-US" w:eastAsia="zh-CN"/>
        </w:rPr>
        <w:t>23.73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0.87</w:t>
      </w:r>
      <w:r>
        <w:rPr>
          <w:rFonts w:hint="eastAsia" w:ascii="仿宋_GB2312" w:hAnsi="宋体" w:eastAsia="仿宋_GB2312"/>
          <w:sz w:val="32"/>
          <w:szCs w:val="32"/>
        </w:rPr>
        <w:t>%。</w:t>
      </w:r>
    </w:p>
    <w:p w14:paraId="44D5E668">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 社会保障和就业支出</w:t>
      </w:r>
      <w:r>
        <w:rPr>
          <w:rFonts w:hint="eastAsia" w:ascii="仿宋_GB2312" w:hAnsi="宋体" w:eastAsia="仿宋_GB2312"/>
          <w:sz w:val="32"/>
          <w:szCs w:val="32"/>
          <w:lang w:val="en-US" w:eastAsia="zh-CN"/>
        </w:rPr>
        <w:t>75.05</w:t>
      </w:r>
      <w:r>
        <w:rPr>
          <w:rFonts w:hint="eastAsia" w:ascii="仿宋_GB2312" w:hAnsi="宋体" w:eastAsia="仿宋_GB2312"/>
          <w:sz w:val="32"/>
          <w:szCs w:val="32"/>
        </w:rPr>
        <w:t>万元，具体包括：</w:t>
      </w:r>
    </w:p>
    <w:p w14:paraId="36CB4C0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（1）社会保障和就业支出（类）行政事业单位养老支出（款）事业单位离退休（项）</w:t>
      </w:r>
      <w:r>
        <w:rPr>
          <w:rFonts w:hint="eastAsia" w:ascii="仿宋_GB2312" w:hAnsi="宋体" w:eastAsia="仿宋_GB2312"/>
          <w:sz w:val="32"/>
          <w:szCs w:val="32"/>
          <w:lang w:val="en-US" w:eastAsia="zh-CN"/>
        </w:rPr>
        <w:t>1.11</w:t>
      </w:r>
      <w:r>
        <w:rPr>
          <w:rFonts w:hint="eastAsia" w:ascii="仿宋_GB2312" w:hAnsi="宋体" w:eastAsia="仿宋_GB2312"/>
          <w:sz w:val="32"/>
          <w:szCs w:val="32"/>
        </w:rPr>
        <w:t>万元，主要是事业单位退休人员采暖费支出，完成年初预算的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14:paraId="42B9FD99">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（2）社会保障和就业支出（类）行政事业单位养老支出（款）机关事业单位基本养老保险缴费支出（项）</w:t>
      </w:r>
      <w:r>
        <w:rPr>
          <w:rFonts w:hint="eastAsia" w:ascii="仿宋_GB2312" w:hAnsi="宋体" w:eastAsia="仿宋_GB2312"/>
          <w:sz w:val="32"/>
          <w:szCs w:val="32"/>
          <w:lang w:val="en-US" w:eastAsia="zh-CN"/>
        </w:rPr>
        <w:t>59.33</w:t>
      </w:r>
      <w:r>
        <w:rPr>
          <w:rFonts w:hint="eastAsia" w:ascii="仿宋_GB2312" w:hAnsi="宋体" w:eastAsia="仿宋_GB2312"/>
          <w:sz w:val="32"/>
          <w:szCs w:val="32"/>
        </w:rPr>
        <w:t>万元，主要是事业单位在职人员养老保险缴费支出，完成年初预算的</w:t>
      </w:r>
      <w:r>
        <w:rPr>
          <w:rFonts w:hint="eastAsia" w:ascii="仿宋_GB2312" w:hAnsi="宋体" w:eastAsia="仿宋_GB2312"/>
          <w:sz w:val="32"/>
          <w:szCs w:val="32"/>
          <w:lang w:val="en-US" w:eastAsia="zh-CN"/>
        </w:rPr>
        <w:t>98.95</w:t>
      </w:r>
      <w:r>
        <w:rPr>
          <w:rFonts w:hint="eastAsia" w:ascii="仿宋_GB2312" w:hAnsi="宋体" w:eastAsia="仿宋_GB2312"/>
          <w:sz w:val="32"/>
          <w:szCs w:val="32"/>
        </w:rPr>
        <w:t>%，决算数小于年初预算数的原因主要是在职人员转出调整等原因。</w:t>
      </w:r>
    </w:p>
    <w:p w14:paraId="275BDA2D">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（3）社会保障和就业支出（类）行政事业单位养老支出（款）机关事业单位职业年金缴费支出（项）</w:t>
      </w:r>
      <w:r>
        <w:rPr>
          <w:rFonts w:hint="eastAsia" w:ascii="仿宋_GB2312" w:hAnsi="宋体" w:eastAsia="仿宋_GB2312"/>
          <w:sz w:val="32"/>
          <w:szCs w:val="32"/>
          <w:lang w:val="en-US" w:eastAsia="zh-CN"/>
        </w:rPr>
        <w:t>14.61</w:t>
      </w:r>
      <w:r>
        <w:rPr>
          <w:rFonts w:hint="eastAsia" w:ascii="仿宋_GB2312" w:hAnsi="宋体" w:eastAsia="仿宋_GB2312"/>
          <w:sz w:val="32"/>
          <w:szCs w:val="32"/>
        </w:rPr>
        <w:t>万元，主要是机关事业单位人员职业年金缴费支出，完成年初预算的</w:t>
      </w:r>
      <w:r>
        <w:rPr>
          <w:rFonts w:hint="eastAsia" w:ascii="仿宋_GB2312" w:hAnsi="宋体" w:eastAsia="仿宋_GB2312"/>
          <w:sz w:val="32"/>
          <w:szCs w:val="32"/>
          <w:lang w:val="en-US" w:eastAsia="zh-CN"/>
        </w:rPr>
        <w:t>98.95</w:t>
      </w:r>
      <w:r>
        <w:rPr>
          <w:rFonts w:hint="eastAsia" w:ascii="仿宋_GB2312" w:hAnsi="宋体" w:eastAsia="仿宋_GB2312"/>
          <w:sz w:val="32"/>
          <w:szCs w:val="32"/>
        </w:rPr>
        <w:t>%，决算数小于年初预算数的原因主要是部分在职人员交职业年金及退休人员补缴职业年金等原因。</w:t>
      </w:r>
    </w:p>
    <w:p w14:paraId="63E68F2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w:t>
      </w:r>
      <w:r>
        <w:rPr>
          <w:rFonts w:hint="eastAsia" w:ascii="仿宋_GB2312" w:hAnsi="宋体" w:eastAsia="仿宋_GB2312"/>
          <w:sz w:val="32"/>
          <w:szCs w:val="32"/>
          <w:lang w:val="en-US" w:eastAsia="zh-CN"/>
        </w:rPr>
        <w:t>29.35</w:t>
      </w:r>
      <w:r>
        <w:rPr>
          <w:rFonts w:hint="eastAsia" w:ascii="仿宋_GB2312" w:hAnsi="宋体" w:eastAsia="仿宋_GB2312"/>
          <w:sz w:val="32"/>
          <w:szCs w:val="32"/>
        </w:rPr>
        <w:t>万元，具体包括：</w:t>
      </w:r>
    </w:p>
    <w:p w14:paraId="567919E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卫生健康</w:t>
      </w:r>
      <w:r>
        <w:rPr>
          <w:rFonts w:hint="eastAsia" w:ascii="仿宋_GB2312" w:hAnsi="宋体" w:eastAsia="仿宋_GB2312"/>
          <w:sz w:val="32"/>
          <w:szCs w:val="32"/>
        </w:rPr>
        <w:t>支出（类）行政</w:t>
      </w:r>
      <w:r>
        <w:rPr>
          <w:rFonts w:hint="eastAsia" w:ascii="仿宋_GB2312" w:hAnsi="宋体" w:eastAsia="仿宋_GB2312"/>
          <w:sz w:val="32"/>
          <w:szCs w:val="32"/>
          <w:lang w:eastAsia="zh-CN"/>
        </w:rPr>
        <w:t>事业单位</w:t>
      </w:r>
      <w:r>
        <w:rPr>
          <w:rFonts w:hint="eastAsia" w:ascii="仿宋_GB2312" w:hAnsi="宋体" w:eastAsia="仿宋_GB2312"/>
          <w:sz w:val="32"/>
          <w:szCs w:val="32"/>
        </w:rPr>
        <w:t>医疗（款）事业单位医疗（项）</w:t>
      </w:r>
      <w:r>
        <w:rPr>
          <w:rFonts w:hint="eastAsia" w:ascii="仿宋_GB2312" w:hAnsi="宋体" w:eastAsia="仿宋_GB2312"/>
          <w:sz w:val="32"/>
          <w:szCs w:val="32"/>
          <w:lang w:val="en-US" w:eastAsia="zh-CN"/>
        </w:rPr>
        <w:t>27.25</w:t>
      </w:r>
      <w:r>
        <w:rPr>
          <w:rFonts w:hint="eastAsia" w:ascii="仿宋_GB2312" w:hAnsi="宋体" w:eastAsia="仿宋_GB2312"/>
          <w:sz w:val="32"/>
          <w:szCs w:val="32"/>
        </w:rPr>
        <w:t>万元，主要是事业单位人员医疗保险费支出，完成年初预算的83.11%，决算数小于年初预算数的原因主要是在职人员转出调整等原因。</w:t>
      </w:r>
    </w:p>
    <w:p w14:paraId="4086A69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bookmarkStart w:id="0" w:name="_GoBack"/>
      <w:bookmarkEnd w:id="0"/>
      <w:r>
        <w:rPr>
          <w:rFonts w:hint="eastAsia" w:ascii="仿宋_GB2312" w:hAnsi="宋体" w:eastAsia="仿宋_GB2312"/>
          <w:sz w:val="32"/>
          <w:szCs w:val="32"/>
          <w:lang w:eastAsia="zh-CN"/>
        </w:rPr>
        <w:t>卫生健康</w:t>
      </w:r>
      <w:r>
        <w:rPr>
          <w:rFonts w:hint="eastAsia" w:ascii="仿宋_GB2312" w:hAnsi="宋体" w:eastAsia="仿宋_GB2312"/>
          <w:sz w:val="32"/>
          <w:szCs w:val="32"/>
        </w:rPr>
        <w:t>支出（类）行政</w:t>
      </w:r>
      <w:r>
        <w:rPr>
          <w:rFonts w:hint="eastAsia" w:ascii="仿宋_GB2312" w:hAnsi="宋体" w:eastAsia="仿宋_GB2312"/>
          <w:sz w:val="32"/>
          <w:szCs w:val="32"/>
          <w:lang w:eastAsia="zh-CN"/>
        </w:rPr>
        <w:t>事业单位</w:t>
      </w:r>
      <w:r>
        <w:rPr>
          <w:rFonts w:hint="eastAsia" w:ascii="仿宋_GB2312" w:hAnsi="宋体" w:eastAsia="仿宋_GB2312"/>
          <w:sz w:val="32"/>
          <w:szCs w:val="32"/>
        </w:rPr>
        <w:t>医疗（款）其他行政</w:t>
      </w:r>
      <w:r>
        <w:rPr>
          <w:rFonts w:hint="eastAsia" w:ascii="仿宋_GB2312" w:hAnsi="宋体" w:eastAsia="仿宋_GB2312"/>
          <w:sz w:val="32"/>
          <w:szCs w:val="32"/>
          <w:lang w:eastAsia="zh-CN"/>
        </w:rPr>
        <w:t>事业单位</w:t>
      </w:r>
      <w:r>
        <w:rPr>
          <w:rFonts w:hint="eastAsia" w:ascii="仿宋_GB2312" w:hAnsi="宋体" w:eastAsia="仿宋_GB2312"/>
          <w:sz w:val="32"/>
          <w:szCs w:val="32"/>
        </w:rPr>
        <w:t>医疗支出（项）2.1</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万元，主要是事业单位人员医疗补助支出，完成年初预算数的99.55%，决算数相当于等于预算数。</w:t>
      </w:r>
    </w:p>
    <w:p w14:paraId="21F7A48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 城乡社区支出</w:t>
      </w:r>
      <w:r>
        <w:rPr>
          <w:rFonts w:hint="eastAsia" w:ascii="仿宋_GB2312" w:hAnsi="宋体" w:eastAsia="仿宋_GB2312"/>
          <w:sz w:val="32"/>
          <w:szCs w:val="32"/>
          <w:lang w:val="en-US" w:eastAsia="zh-CN"/>
        </w:rPr>
        <w:t>2472.15</w:t>
      </w:r>
      <w:r>
        <w:rPr>
          <w:rFonts w:hint="eastAsia" w:ascii="仿宋_GB2312" w:hAnsi="宋体" w:eastAsia="仿宋_GB2312"/>
          <w:sz w:val="32"/>
          <w:szCs w:val="32"/>
        </w:rPr>
        <w:t>万元，具体包括：</w:t>
      </w:r>
    </w:p>
    <w:p w14:paraId="0F7FFDC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（1）城乡社区支出(类)城乡社区管理事务（款）其他城乡社区管理事务支出（项）</w:t>
      </w:r>
      <w:r>
        <w:rPr>
          <w:rFonts w:hint="eastAsia" w:ascii="仿宋_GB2312" w:hAnsi="宋体" w:eastAsia="仿宋_GB2312"/>
          <w:sz w:val="32"/>
          <w:szCs w:val="32"/>
          <w:lang w:val="en-US" w:eastAsia="zh-CN"/>
        </w:rPr>
        <w:t>704.42</w:t>
      </w:r>
      <w:r>
        <w:rPr>
          <w:rFonts w:hint="eastAsia" w:ascii="仿宋_GB2312" w:hAnsi="宋体" w:eastAsia="仿宋_GB2312"/>
          <w:sz w:val="32"/>
          <w:szCs w:val="32"/>
        </w:rPr>
        <w:t>万元，主要是劳务派遣人员经费等支出（我中心做决算列支，预算由沈阳高新人力资源公司执行）。</w:t>
      </w:r>
    </w:p>
    <w:p w14:paraId="13CFF61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（2）城乡社区支出(类)城乡社区规划与管理（款）其他城乡社区规划与管理（项）</w:t>
      </w:r>
      <w:r>
        <w:rPr>
          <w:rFonts w:hint="eastAsia" w:ascii="仿宋_GB2312" w:hAnsi="宋体" w:eastAsia="仿宋_GB2312"/>
          <w:sz w:val="32"/>
          <w:szCs w:val="32"/>
          <w:lang w:val="en-US" w:eastAsia="zh-CN"/>
        </w:rPr>
        <w:t>851.63</w:t>
      </w:r>
      <w:r>
        <w:rPr>
          <w:rFonts w:hint="eastAsia" w:ascii="仿宋_GB2312" w:hAnsi="宋体" w:eastAsia="仿宋_GB2312"/>
          <w:sz w:val="32"/>
          <w:szCs w:val="32"/>
        </w:rPr>
        <w:t>万元，主要是事业单位在职人员工资、津贴、工伤保险、办公费、邮电费、绩效、工会经费、办公设备购置等支出，完成年初预算的97.79%，决算数小于年初预算数的原因主要是按实际发生列支。</w:t>
      </w:r>
    </w:p>
    <w:p w14:paraId="028178F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（3）城乡社区支出(类)城乡社区公共设施（款）其他城乡社区公共设施支出（项）</w:t>
      </w:r>
      <w:r>
        <w:rPr>
          <w:rFonts w:hint="eastAsia" w:ascii="仿宋_GB2312" w:hAnsi="宋体" w:eastAsia="仿宋_GB2312"/>
          <w:sz w:val="32"/>
          <w:szCs w:val="32"/>
          <w:lang w:val="en-US" w:eastAsia="zh-CN"/>
        </w:rPr>
        <w:t>916.10</w:t>
      </w:r>
      <w:r>
        <w:rPr>
          <w:rFonts w:hint="eastAsia" w:ascii="仿宋_GB2312" w:hAnsi="宋体" w:eastAsia="仿宋_GB2312"/>
          <w:sz w:val="32"/>
          <w:szCs w:val="32"/>
        </w:rPr>
        <w:t>万元，是对企业的补助（返还墙改基金）支出，完成年初预算的100%，决算数等于年初预算数的主要原因是，此款是政府公共专项预留项目支出预算未下达至本单位，因此未列入本部门预算，主要是财政直接支付返还墙改基金。</w:t>
      </w:r>
    </w:p>
    <w:p w14:paraId="49FF7399">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117.05</w:t>
      </w:r>
      <w:r>
        <w:rPr>
          <w:rFonts w:hint="eastAsia" w:ascii="仿宋_GB2312" w:hAnsi="宋体" w:eastAsia="仿宋_GB2312"/>
          <w:sz w:val="32"/>
          <w:szCs w:val="32"/>
        </w:rPr>
        <w:t>万元，具体包括在：</w:t>
      </w:r>
    </w:p>
    <w:p w14:paraId="2F324F1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（1）住房保障支出（类） 住房改革支出（款）住房公积金（项）</w:t>
      </w:r>
      <w:r>
        <w:rPr>
          <w:rFonts w:hint="eastAsia" w:ascii="仿宋_GB2312" w:hAnsi="宋体" w:eastAsia="仿宋_GB2312"/>
          <w:sz w:val="32"/>
          <w:szCs w:val="32"/>
          <w:lang w:val="en-US" w:eastAsia="zh-CN"/>
        </w:rPr>
        <w:t>115.15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事业单位</w:t>
      </w:r>
      <w:r>
        <w:rPr>
          <w:rFonts w:hint="eastAsia" w:ascii="仿宋_GB2312" w:hAnsi="宋体" w:eastAsia="仿宋_GB2312"/>
          <w:sz w:val="32"/>
          <w:szCs w:val="32"/>
        </w:rPr>
        <w:t>在职人员住房公积金的支出，完成年初预算的91.85%，决算数小于年初预算数的原因主要是人员调整等原因，按实际发生列支。</w:t>
      </w:r>
    </w:p>
    <w:p w14:paraId="00085FA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住房补贴1.90万元，</w:t>
      </w:r>
      <w:r>
        <w:rPr>
          <w:rFonts w:hint="eastAsia" w:ascii="仿宋_GB2312" w:hAnsi="宋体" w:eastAsia="仿宋_GB2312"/>
          <w:sz w:val="32"/>
          <w:szCs w:val="32"/>
        </w:rPr>
        <w:t>按实际发生列支。</w:t>
      </w:r>
    </w:p>
    <w:p w14:paraId="0EAD2090">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5.灾害防治及应急管理支出（类）应急管理事务（款）其他应急管理支出（项）</w:t>
      </w:r>
      <w:r>
        <w:rPr>
          <w:rFonts w:hint="eastAsia" w:ascii="仿宋_GB2312" w:hAnsi="宋体" w:eastAsia="仿宋_GB2312"/>
          <w:sz w:val="32"/>
          <w:szCs w:val="32"/>
          <w:lang w:val="en-US" w:eastAsia="zh-CN"/>
        </w:rPr>
        <w:t>23.73</w:t>
      </w:r>
      <w:r>
        <w:rPr>
          <w:rFonts w:hint="eastAsia" w:ascii="仿宋_GB2312" w:hAnsi="宋体" w:eastAsia="仿宋_GB2312"/>
          <w:sz w:val="32"/>
          <w:szCs w:val="32"/>
        </w:rPr>
        <w:t>万元，主要是安全监管方面的支出，完成年初预算的100%，决算数大于年初预算数的原因主要此款为当年追加预算。</w:t>
      </w:r>
    </w:p>
    <w:p w14:paraId="47B407A4">
      <w:pPr>
        <w:spacing w:line="560" w:lineRule="exact"/>
        <w:ind w:firstLine="660"/>
        <w:rPr>
          <w:rFonts w:hint="default" w:ascii="仿宋_GB2312" w:hAnsi="宋体" w:eastAsia="仿宋_GB2312"/>
          <w:sz w:val="32"/>
          <w:szCs w:val="32"/>
        </w:rPr>
      </w:pPr>
    </w:p>
    <w:p w14:paraId="7CB0E7CB">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1567472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45391.51</w:t>
      </w:r>
      <w:r>
        <w:rPr>
          <w:rFonts w:ascii="仿宋_GB2312" w:hAnsi="宋体" w:eastAsia="仿宋_GB2312"/>
          <w:sz w:val="32"/>
          <w:szCs w:val="32"/>
        </w:rPr>
        <w:t>万元，按支出功能分类科目分，</w:t>
      </w:r>
      <w:r>
        <w:rPr>
          <w:rFonts w:hint="eastAsia" w:ascii="仿宋_GB2312" w:hAnsi="宋体" w:eastAsia="仿宋_GB2312"/>
          <w:sz w:val="32"/>
          <w:szCs w:val="32"/>
          <w:highlight w:val="none"/>
        </w:rPr>
        <w:t>包括：城乡社区支出</w:t>
      </w:r>
      <w:r>
        <w:rPr>
          <w:rFonts w:hint="eastAsia" w:ascii="仿宋_GB2312" w:hAnsi="宋体" w:eastAsia="仿宋_GB2312"/>
          <w:sz w:val="32"/>
          <w:szCs w:val="32"/>
          <w:highlight w:val="none"/>
          <w:lang w:val="en-US" w:eastAsia="zh-CN"/>
        </w:rPr>
        <w:t>45391.51</w:t>
      </w:r>
      <w:r>
        <w:rPr>
          <w:rFonts w:hint="eastAsia" w:ascii="仿宋_GB2312" w:hAnsi="宋体" w:eastAsia="仿宋_GB2312"/>
          <w:sz w:val="32"/>
          <w:szCs w:val="32"/>
          <w:highlight w:val="none"/>
        </w:rPr>
        <w:t>万元。</w:t>
      </w:r>
    </w:p>
    <w:p w14:paraId="5783BB18">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城乡社区支出(类)国有土地使用权出让收入安排的支出（款）土地开发支出（项）</w:t>
      </w:r>
      <w:r>
        <w:rPr>
          <w:rFonts w:hint="eastAsia" w:ascii="仿宋_GB2312" w:hAnsi="宋体" w:eastAsia="仿宋_GB2312"/>
          <w:sz w:val="32"/>
          <w:szCs w:val="32"/>
          <w:highlight w:val="none"/>
          <w:lang w:val="en-US" w:eastAsia="zh-CN"/>
        </w:rPr>
        <w:t>45391.51</w:t>
      </w:r>
      <w:r>
        <w:rPr>
          <w:rFonts w:hint="eastAsia" w:ascii="仿宋_GB2312" w:hAnsi="宋体" w:eastAsia="仿宋_GB2312"/>
          <w:sz w:val="32"/>
          <w:szCs w:val="32"/>
          <w:highlight w:val="none"/>
        </w:rPr>
        <w:t>万元，主要是土地补偿款及拆迁补偿款等支出，完成年初预算的100%，决算数等于年初预算数的主要原因是，此款是政府公共专项预留项目支出预算未下达至本单位，因此未列入本部门预算</w:t>
      </w:r>
      <w:r>
        <w:rPr>
          <w:rFonts w:hint="eastAsia" w:ascii="仿宋_GB2312" w:hAnsi="宋体" w:eastAsia="仿宋_GB2312"/>
          <w:sz w:val="32"/>
          <w:szCs w:val="32"/>
          <w:highlight w:val="none"/>
          <w:lang w:eastAsia="zh-CN"/>
        </w:rPr>
        <w:t>。</w:t>
      </w:r>
    </w:p>
    <w:p w14:paraId="16E5CCC7">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11FD8CD5">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2021年度国有资本经营预算财政拨款支出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highlight w:val="none"/>
          <w:lang w:val="en-US" w:eastAsia="zh-CN"/>
        </w:rPr>
        <w:t>主要是本年无此业务</w:t>
      </w:r>
      <w:r>
        <w:rPr>
          <w:rFonts w:hint="eastAsia" w:ascii="仿宋_GB2312" w:hAnsi="宋体" w:eastAsia="仿宋_GB2312"/>
          <w:sz w:val="32"/>
          <w:szCs w:val="32"/>
          <w:highlight w:val="none"/>
        </w:rPr>
        <w:t>。</w:t>
      </w:r>
    </w:p>
    <w:p w14:paraId="6ADBB23C">
      <w:pPr>
        <w:spacing w:line="560" w:lineRule="exact"/>
        <w:ind w:firstLine="660"/>
        <w:rPr>
          <w:rFonts w:hint="default" w:ascii="仿宋_GB2312" w:hAnsi="宋体" w:eastAsia="仿宋_GB2312"/>
          <w:sz w:val="32"/>
          <w:szCs w:val="32"/>
        </w:rPr>
      </w:pPr>
    </w:p>
    <w:p w14:paraId="2A026B32">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4E11C882">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6F61B9F1">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7EB5734E">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579FAE33">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344B7670">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2E938F22">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20A3FBEC">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1BFD68B6">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715.84</w:t>
      </w:r>
      <w:r>
        <w:rPr>
          <w:rFonts w:ascii="仿宋_GB2312" w:eastAsia="仿宋_GB2312"/>
          <w:sz w:val="32"/>
        </w:rPr>
        <w:t>万元，其中：人员经费</w:t>
      </w:r>
      <w:r>
        <w:rPr>
          <w:rFonts w:hint="eastAsia" w:ascii="仿宋_GB2312" w:eastAsia="仿宋_GB2312"/>
          <w:sz w:val="32"/>
          <w:lang w:val="en-US" w:eastAsia="zh-CN"/>
        </w:rPr>
        <w:t>661.79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w:t>
      </w:r>
      <w:r>
        <w:rPr>
          <w:rFonts w:hint="eastAsia" w:ascii="仿宋_GB2312" w:eastAsia="仿宋_GB2312"/>
          <w:sz w:val="32"/>
          <w:lang w:val="en-US" w:eastAsia="zh-CN"/>
        </w:rPr>
        <w:t>费54.05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4573E06C">
      <w:pPr>
        <w:pStyle w:val="6"/>
        <w:spacing w:line="560" w:lineRule="exact"/>
        <w:ind w:firstLine="640"/>
        <w:rPr>
          <w:rFonts w:hint="default" w:ascii="黑体" w:eastAsia="黑体"/>
          <w:sz w:val="32"/>
        </w:rPr>
      </w:pPr>
      <w:r>
        <w:rPr>
          <w:rFonts w:ascii="黑体" w:eastAsia="黑体"/>
          <w:sz w:val="32"/>
        </w:rPr>
        <w:t>五、其他重要事项的情况说明</w:t>
      </w:r>
    </w:p>
    <w:p w14:paraId="5E1CCE51">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6B8FFAE5">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万元，比上年决算数增加</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0</w:t>
      </w:r>
      <w:r>
        <w:rPr>
          <w:rFonts w:ascii="仿宋_GB2312" w:eastAsia="仿宋_GB2312"/>
          <w:sz w:val="32"/>
        </w:rPr>
        <w:t>%，主要原因是</w:t>
      </w:r>
      <w:r>
        <w:rPr>
          <w:rFonts w:hint="eastAsia" w:ascii="仿宋_GB2312" w:hAnsi="黑体" w:eastAsia="仿宋_GB2312"/>
          <w:sz w:val="32"/>
          <w:szCs w:val="32"/>
        </w:rPr>
        <w:t>无机关运行经费支出</w:t>
      </w:r>
      <w:r>
        <w:rPr>
          <w:rFonts w:ascii="仿宋_GB2312" w:eastAsia="仿宋_GB2312"/>
          <w:sz w:val="32"/>
        </w:rPr>
        <w:t>。</w:t>
      </w:r>
    </w:p>
    <w:p w14:paraId="33AF0A2C">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政府采购支出情况。</w:t>
      </w:r>
    </w:p>
    <w:p w14:paraId="1E6FE989">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27EEDFB7">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14:paraId="72F42D47">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w:t>
      </w:r>
      <w:r>
        <w:rPr>
          <w:rFonts w:hint="eastAsia" w:ascii="仿宋_GB2312" w:eastAsia="仿宋_GB2312"/>
          <w:sz w:val="32"/>
          <w:lang w:val="en-US" w:eastAsia="zh-CN"/>
        </w:rPr>
        <w:t>无</w:t>
      </w:r>
      <w:r>
        <w:rPr>
          <w:rFonts w:ascii="仿宋_GB2312" w:eastAsia="仿宋_GB2312"/>
          <w:sz w:val="32"/>
        </w:rPr>
        <w:t>其他用车；单位价值50万元以上通用设备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4C4B5903">
      <w:pPr>
        <w:keepNext w:val="0"/>
        <w:keepLines w:val="0"/>
        <w:widowControl/>
        <w:numPr>
          <w:ilvl w:val="0"/>
          <w:numId w:val="1"/>
        </w:numPr>
        <w:suppressLineNumbers w:val="0"/>
        <w:spacing w:before="0" w:beforeAutospacing="0" w:after="0" w:afterAutospacing="0" w:line="540" w:lineRule="exact"/>
        <w:ind w:left="0" w:leftChars="0" w:right="0" w:firstLine="660" w:firstLineChars="0"/>
        <w:jc w:val="left"/>
        <w:rPr>
          <w:rFonts w:ascii="楷体_GB2312" w:eastAsia="楷体_GB2312"/>
          <w:b/>
          <w:sz w:val="32"/>
        </w:rPr>
      </w:pPr>
      <w:r>
        <w:rPr>
          <w:rFonts w:ascii="楷体_GB2312" w:eastAsia="楷体_GB2312"/>
          <w:b/>
          <w:sz w:val="32"/>
        </w:rPr>
        <w:t>预算绩效管理工作开展情况。</w:t>
      </w:r>
    </w:p>
    <w:p w14:paraId="418EE8EE">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1.整体绩效自评情况。组织对</w:t>
      </w:r>
      <w:r>
        <w:rPr>
          <w:rFonts w:hint="eastAsia" w:ascii="仿宋_GB2312" w:eastAsia="仿宋_GB2312"/>
          <w:sz w:val="32"/>
          <w:lang w:val="en-US" w:eastAsia="zh-CN"/>
        </w:rPr>
        <w:t>我</w:t>
      </w:r>
      <w:r>
        <w:rPr>
          <w:rFonts w:hint="default" w:ascii="仿宋_GB2312" w:eastAsia="仿宋_GB2312"/>
          <w:sz w:val="32"/>
        </w:rPr>
        <w:t>单位开展整体绩效自评，涉及资金</w:t>
      </w:r>
      <w:r>
        <w:rPr>
          <w:rFonts w:hint="eastAsia" w:ascii="仿宋_GB2312" w:eastAsia="仿宋_GB2312"/>
          <w:sz w:val="32"/>
          <w:lang w:val="en-US" w:eastAsia="zh-CN"/>
        </w:rPr>
        <w:t>0</w:t>
      </w:r>
      <w:r>
        <w:rPr>
          <w:rFonts w:hint="default" w:ascii="仿宋_GB2312" w:eastAsia="仿宋_GB2312"/>
          <w:sz w:val="32"/>
        </w:rPr>
        <w:t>万元，自评平均分</w:t>
      </w:r>
      <w:r>
        <w:rPr>
          <w:rFonts w:hint="eastAsia" w:ascii="仿宋_GB2312" w:eastAsia="仿宋_GB2312"/>
          <w:sz w:val="32"/>
          <w:lang w:val="en-US" w:eastAsia="zh-CN"/>
        </w:rPr>
        <w:t>0</w:t>
      </w:r>
      <w:r>
        <w:rPr>
          <w:rFonts w:hint="default" w:ascii="仿宋_GB2312" w:eastAsia="仿宋_GB2312"/>
          <w:sz w:val="32"/>
        </w:rPr>
        <w:t>分。</w:t>
      </w:r>
    </w:p>
    <w:p w14:paraId="2E0624BC">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val="en-US"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0</w:t>
      </w:r>
      <w:r>
        <w:rPr>
          <w:rFonts w:hint="default" w:ascii="仿宋_GB2312" w:eastAsia="仿宋_GB2312"/>
          <w:sz w:val="32"/>
        </w:rPr>
        <w:t>个，涉及资金</w:t>
      </w:r>
      <w:r>
        <w:rPr>
          <w:rFonts w:hint="eastAsia" w:ascii="仿宋_GB2312" w:eastAsia="仿宋_GB2312"/>
          <w:sz w:val="32"/>
          <w:lang w:val="en-US" w:eastAsia="zh-CN"/>
        </w:rPr>
        <w:t>0</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0</w:t>
      </w:r>
      <w:r>
        <w:rPr>
          <w:rFonts w:hint="default" w:ascii="仿宋_GB2312" w:eastAsia="仿宋_GB2312"/>
          <w:sz w:val="32"/>
        </w:rPr>
        <w:t>分。</w:t>
      </w:r>
    </w:p>
    <w:p w14:paraId="21E069B2">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3.部门重点评价情况。我</w:t>
      </w:r>
      <w:r>
        <w:rPr>
          <w:rFonts w:hint="eastAsia" w:ascii="仿宋_GB2312" w:eastAsia="仿宋_GB2312"/>
          <w:sz w:val="32"/>
          <w:lang w:val="en-US" w:eastAsia="zh-CN"/>
        </w:rPr>
        <w:t>单位</w:t>
      </w:r>
      <w:r>
        <w:rPr>
          <w:rFonts w:hint="default" w:ascii="仿宋_GB2312" w:eastAsia="仿宋_GB2312"/>
          <w:sz w:val="32"/>
        </w:rPr>
        <w:t>组织对项目开展了部门重点评价，涉及资金</w:t>
      </w:r>
      <w:r>
        <w:rPr>
          <w:rFonts w:hint="eastAsia" w:ascii="仿宋_GB2312" w:eastAsia="仿宋_GB2312"/>
          <w:sz w:val="32"/>
          <w:lang w:val="en-US" w:eastAsia="zh-CN"/>
        </w:rPr>
        <w:t>0</w:t>
      </w:r>
      <w:r>
        <w:rPr>
          <w:rFonts w:hint="default" w:ascii="仿宋_GB2312" w:eastAsia="仿宋_GB2312"/>
          <w:sz w:val="32"/>
        </w:rPr>
        <w:t>万元。</w:t>
      </w:r>
    </w:p>
    <w:p w14:paraId="64F2DA90">
      <w:pPr>
        <w:widowControl/>
        <w:spacing w:line="560" w:lineRule="exact"/>
        <w:ind w:firstLine="640" w:firstLineChars="200"/>
        <w:rPr>
          <w:rFonts w:hint="default" w:ascii="仿宋_GB2312" w:eastAsia="仿宋_GB2312"/>
          <w:sz w:val="32"/>
        </w:rPr>
      </w:pPr>
      <w:r>
        <w:rPr>
          <w:rFonts w:hint="default" w:ascii="仿宋_GB2312" w:eastAsia="仿宋_GB2312"/>
          <w:sz w:val="32"/>
        </w:rPr>
        <w:t>4.其他。制定或者完善制度方面情况；建立本部门分行业、分领域预算绩效指标体系情况；绩效监控管理情况；其他预算绩效管理创新做法等。</w:t>
      </w:r>
    </w:p>
    <w:p w14:paraId="30A4EFFE">
      <w:pPr>
        <w:pStyle w:val="6"/>
        <w:spacing w:line="560" w:lineRule="exact"/>
        <w:rPr>
          <w:rFonts w:hint="default"/>
          <w:b/>
          <w:sz w:val="36"/>
        </w:rPr>
      </w:pPr>
    </w:p>
    <w:p w14:paraId="15880377">
      <w:pPr>
        <w:pStyle w:val="7"/>
        <w:autoSpaceDN w:val="0"/>
        <w:spacing w:line="560" w:lineRule="exact"/>
        <w:ind w:firstLine="2168" w:firstLineChars="600"/>
        <w:rPr>
          <w:b/>
          <w:bCs/>
          <w:sz w:val="36"/>
          <w:szCs w:val="36"/>
        </w:rPr>
      </w:pPr>
      <w:r>
        <w:rPr>
          <w:rFonts w:hint="eastAsia"/>
          <w:b/>
          <w:bCs/>
          <w:sz w:val="36"/>
          <w:szCs w:val="36"/>
        </w:rPr>
        <w:t>第三部分 名词解释</w:t>
      </w:r>
    </w:p>
    <w:p w14:paraId="4F6A1C67">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5E4BF96F">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4BE83AA2">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2DCAF7C">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08C8FCF">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4F2E92EB">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7757C620">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1E78FFC2">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4AA7B70A">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5BB7FBCC">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7980905">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77335A8F">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78655EF">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6DD8ED5">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8746896">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554D93D">
      <w:pPr>
        <w:pStyle w:val="6"/>
        <w:spacing w:line="560" w:lineRule="exact"/>
        <w:ind w:firstLine="640"/>
        <w:rPr>
          <w:rFonts w:ascii="仿宋_GB2312" w:eastAsia="仿宋_GB2312"/>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2FE7F15D">
      <w:pPr>
        <w:pStyle w:val="6"/>
        <w:spacing w:line="560" w:lineRule="exact"/>
        <w:ind w:firstLine="640"/>
        <w:rPr>
          <w:rFonts w:hint="default" w:ascii="仿宋_GB2312" w:eastAsia="仿宋_GB2312"/>
          <w:sz w:val="32"/>
        </w:rPr>
      </w:pPr>
    </w:p>
    <w:p w14:paraId="4346B3C7">
      <w:pPr>
        <w:pStyle w:val="6"/>
        <w:spacing w:line="560" w:lineRule="exact"/>
        <w:ind w:firstLine="640"/>
        <w:rPr>
          <w:rFonts w:hint="default" w:ascii="仿宋_GB2312" w:eastAsia="仿宋_GB2312"/>
          <w:i/>
          <w:sz w:val="32"/>
          <w:u w:val="single"/>
        </w:rPr>
      </w:pPr>
    </w:p>
    <w:p w14:paraId="2CBBF1F1">
      <w:pPr>
        <w:pStyle w:val="6"/>
        <w:spacing w:line="560" w:lineRule="atLeast"/>
        <w:jc w:val="left"/>
        <w:rPr>
          <w:rFonts w:hint="default" w:ascii="仿宋_GB2312" w:hAnsi="仿宋_GB2312" w:eastAsia="仿宋_GB2312" w:cs="仿宋_GB2312"/>
          <w:b/>
          <w:sz w:val="52"/>
          <w:szCs w:val="52"/>
        </w:rPr>
      </w:pPr>
    </w:p>
    <w:p w14:paraId="164C3CAC">
      <w:pPr>
        <w:pStyle w:val="6"/>
        <w:spacing w:line="560" w:lineRule="atLeast"/>
        <w:jc w:val="left"/>
        <w:rPr>
          <w:rFonts w:hint="default" w:ascii="仿宋_GB2312" w:hAnsi="仿宋_GB2312" w:eastAsia="仿宋_GB2312" w:cs="仿宋_GB2312"/>
          <w:b/>
          <w:sz w:val="52"/>
          <w:szCs w:val="52"/>
        </w:rPr>
      </w:pPr>
    </w:p>
    <w:p w14:paraId="386C493D">
      <w:pPr>
        <w:pStyle w:val="6"/>
        <w:spacing w:line="560" w:lineRule="atLeast"/>
        <w:jc w:val="left"/>
        <w:rPr>
          <w:rFonts w:hint="default" w:ascii="仿宋_GB2312" w:hAnsi="仿宋_GB2312" w:eastAsia="仿宋_GB2312" w:cs="仿宋_GB2312"/>
          <w:b/>
          <w:sz w:val="52"/>
          <w:szCs w:val="52"/>
        </w:rPr>
      </w:pPr>
    </w:p>
    <w:p w14:paraId="4E127845">
      <w:pPr>
        <w:spacing w:line="360" w:lineRule="auto"/>
        <w:jc w:val="center"/>
        <w:rPr>
          <w:rFonts w:hint="default"/>
          <w:b/>
          <w:sz w:val="36"/>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hint="eastAsia" w:ascii="宋体" w:hAnsi="宋体"/>
          <w:b/>
          <w:sz w:val="52"/>
          <w:szCs w:val="52"/>
          <w:lang w:val="en-US" w:eastAsia="zh-CN"/>
        </w:rPr>
        <w:t>沈阳市浑南区</w:t>
      </w:r>
      <w:r>
        <w:rPr>
          <w:rFonts w:hint="eastAsia" w:ascii="宋体" w:hAnsi="宋体"/>
          <w:b/>
          <w:sz w:val="52"/>
          <w:szCs w:val="52"/>
        </w:rPr>
        <w:t>土地房屋征收补偿服务中心</w:t>
      </w:r>
      <w:r>
        <w:rPr>
          <w:rFonts w:ascii="仿宋_GB2312" w:hAnsi="仿宋_GB2312" w:eastAsia="仿宋_GB2312" w:cs="仿宋_GB2312"/>
          <w:b/>
          <w:sz w:val="52"/>
          <w:szCs w:val="52"/>
        </w:rPr>
        <w:t>2021年度决算表</w:t>
      </w:r>
    </w:p>
    <w:p w14:paraId="6F00D076">
      <w:pPr>
        <w:rPr>
          <w:rFonts w:hint="default" w:ascii="仿宋_GB2312" w:hAnsi="宋体" w:eastAsia="仿宋_GB2312"/>
          <w:kern w:val="0"/>
          <w:sz w:val="32"/>
        </w:rPr>
      </w:pPr>
    </w:p>
    <w:p w14:paraId="6BB7D0F8">
      <w:pPr>
        <w:rPr>
          <w:rFonts w:hint="default" w:ascii="仿宋_GB2312" w:hAnsi="宋体" w:eastAsia="仿宋_GB2312"/>
          <w:kern w:val="0"/>
          <w:sz w:val="32"/>
        </w:rPr>
      </w:pPr>
    </w:p>
    <w:p w14:paraId="0EBCA5AE">
      <w:pPr>
        <w:rPr>
          <w:rFonts w:hint="default" w:ascii="仿宋_GB2312" w:hAnsi="宋体" w:eastAsia="仿宋_GB2312"/>
          <w:kern w:val="0"/>
          <w:sz w:val="32"/>
        </w:rPr>
      </w:pPr>
    </w:p>
    <w:p w14:paraId="42C076B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82A86">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857B5">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8AA73"/>
    <w:multiLevelType w:val="singleLevel"/>
    <w:tmpl w:val="B748AA73"/>
    <w:lvl w:ilvl="0" w:tentative="0">
      <w:start w:val="2"/>
      <w:numFmt w:val="chineseCounting"/>
      <w:suff w:val="nothing"/>
      <w:lvlText w:val="%1、"/>
      <w:lvlJc w:val="left"/>
      <w:rPr>
        <w:rFonts w:hint="eastAsia"/>
      </w:rPr>
    </w:lvl>
  </w:abstractNum>
  <w:abstractNum w:abstractNumId="1">
    <w:nsid w:val="1DC2415F"/>
    <w:multiLevelType w:val="singleLevel"/>
    <w:tmpl w:val="1DC2415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00000000"/>
    <w:rsid w:val="004940D5"/>
    <w:rsid w:val="038452FB"/>
    <w:rsid w:val="048B3E34"/>
    <w:rsid w:val="059565ED"/>
    <w:rsid w:val="05DB4947"/>
    <w:rsid w:val="065718E4"/>
    <w:rsid w:val="0667442D"/>
    <w:rsid w:val="077F1302"/>
    <w:rsid w:val="09120680"/>
    <w:rsid w:val="09A04AED"/>
    <w:rsid w:val="0B8D66E4"/>
    <w:rsid w:val="0BF40511"/>
    <w:rsid w:val="0C2D3A23"/>
    <w:rsid w:val="0DE3083D"/>
    <w:rsid w:val="0DE379F1"/>
    <w:rsid w:val="0E855450"/>
    <w:rsid w:val="0F0A231F"/>
    <w:rsid w:val="10B4026F"/>
    <w:rsid w:val="10C55FD8"/>
    <w:rsid w:val="10F13271"/>
    <w:rsid w:val="113A7A98"/>
    <w:rsid w:val="11E15452"/>
    <w:rsid w:val="12377AF3"/>
    <w:rsid w:val="1292638E"/>
    <w:rsid w:val="12C81DAF"/>
    <w:rsid w:val="1340228E"/>
    <w:rsid w:val="137D703E"/>
    <w:rsid w:val="13FC61B5"/>
    <w:rsid w:val="14C91E0F"/>
    <w:rsid w:val="1530504B"/>
    <w:rsid w:val="153866E8"/>
    <w:rsid w:val="155604DD"/>
    <w:rsid w:val="157C37E7"/>
    <w:rsid w:val="15C40F54"/>
    <w:rsid w:val="15E04F64"/>
    <w:rsid w:val="16EB688A"/>
    <w:rsid w:val="172076DA"/>
    <w:rsid w:val="1723320B"/>
    <w:rsid w:val="19313642"/>
    <w:rsid w:val="194F6D87"/>
    <w:rsid w:val="1B8D003A"/>
    <w:rsid w:val="1E3A1652"/>
    <w:rsid w:val="1E546BED"/>
    <w:rsid w:val="1F5F3A9B"/>
    <w:rsid w:val="218617B3"/>
    <w:rsid w:val="22E847AB"/>
    <w:rsid w:val="239301B8"/>
    <w:rsid w:val="23D81F29"/>
    <w:rsid w:val="24A54081"/>
    <w:rsid w:val="26655E3B"/>
    <w:rsid w:val="26A36964"/>
    <w:rsid w:val="27870033"/>
    <w:rsid w:val="28342D3F"/>
    <w:rsid w:val="29B35110"/>
    <w:rsid w:val="29C4731D"/>
    <w:rsid w:val="2A97233B"/>
    <w:rsid w:val="2B6819BE"/>
    <w:rsid w:val="2BBC47D1"/>
    <w:rsid w:val="2C4A6F83"/>
    <w:rsid w:val="2C7C7A3B"/>
    <w:rsid w:val="2D0D5A44"/>
    <w:rsid w:val="2DC01BA9"/>
    <w:rsid w:val="2F0361F1"/>
    <w:rsid w:val="2FE04785"/>
    <w:rsid w:val="312B7C81"/>
    <w:rsid w:val="313A6116"/>
    <w:rsid w:val="31603DCF"/>
    <w:rsid w:val="334D3EDF"/>
    <w:rsid w:val="339C6CC6"/>
    <w:rsid w:val="33F20F2A"/>
    <w:rsid w:val="34237336"/>
    <w:rsid w:val="344C063B"/>
    <w:rsid w:val="352B0250"/>
    <w:rsid w:val="35A10632"/>
    <w:rsid w:val="35B30245"/>
    <w:rsid w:val="35C53CF2"/>
    <w:rsid w:val="37507BF4"/>
    <w:rsid w:val="395E5707"/>
    <w:rsid w:val="3A483652"/>
    <w:rsid w:val="3BE9676F"/>
    <w:rsid w:val="3CA50841"/>
    <w:rsid w:val="3D540560"/>
    <w:rsid w:val="3D5B565F"/>
    <w:rsid w:val="3DBE2C48"/>
    <w:rsid w:val="3E287A22"/>
    <w:rsid w:val="3F3643C1"/>
    <w:rsid w:val="3F8F3AD1"/>
    <w:rsid w:val="407C4056"/>
    <w:rsid w:val="42360234"/>
    <w:rsid w:val="42B9333F"/>
    <w:rsid w:val="43DF5027"/>
    <w:rsid w:val="456B6447"/>
    <w:rsid w:val="45AF4585"/>
    <w:rsid w:val="469D2F78"/>
    <w:rsid w:val="473774AC"/>
    <w:rsid w:val="47A20030"/>
    <w:rsid w:val="48050DD4"/>
    <w:rsid w:val="4854778B"/>
    <w:rsid w:val="4A213959"/>
    <w:rsid w:val="4A224315"/>
    <w:rsid w:val="4B293C38"/>
    <w:rsid w:val="4C6C6A83"/>
    <w:rsid w:val="4CF66F3E"/>
    <w:rsid w:val="4D8C1650"/>
    <w:rsid w:val="4D926C66"/>
    <w:rsid w:val="4E17716C"/>
    <w:rsid w:val="4E527636"/>
    <w:rsid w:val="4F4026F2"/>
    <w:rsid w:val="50AA3E74"/>
    <w:rsid w:val="524B7D2C"/>
    <w:rsid w:val="52734BF3"/>
    <w:rsid w:val="53004672"/>
    <w:rsid w:val="531F3B40"/>
    <w:rsid w:val="550F3292"/>
    <w:rsid w:val="55F67FAE"/>
    <w:rsid w:val="56FF66CA"/>
    <w:rsid w:val="57325016"/>
    <w:rsid w:val="57430FD1"/>
    <w:rsid w:val="59B63CDD"/>
    <w:rsid w:val="5B7A5FA3"/>
    <w:rsid w:val="5C1949F7"/>
    <w:rsid w:val="5C583771"/>
    <w:rsid w:val="5CCC689B"/>
    <w:rsid w:val="5CE45005"/>
    <w:rsid w:val="5D7B42D9"/>
    <w:rsid w:val="60762418"/>
    <w:rsid w:val="60D12E57"/>
    <w:rsid w:val="613F05DC"/>
    <w:rsid w:val="61860A0A"/>
    <w:rsid w:val="61D218D0"/>
    <w:rsid w:val="62856942"/>
    <w:rsid w:val="63035AB9"/>
    <w:rsid w:val="64DA1494"/>
    <w:rsid w:val="65A76BCF"/>
    <w:rsid w:val="65AE4402"/>
    <w:rsid w:val="661204ED"/>
    <w:rsid w:val="679F04A6"/>
    <w:rsid w:val="68CA1553"/>
    <w:rsid w:val="6B186DF8"/>
    <w:rsid w:val="6C044D7B"/>
    <w:rsid w:val="6C2133AD"/>
    <w:rsid w:val="6C467142"/>
    <w:rsid w:val="6C7D1B5B"/>
    <w:rsid w:val="6CA34594"/>
    <w:rsid w:val="6E9A5523"/>
    <w:rsid w:val="6FF84BF7"/>
    <w:rsid w:val="70231548"/>
    <w:rsid w:val="71433A6D"/>
    <w:rsid w:val="72C40DC1"/>
    <w:rsid w:val="74C23A26"/>
    <w:rsid w:val="74EB59B8"/>
    <w:rsid w:val="75B07D22"/>
    <w:rsid w:val="765608C9"/>
    <w:rsid w:val="76D72782"/>
    <w:rsid w:val="78320EC2"/>
    <w:rsid w:val="787E1A12"/>
    <w:rsid w:val="7959367C"/>
    <w:rsid w:val="79DA711C"/>
    <w:rsid w:val="7AE2272C"/>
    <w:rsid w:val="7C120DEF"/>
    <w:rsid w:val="7C122B9D"/>
    <w:rsid w:val="7D0C1CE2"/>
    <w:rsid w:val="7D44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paragraph" w:customStyle="1" w:styleId="7">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5405</Words>
  <Characters>5911</Characters>
  <Lines>0</Lines>
  <Paragraphs>0</Paragraphs>
  <TotalTime>0</TotalTime>
  <ScaleCrop>false</ScaleCrop>
  <LinksUpToDate>false</LinksUpToDate>
  <CharactersWithSpaces>5965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2023-05-16T01:44:00Z</dcterms:created>
  <dc:creator>86139</dc:creator>
  <cp:lastModifiedBy>杨洋</cp:lastModifiedBy>
  <cp:lastPrinted>2023-05-16T07:29:00Z</cp:lastPrinted>
  <dcterms:modified xsi:type="dcterms:W3CDTF">2025-02-14T01:21:36Z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C76707A8CA7748D9833D418468DD5EE3_12</vt:lpwstr>
  </property>
  <property fmtid="{D5CDD505-2E9C-101B-9397-08002B2CF9AE}" pid="4" name="KSOTemplateDocerSaveRecord">
    <vt:lpwstr>eyJoZGlkIjoiNzZiZTQ3ZmI1OTFmODUzNzgwMGRlNDBmMWZiZDQzMjEiLCJ1c2VySWQiOiIyMzQ0MjI2NjQifQ==</vt:lpwstr>
  </property>
</Properties>
</file>