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45696">
      <w:pPr>
        <w:pStyle w:val="6"/>
        <w:keepNext w:val="0"/>
        <w:keepLines w:val="0"/>
        <w:pageBreakBefore w:val="0"/>
        <w:kinsoku/>
        <w:wordWrap/>
        <w:overflowPunct/>
        <w:topLinePunct w:val="0"/>
        <w:autoSpaceDE/>
        <w:bidi w:val="0"/>
        <w:adjustRightInd/>
        <w:snapToGrid/>
        <w:ind w:firstLine="640" w:firstLineChars="200"/>
        <w:textAlignment w:val="auto"/>
        <w:rPr>
          <w:rFonts w:hint="default" w:ascii="黑体" w:eastAsia="黑体"/>
          <w:color w:val="auto"/>
          <w:sz w:val="32"/>
        </w:rPr>
      </w:pPr>
      <w:r>
        <w:rPr>
          <w:rFonts w:ascii="黑体" w:eastAsia="黑体"/>
          <w:color w:val="auto"/>
          <w:sz w:val="32"/>
        </w:rPr>
        <w:t>附件2</w:t>
      </w:r>
    </w:p>
    <w:p w14:paraId="6DD10BCF">
      <w:pPr>
        <w:pStyle w:val="6"/>
        <w:keepNext w:val="0"/>
        <w:keepLines w:val="0"/>
        <w:pageBreakBefore w:val="0"/>
        <w:kinsoku/>
        <w:wordWrap/>
        <w:overflowPunct/>
        <w:topLinePunct w:val="0"/>
        <w:autoSpaceDE/>
        <w:bidi w:val="0"/>
        <w:adjustRightInd/>
        <w:snapToGrid/>
        <w:ind w:firstLine="883" w:firstLineChars="200"/>
        <w:textAlignment w:val="auto"/>
        <w:rPr>
          <w:rFonts w:hint="default"/>
          <w:b/>
          <w:color w:val="auto"/>
          <w:sz w:val="44"/>
        </w:rPr>
      </w:pPr>
    </w:p>
    <w:p w14:paraId="46DA6D34">
      <w:pPr>
        <w:pStyle w:val="6"/>
        <w:keepNext w:val="0"/>
        <w:keepLines w:val="0"/>
        <w:pageBreakBefore w:val="0"/>
        <w:kinsoku/>
        <w:wordWrap/>
        <w:overflowPunct/>
        <w:topLinePunct w:val="0"/>
        <w:autoSpaceDE/>
        <w:bidi w:val="0"/>
        <w:adjustRightInd/>
        <w:snapToGrid/>
        <w:ind w:firstLine="883" w:firstLineChars="200"/>
        <w:textAlignment w:val="auto"/>
        <w:rPr>
          <w:rFonts w:hint="default"/>
          <w:b/>
          <w:color w:val="auto"/>
          <w:sz w:val="44"/>
        </w:rPr>
      </w:pPr>
    </w:p>
    <w:p w14:paraId="20FEFDDD">
      <w:pPr>
        <w:pStyle w:val="6"/>
        <w:keepNext w:val="0"/>
        <w:keepLines w:val="0"/>
        <w:pageBreakBefore w:val="0"/>
        <w:kinsoku/>
        <w:wordWrap/>
        <w:overflowPunct/>
        <w:topLinePunct w:val="0"/>
        <w:autoSpaceDE/>
        <w:bidi w:val="0"/>
        <w:adjustRightInd/>
        <w:snapToGrid/>
        <w:ind w:firstLine="883" w:firstLineChars="200"/>
        <w:textAlignment w:val="auto"/>
        <w:rPr>
          <w:rFonts w:hint="default"/>
          <w:b/>
          <w:color w:val="auto"/>
          <w:sz w:val="44"/>
        </w:rPr>
      </w:pPr>
    </w:p>
    <w:p w14:paraId="5BBFFF46">
      <w:pPr>
        <w:pStyle w:val="6"/>
        <w:keepNext w:val="0"/>
        <w:keepLines w:val="0"/>
        <w:pageBreakBefore w:val="0"/>
        <w:kinsoku/>
        <w:wordWrap/>
        <w:overflowPunct/>
        <w:topLinePunct w:val="0"/>
        <w:autoSpaceDE/>
        <w:bidi w:val="0"/>
        <w:adjustRightInd/>
        <w:snapToGrid/>
        <w:ind w:firstLine="883" w:firstLineChars="200"/>
        <w:textAlignment w:val="auto"/>
        <w:rPr>
          <w:rFonts w:hint="default"/>
          <w:b/>
          <w:color w:val="auto"/>
          <w:sz w:val="44"/>
        </w:rPr>
      </w:pPr>
    </w:p>
    <w:p w14:paraId="6F9449DA">
      <w:pPr>
        <w:pStyle w:val="6"/>
        <w:keepNext w:val="0"/>
        <w:keepLines w:val="0"/>
        <w:pageBreakBefore w:val="0"/>
        <w:kinsoku/>
        <w:wordWrap/>
        <w:overflowPunct/>
        <w:topLinePunct w:val="0"/>
        <w:autoSpaceDE/>
        <w:bidi w:val="0"/>
        <w:adjustRightInd/>
        <w:snapToGrid/>
        <w:ind w:firstLine="883" w:firstLineChars="200"/>
        <w:textAlignment w:val="auto"/>
        <w:rPr>
          <w:rFonts w:hint="default"/>
          <w:b/>
          <w:color w:val="auto"/>
          <w:sz w:val="44"/>
        </w:rPr>
      </w:pPr>
    </w:p>
    <w:p w14:paraId="0A01F7D5">
      <w:pPr>
        <w:pStyle w:val="6"/>
        <w:keepNext w:val="0"/>
        <w:keepLines w:val="0"/>
        <w:pageBreakBefore w:val="0"/>
        <w:kinsoku/>
        <w:wordWrap/>
        <w:overflowPunct/>
        <w:topLinePunct w:val="0"/>
        <w:autoSpaceDE/>
        <w:bidi w:val="0"/>
        <w:adjustRightInd/>
        <w:snapToGrid/>
        <w:ind w:firstLine="883" w:firstLineChars="200"/>
        <w:textAlignment w:val="auto"/>
        <w:rPr>
          <w:rFonts w:hint="default"/>
          <w:b/>
          <w:color w:val="auto"/>
          <w:sz w:val="44"/>
        </w:rPr>
      </w:pPr>
    </w:p>
    <w:p w14:paraId="5BA49518">
      <w:pPr>
        <w:keepNext w:val="0"/>
        <w:keepLines w:val="0"/>
        <w:pageBreakBefore w:val="0"/>
        <w:kinsoku/>
        <w:wordWrap/>
        <w:overflowPunct/>
        <w:topLinePunct w:val="0"/>
        <w:autoSpaceDE/>
        <w:bidi w:val="0"/>
        <w:adjustRightInd/>
        <w:snapToGrid/>
        <w:spacing w:line="540" w:lineRule="exact"/>
        <w:ind w:firstLine="1044" w:firstLineChars="200"/>
        <w:jc w:val="center"/>
        <w:textAlignment w:val="auto"/>
        <w:rPr>
          <w:rFonts w:hint="eastAsia" w:ascii="宋体" w:hAnsi="宋体"/>
          <w:b/>
          <w:color w:val="auto"/>
          <w:sz w:val="52"/>
          <w:szCs w:val="52"/>
        </w:rPr>
      </w:pPr>
      <w:r>
        <w:rPr>
          <w:rFonts w:hint="eastAsia" w:ascii="宋体" w:hAnsi="宋体"/>
          <w:b/>
          <w:color w:val="auto"/>
          <w:sz w:val="52"/>
          <w:szCs w:val="52"/>
        </w:rPr>
        <w:t>沈阳市浑南区财政局202</w:t>
      </w:r>
      <w:r>
        <w:rPr>
          <w:rFonts w:hint="eastAsia" w:ascii="宋体" w:hAnsi="宋体"/>
          <w:b/>
          <w:color w:val="auto"/>
          <w:sz w:val="52"/>
          <w:szCs w:val="52"/>
          <w:lang w:eastAsia="zh-CN"/>
        </w:rPr>
        <w:t>1</w:t>
      </w:r>
      <w:r>
        <w:rPr>
          <w:rFonts w:hint="eastAsia" w:ascii="宋体" w:hAnsi="宋体"/>
          <w:b/>
          <w:color w:val="auto"/>
          <w:sz w:val="52"/>
          <w:szCs w:val="52"/>
        </w:rPr>
        <w:t>年度</w:t>
      </w:r>
    </w:p>
    <w:p w14:paraId="7538FFEE">
      <w:pPr>
        <w:keepNext w:val="0"/>
        <w:keepLines w:val="0"/>
        <w:pageBreakBefore w:val="0"/>
        <w:kinsoku/>
        <w:wordWrap/>
        <w:overflowPunct/>
        <w:topLinePunct w:val="0"/>
        <w:autoSpaceDE/>
        <w:bidi w:val="0"/>
        <w:adjustRightInd/>
        <w:snapToGrid/>
        <w:spacing w:line="540" w:lineRule="exact"/>
        <w:ind w:firstLine="1044" w:firstLineChars="200"/>
        <w:jc w:val="center"/>
        <w:textAlignment w:val="auto"/>
        <w:rPr>
          <w:rFonts w:hint="eastAsia"/>
          <w:b/>
          <w:color w:val="auto"/>
          <w:sz w:val="44"/>
          <w:szCs w:val="44"/>
          <w:u w:val="single"/>
        </w:rPr>
      </w:pPr>
      <w:r>
        <w:rPr>
          <w:rFonts w:hint="eastAsia" w:ascii="宋体" w:hAnsi="宋体"/>
          <w:b/>
          <w:color w:val="auto"/>
          <w:sz w:val="52"/>
          <w:szCs w:val="52"/>
        </w:rPr>
        <w:t>决算说明</w:t>
      </w:r>
    </w:p>
    <w:p w14:paraId="6F037949">
      <w:pPr>
        <w:keepNext w:val="0"/>
        <w:keepLines w:val="0"/>
        <w:pageBreakBefore w:val="0"/>
        <w:kinsoku/>
        <w:wordWrap/>
        <w:overflowPunct/>
        <w:topLinePunct w:val="0"/>
        <w:autoSpaceDE/>
        <w:bidi w:val="0"/>
        <w:adjustRightInd/>
        <w:snapToGrid/>
        <w:spacing w:line="540" w:lineRule="exact"/>
        <w:ind w:firstLine="883" w:firstLineChars="200"/>
        <w:jc w:val="center"/>
        <w:textAlignment w:val="auto"/>
        <w:rPr>
          <w:rFonts w:hint="eastAsia"/>
          <w:b/>
          <w:color w:val="auto"/>
          <w:sz w:val="44"/>
          <w:szCs w:val="44"/>
          <w:u w:val="single"/>
        </w:rPr>
      </w:pPr>
    </w:p>
    <w:p w14:paraId="0BEABD24">
      <w:pPr>
        <w:pStyle w:val="6"/>
        <w:keepNext w:val="0"/>
        <w:keepLines w:val="0"/>
        <w:pageBreakBefore w:val="0"/>
        <w:kinsoku/>
        <w:wordWrap/>
        <w:overflowPunct/>
        <w:topLinePunct w:val="0"/>
        <w:autoSpaceDE/>
        <w:bidi w:val="0"/>
        <w:adjustRightInd/>
        <w:snapToGrid/>
        <w:ind w:firstLine="1044" w:firstLineChars="200"/>
        <w:jc w:val="center"/>
        <w:textAlignment w:val="auto"/>
        <w:rPr>
          <w:rFonts w:hint="default" w:ascii="仿宋_GB2312" w:eastAsia="仿宋_GB2312"/>
          <w:b/>
          <w:color w:val="auto"/>
          <w:sz w:val="52"/>
        </w:rPr>
      </w:pPr>
    </w:p>
    <w:p w14:paraId="6C0DF0D7">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1F566040">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761B89CF">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2D3B0FE6">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1F263F4C">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771BD272">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5A87D3A2">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2BC7900D">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63CB748A">
      <w:pPr>
        <w:pStyle w:val="6"/>
        <w:keepNext w:val="0"/>
        <w:keepLines w:val="0"/>
        <w:pageBreakBefore w:val="0"/>
        <w:kinsoku/>
        <w:wordWrap/>
        <w:overflowPunct/>
        <w:topLinePunct w:val="0"/>
        <w:autoSpaceDE/>
        <w:bidi w:val="0"/>
        <w:adjustRightInd/>
        <w:snapToGrid/>
        <w:ind w:firstLine="880" w:firstLineChars="200"/>
        <w:jc w:val="center"/>
        <w:textAlignment w:val="auto"/>
        <w:rPr>
          <w:rFonts w:hint="default" w:ascii="Times New Roman" w:eastAsia="Times New Roman"/>
          <w:b/>
          <w:color w:val="auto"/>
          <w:sz w:val="44"/>
          <w:u w:val="single"/>
        </w:rPr>
      </w:pPr>
    </w:p>
    <w:p w14:paraId="7FAF0204">
      <w:pPr>
        <w:pStyle w:val="6"/>
        <w:keepNext w:val="0"/>
        <w:keepLines w:val="0"/>
        <w:pageBreakBefore w:val="0"/>
        <w:kinsoku/>
        <w:wordWrap/>
        <w:overflowPunct/>
        <w:topLinePunct w:val="0"/>
        <w:autoSpaceDE/>
        <w:bidi w:val="0"/>
        <w:adjustRightInd/>
        <w:snapToGrid/>
        <w:spacing w:line="560" w:lineRule="exact"/>
        <w:ind w:firstLine="883" w:firstLineChars="200"/>
        <w:jc w:val="center"/>
        <w:textAlignment w:val="auto"/>
        <w:rPr>
          <w:b/>
          <w:color w:val="auto"/>
          <w:sz w:val="44"/>
        </w:rPr>
      </w:pPr>
    </w:p>
    <w:p w14:paraId="085B0CF4">
      <w:pPr>
        <w:pStyle w:val="6"/>
        <w:keepNext w:val="0"/>
        <w:keepLines w:val="0"/>
        <w:pageBreakBefore w:val="0"/>
        <w:kinsoku/>
        <w:wordWrap/>
        <w:overflowPunct/>
        <w:topLinePunct w:val="0"/>
        <w:autoSpaceDE/>
        <w:bidi w:val="0"/>
        <w:adjustRightInd/>
        <w:snapToGrid/>
        <w:spacing w:line="560" w:lineRule="exact"/>
        <w:ind w:firstLine="883" w:firstLineChars="200"/>
        <w:jc w:val="center"/>
        <w:textAlignment w:val="auto"/>
        <w:rPr>
          <w:b/>
          <w:color w:val="auto"/>
          <w:sz w:val="44"/>
        </w:rPr>
      </w:pPr>
    </w:p>
    <w:p w14:paraId="20D39D02">
      <w:pPr>
        <w:pStyle w:val="6"/>
        <w:keepNext w:val="0"/>
        <w:keepLines w:val="0"/>
        <w:pageBreakBefore w:val="0"/>
        <w:kinsoku/>
        <w:wordWrap/>
        <w:overflowPunct/>
        <w:topLinePunct w:val="0"/>
        <w:autoSpaceDE/>
        <w:bidi w:val="0"/>
        <w:adjustRightInd/>
        <w:snapToGrid/>
        <w:spacing w:line="560" w:lineRule="exact"/>
        <w:ind w:firstLine="883" w:firstLineChars="200"/>
        <w:jc w:val="center"/>
        <w:textAlignment w:val="auto"/>
        <w:rPr>
          <w:rFonts w:hint="default" w:ascii="Times New Roman" w:eastAsia="Times New Roman"/>
          <w:b/>
          <w:color w:val="auto"/>
          <w:sz w:val="44"/>
        </w:rPr>
      </w:pPr>
      <w:r>
        <w:rPr>
          <w:b/>
          <w:color w:val="auto"/>
          <w:sz w:val="44"/>
        </w:rPr>
        <w:t>目</w:t>
      </w:r>
      <w:r>
        <w:rPr>
          <w:rFonts w:hint="default" w:ascii="Times New Roman" w:hAnsi="Times New Roman"/>
          <w:b/>
          <w:color w:val="auto"/>
          <w:sz w:val="44"/>
        </w:rPr>
        <w:t xml:space="preserve">    </w:t>
      </w:r>
      <w:r>
        <w:rPr>
          <w:b/>
          <w:color w:val="auto"/>
          <w:sz w:val="44"/>
        </w:rPr>
        <w:t>录</w:t>
      </w:r>
    </w:p>
    <w:p w14:paraId="39C3CA00">
      <w:pPr>
        <w:pStyle w:val="6"/>
        <w:keepNext w:val="0"/>
        <w:keepLines w:val="0"/>
        <w:pageBreakBefore w:val="0"/>
        <w:kinsoku/>
        <w:wordWrap/>
        <w:overflowPunct/>
        <w:topLinePunct w:val="0"/>
        <w:autoSpaceDE/>
        <w:bidi w:val="0"/>
        <w:adjustRightInd/>
        <w:snapToGrid/>
        <w:spacing w:line="560" w:lineRule="exact"/>
        <w:ind w:firstLine="880" w:firstLineChars="200"/>
        <w:textAlignment w:val="auto"/>
        <w:rPr>
          <w:rFonts w:hint="default" w:ascii="Times New Roman" w:eastAsia="Times New Roman"/>
          <w:b/>
          <w:color w:val="auto"/>
          <w:sz w:val="44"/>
          <w:u w:val="single"/>
        </w:rPr>
      </w:pPr>
    </w:p>
    <w:p w14:paraId="1203B5A3">
      <w:pPr>
        <w:keepNext w:val="0"/>
        <w:keepLines w:val="0"/>
        <w:pageBreakBefore w:val="0"/>
        <w:kinsoku/>
        <w:wordWrap/>
        <w:overflowPunct/>
        <w:topLinePunct w:val="0"/>
        <w:autoSpaceDE/>
        <w:bidi w:val="0"/>
        <w:adjustRightInd/>
        <w:snapToGrid/>
        <w:spacing w:line="540" w:lineRule="exact"/>
        <w:textAlignment w:val="auto"/>
        <w:outlineLvl w:val="0"/>
        <w:rPr>
          <w:rFonts w:hint="default" w:ascii="黑体" w:eastAsia="黑体"/>
          <w:color w:val="auto"/>
          <w:sz w:val="32"/>
        </w:rPr>
      </w:pPr>
      <w:r>
        <w:rPr>
          <w:rFonts w:ascii="黑体" w:eastAsia="黑体"/>
          <w:color w:val="auto"/>
          <w:sz w:val="32"/>
        </w:rPr>
        <w:t xml:space="preserve">第一部分   </w:t>
      </w:r>
      <w:r>
        <w:rPr>
          <w:rFonts w:hint="eastAsia" w:ascii="黑体" w:hAnsi="黑体" w:eastAsia="黑体"/>
          <w:color w:val="auto"/>
          <w:sz w:val="32"/>
          <w:szCs w:val="32"/>
        </w:rPr>
        <w:t>沈阳市浑南区财政局概况</w:t>
      </w:r>
    </w:p>
    <w:p w14:paraId="1F1AE6E2">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Times New Roman" w:hAnsi="Times New Roman"/>
          <w:color w:val="auto"/>
          <w:sz w:val="32"/>
        </w:rPr>
        <w:t>一、</w:t>
      </w:r>
      <w:r>
        <w:rPr>
          <w:rFonts w:ascii="仿宋_GB2312" w:eastAsia="仿宋_GB2312"/>
          <w:color w:val="auto"/>
          <w:sz w:val="32"/>
        </w:rPr>
        <w:t>主要职责</w:t>
      </w:r>
    </w:p>
    <w:p w14:paraId="585E0E4D">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二、决算单位构成</w:t>
      </w:r>
    </w:p>
    <w:p w14:paraId="704AF533">
      <w:pPr>
        <w:keepNext w:val="0"/>
        <w:keepLines w:val="0"/>
        <w:pageBreakBefore w:val="0"/>
        <w:kinsoku/>
        <w:wordWrap/>
        <w:overflowPunct/>
        <w:topLinePunct w:val="0"/>
        <w:autoSpaceDE/>
        <w:bidi w:val="0"/>
        <w:adjustRightInd/>
        <w:snapToGrid/>
        <w:spacing w:line="540" w:lineRule="exact"/>
        <w:textAlignment w:val="auto"/>
        <w:outlineLvl w:val="0"/>
        <w:rPr>
          <w:rFonts w:hint="eastAsia" w:ascii="黑体" w:hAnsi="黑体" w:eastAsia="黑体"/>
          <w:color w:val="auto"/>
          <w:sz w:val="32"/>
          <w:szCs w:val="32"/>
        </w:rPr>
      </w:pPr>
      <w:r>
        <w:rPr>
          <w:rFonts w:ascii="黑体" w:eastAsia="黑体"/>
          <w:color w:val="auto"/>
          <w:sz w:val="32"/>
        </w:rPr>
        <w:t xml:space="preserve">第二部分  </w:t>
      </w:r>
      <w:r>
        <w:rPr>
          <w:rFonts w:hint="eastAsia" w:ascii="黑体" w:hAnsi="黑体" w:eastAsia="黑体"/>
          <w:color w:val="auto"/>
          <w:sz w:val="32"/>
          <w:szCs w:val="32"/>
        </w:rPr>
        <w:t xml:space="preserve"> 沈阳市浑南区财政局202</w:t>
      </w:r>
      <w:r>
        <w:rPr>
          <w:rFonts w:hint="eastAsia" w:ascii="黑体" w:hAnsi="黑体" w:eastAsia="黑体"/>
          <w:color w:val="auto"/>
          <w:sz w:val="32"/>
          <w:szCs w:val="32"/>
          <w:lang w:eastAsia="zh-CN"/>
        </w:rPr>
        <w:t>1</w:t>
      </w:r>
      <w:r>
        <w:rPr>
          <w:rFonts w:hint="eastAsia" w:ascii="黑体" w:hAnsi="黑体" w:eastAsia="黑体"/>
          <w:color w:val="auto"/>
          <w:sz w:val="32"/>
          <w:szCs w:val="32"/>
        </w:rPr>
        <w:t>年度决算情况说明</w:t>
      </w:r>
    </w:p>
    <w:p w14:paraId="5A7808A9">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一、收入支出决算总体情况说明</w:t>
      </w:r>
    </w:p>
    <w:p w14:paraId="3D3B422A">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二、财政拨款收入支出决算情况说明</w:t>
      </w:r>
    </w:p>
    <w:p w14:paraId="396E953F">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三、一般公共预算财政拨款“三公”经费支出决算情况说明</w:t>
      </w:r>
    </w:p>
    <w:p w14:paraId="1000D499">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四、一般公共预算财政拨款基本支出决算情况说明</w:t>
      </w:r>
    </w:p>
    <w:p w14:paraId="4994C940">
      <w:pPr>
        <w:pStyle w:val="6"/>
        <w:keepNext w:val="0"/>
        <w:keepLines w:val="0"/>
        <w:pageBreakBefore w:val="0"/>
        <w:kinsoku/>
        <w:wordWrap/>
        <w:overflowPunct/>
        <w:topLinePunct w:val="0"/>
        <w:autoSpaceDE/>
        <w:bidi w:val="0"/>
        <w:adjustRightInd/>
        <w:snapToGrid/>
        <w:spacing w:line="560" w:lineRule="exact"/>
        <w:textAlignment w:val="auto"/>
        <w:rPr>
          <w:rFonts w:hint="default" w:ascii="黑体" w:eastAsia="黑体"/>
          <w:color w:val="auto"/>
          <w:sz w:val="32"/>
        </w:rPr>
      </w:pPr>
      <w:r>
        <w:rPr>
          <w:rFonts w:ascii="仿宋_GB2312" w:eastAsia="仿宋_GB2312"/>
          <w:color w:val="auto"/>
          <w:sz w:val="32"/>
        </w:rPr>
        <w:t>五、其他重要事项的情况说明</w:t>
      </w:r>
    </w:p>
    <w:p w14:paraId="2816837E">
      <w:pPr>
        <w:pStyle w:val="6"/>
        <w:keepNext w:val="0"/>
        <w:keepLines w:val="0"/>
        <w:pageBreakBefore w:val="0"/>
        <w:kinsoku/>
        <w:wordWrap/>
        <w:overflowPunct/>
        <w:topLinePunct w:val="0"/>
        <w:autoSpaceDE/>
        <w:bidi w:val="0"/>
        <w:adjustRightInd/>
        <w:snapToGrid/>
        <w:spacing w:line="560" w:lineRule="exact"/>
        <w:textAlignment w:val="auto"/>
        <w:rPr>
          <w:rFonts w:hint="default" w:ascii="黑体" w:eastAsia="黑体"/>
          <w:color w:val="auto"/>
          <w:sz w:val="32"/>
        </w:rPr>
      </w:pPr>
      <w:r>
        <w:rPr>
          <w:rFonts w:ascii="黑体" w:eastAsia="黑体"/>
          <w:color w:val="auto"/>
          <w:sz w:val="32"/>
        </w:rPr>
        <w:t>第三部分    名词解释</w:t>
      </w:r>
    </w:p>
    <w:p w14:paraId="3ED58F4D">
      <w:pPr>
        <w:keepNext w:val="0"/>
        <w:keepLines w:val="0"/>
        <w:pageBreakBefore w:val="0"/>
        <w:kinsoku/>
        <w:wordWrap/>
        <w:overflowPunct/>
        <w:topLinePunct w:val="0"/>
        <w:autoSpaceDE/>
        <w:bidi w:val="0"/>
        <w:adjustRightInd/>
        <w:snapToGrid/>
        <w:spacing w:line="540" w:lineRule="exact"/>
        <w:textAlignment w:val="auto"/>
        <w:outlineLvl w:val="0"/>
        <w:rPr>
          <w:rFonts w:hint="eastAsia" w:ascii="黑体" w:hAnsi="黑体" w:eastAsia="黑体"/>
          <w:color w:val="auto"/>
          <w:sz w:val="32"/>
          <w:szCs w:val="32"/>
        </w:rPr>
      </w:pPr>
      <w:r>
        <w:rPr>
          <w:rFonts w:ascii="黑体" w:eastAsia="黑体"/>
          <w:color w:val="auto"/>
          <w:sz w:val="32"/>
        </w:rPr>
        <w:t xml:space="preserve">第四部分  </w:t>
      </w:r>
      <w:r>
        <w:rPr>
          <w:rFonts w:hint="eastAsia" w:ascii="黑体" w:hAnsi="黑体" w:eastAsia="黑体"/>
          <w:color w:val="auto"/>
          <w:sz w:val="32"/>
          <w:szCs w:val="32"/>
        </w:rPr>
        <w:t xml:space="preserve"> 沈阳市浑南区财政局202</w:t>
      </w:r>
      <w:r>
        <w:rPr>
          <w:rFonts w:hint="eastAsia" w:ascii="黑体" w:hAnsi="黑体" w:eastAsia="黑体"/>
          <w:color w:val="auto"/>
          <w:sz w:val="32"/>
          <w:szCs w:val="32"/>
          <w:lang w:eastAsia="zh-CN"/>
        </w:rPr>
        <w:t>1</w:t>
      </w:r>
      <w:r>
        <w:rPr>
          <w:rFonts w:hint="eastAsia" w:ascii="黑体" w:hAnsi="黑体" w:eastAsia="黑体"/>
          <w:color w:val="auto"/>
          <w:sz w:val="32"/>
          <w:szCs w:val="32"/>
        </w:rPr>
        <w:t>年度决算报表</w:t>
      </w:r>
    </w:p>
    <w:p w14:paraId="756DF602">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一、2021年度收入支出决算总表</w:t>
      </w:r>
    </w:p>
    <w:p w14:paraId="6930B604">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二、2021年度收入决算表</w:t>
      </w:r>
    </w:p>
    <w:p w14:paraId="239C0A62">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三、2021年度支出决算表</w:t>
      </w:r>
    </w:p>
    <w:p w14:paraId="6369BECA">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四、2021年度财政拨款收入支出决算总表</w:t>
      </w:r>
    </w:p>
    <w:p w14:paraId="578C5E4E">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五、2021年度一般公共预算财政拨款支出决算表</w:t>
      </w:r>
    </w:p>
    <w:p w14:paraId="172B9009">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六、2021年度一般公共预算财政拨款基本支出决算表</w:t>
      </w:r>
    </w:p>
    <w:p w14:paraId="3927E13A">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七、2021年度政府性基金预算财政拨款收入支出决算表</w:t>
      </w:r>
    </w:p>
    <w:p w14:paraId="030A4199">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八、2021年度一般公共预算财政拨款“三公”经费支出决算表</w:t>
      </w:r>
    </w:p>
    <w:p w14:paraId="60790624">
      <w:pPr>
        <w:pStyle w:val="6"/>
        <w:keepNext w:val="0"/>
        <w:keepLines w:val="0"/>
        <w:pageBreakBefore w:val="0"/>
        <w:kinsoku/>
        <w:wordWrap/>
        <w:overflowPunct/>
        <w:topLinePunct w:val="0"/>
        <w:autoSpaceDE/>
        <w:bidi w:val="0"/>
        <w:adjustRightInd/>
        <w:snapToGrid/>
        <w:spacing w:line="560" w:lineRule="exact"/>
        <w:textAlignment w:val="auto"/>
        <w:rPr>
          <w:rFonts w:hint="default" w:ascii="仿宋_GB2312" w:eastAsia="仿宋_GB2312"/>
          <w:color w:val="auto"/>
          <w:sz w:val="32"/>
        </w:rPr>
      </w:pPr>
      <w:r>
        <w:rPr>
          <w:rFonts w:ascii="仿宋_GB2312" w:eastAsia="仿宋_GB2312"/>
          <w:color w:val="auto"/>
          <w:sz w:val="32"/>
        </w:rPr>
        <w:t>九、2021年度国有资本经营预算财政拨款支出决算表</w:t>
      </w:r>
    </w:p>
    <w:p w14:paraId="7D9E5286">
      <w:pPr>
        <w:pStyle w:val="6"/>
        <w:keepNext w:val="0"/>
        <w:keepLines w:val="0"/>
        <w:pageBreakBefore w:val="0"/>
        <w:kinsoku/>
        <w:wordWrap/>
        <w:overflowPunct/>
        <w:topLinePunct w:val="0"/>
        <w:autoSpaceDE/>
        <w:bidi w:val="0"/>
        <w:adjustRightInd/>
        <w:snapToGrid/>
        <w:spacing w:line="560" w:lineRule="exact"/>
        <w:ind w:firstLine="723" w:firstLineChars="200"/>
        <w:jc w:val="center"/>
        <w:textAlignment w:val="auto"/>
        <w:rPr>
          <w:rFonts w:hint="default"/>
          <w:b/>
          <w:color w:val="auto"/>
          <w:sz w:val="36"/>
        </w:rPr>
      </w:pPr>
    </w:p>
    <w:p w14:paraId="61D28DF6">
      <w:pPr>
        <w:pStyle w:val="6"/>
        <w:keepNext w:val="0"/>
        <w:keepLines w:val="0"/>
        <w:pageBreakBefore w:val="0"/>
        <w:kinsoku/>
        <w:wordWrap/>
        <w:overflowPunct/>
        <w:topLinePunct w:val="0"/>
        <w:autoSpaceDE/>
        <w:bidi w:val="0"/>
        <w:adjustRightInd/>
        <w:snapToGrid/>
        <w:spacing w:line="560" w:lineRule="exact"/>
        <w:ind w:firstLine="723" w:firstLineChars="200"/>
        <w:jc w:val="center"/>
        <w:textAlignment w:val="auto"/>
        <w:rPr>
          <w:b/>
          <w:color w:val="auto"/>
          <w:sz w:val="36"/>
        </w:rPr>
      </w:pPr>
    </w:p>
    <w:p w14:paraId="24A31489">
      <w:pPr>
        <w:keepNext w:val="0"/>
        <w:keepLines w:val="0"/>
        <w:pageBreakBefore w:val="0"/>
        <w:kinsoku/>
        <w:wordWrap/>
        <w:overflowPunct/>
        <w:topLinePunct w:val="0"/>
        <w:autoSpaceDE/>
        <w:bidi w:val="0"/>
        <w:adjustRightInd/>
        <w:snapToGrid/>
        <w:spacing w:line="540" w:lineRule="exact"/>
        <w:ind w:firstLine="723" w:firstLineChars="200"/>
        <w:jc w:val="center"/>
        <w:textAlignment w:val="auto"/>
        <w:outlineLvl w:val="0"/>
        <w:rPr>
          <w:rFonts w:hint="eastAsia" w:ascii="宋体" w:hAnsi="宋体"/>
          <w:b/>
          <w:color w:val="auto"/>
          <w:sz w:val="36"/>
          <w:szCs w:val="36"/>
        </w:rPr>
      </w:pPr>
      <w:r>
        <w:rPr>
          <w:rFonts w:hint="eastAsia" w:ascii="宋体" w:hAnsi="宋体"/>
          <w:b/>
          <w:color w:val="auto"/>
          <w:sz w:val="36"/>
          <w:szCs w:val="36"/>
        </w:rPr>
        <w:t>第一部分 沈阳市浑南区财政局概况</w:t>
      </w:r>
    </w:p>
    <w:p w14:paraId="7ECA8CC9">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color w:val="auto"/>
          <w:sz w:val="32"/>
        </w:rPr>
      </w:pPr>
    </w:p>
    <w:p w14:paraId="1C9E3024">
      <w:pPr>
        <w:keepNext w:val="0"/>
        <w:keepLines w:val="0"/>
        <w:pageBreakBefore w:val="0"/>
        <w:kinsoku/>
        <w:wordWrap/>
        <w:overflowPunct/>
        <w:topLinePunct w:val="0"/>
        <w:autoSpaceDE/>
        <w:bidi w:val="0"/>
        <w:adjustRightInd/>
        <w:snapToGrid/>
        <w:spacing w:line="540" w:lineRule="exact"/>
        <w:ind w:firstLine="640" w:firstLineChars="200"/>
        <w:jc w:val="left"/>
        <w:textAlignment w:val="auto"/>
        <w:outlineLvl w:val="1"/>
        <w:rPr>
          <w:rFonts w:hint="eastAsia" w:ascii="黑体" w:eastAsia="黑体"/>
          <w:color w:val="auto"/>
          <w:sz w:val="32"/>
          <w:szCs w:val="32"/>
        </w:rPr>
      </w:pPr>
      <w:r>
        <w:rPr>
          <w:rFonts w:hint="eastAsia" w:ascii="黑体" w:eastAsia="黑体"/>
          <w:color w:val="auto"/>
          <w:sz w:val="32"/>
          <w:szCs w:val="32"/>
        </w:rPr>
        <w:t>一、主要职责</w:t>
      </w:r>
    </w:p>
    <w:p w14:paraId="67759ED2">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w:t>
      </w:r>
      <w:r>
        <w:rPr>
          <w:rFonts w:ascii="仿宋_GB2312" w:hAnsi="仿宋_GB2312" w:eastAsia="仿宋_GB2312" w:cs="仿宋_GB2312"/>
          <w:color w:val="auto"/>
          <w:kern w:val="0"/>
          <w:sz w:val="31"/>
          <w:szCs w:val="31"/>
          <w:lang w:bidi="ar"/>
        </w:rPr>
        <w:t xml:space="preserve">贯彻执行国家财税方针、政策和法律、法规及省、市 </w:t>
      </w:r>
    </w:p>
    <w:p w14:paraId="79BBE68A">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ascii="仿宋_GB2312" w:hAnsi="仿宋_GB2312" w:eastAsia="仿宋_GB2312" w:cs="仿宋_GB2312"/>
          <w:color w:val="auto"/>
          <w:kern w:val="0"/>
          <w:sz w:val="31"/>
          <w:szCs w:val="31"/>
          <w:lang w:bidi="ar"/>
        </w:rPr>
        <w:t xml:space="preserve">有关要求，拟订全区财税规划、政策和改革方案并组织实施，提 出运用财税政策实施宏观调控和综合平衡社会财力的建议，完善促进社会经济发展的财税政策。 </w:t>
      </w:r>
    </w:p>
    <w:p w14:paraId="6BD38047">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2.</w:t>
      </w:r>
      <w:r>
        <w:rPr>
          <w:rFonts w:ascii="仿宋_GB2312" w:hAnsi="仿宋_GB2312" w:eastAsia="仿宋_GB2312" w:cs="仿宋_GB2312"/>
          <w:color w:val="auto"/>
          <w:kern w:val="0"/>
          <w:sz w:val="31"/>
          <w:szCs w:val="31"/>
          <w:lang w:bidi="ar"/>
        </w:rPr>
        <w:t xml:space="preserve">贯彻执行国家有关国有资产管理的政策、法律、法规和规章制度及省、市有关要求，研究制定本区行政事业单位国有 </w:t>
      </w:r>
    </w:p>
    <w:p w14:paraId="2D4F85BB">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ascii="仿宋_GB2312" w:hAnsi="仿宋_GB2312" w:eastAsia="仿宋_GB2312" w:cs="仿宋_GB2312"/>
          <w:color w:val="auto"/>
          <w:kern w:val="0"/>
          <w:sz w:val="31"/>
          <w:szCs w:val="31"/>
          <w:lang w:bidi="ar"/>
        </w:rPr>
        <w:t xml:space="preserve">资产管理的实施细则和规范文件，并组织实施，对行政事业单位 国有资产进行监督管理。负责审核和汇总编制全区国有资本经营预决算草案，制定国有资本经营预算的制度和办法，监缴区本级企业国有资本收益，贯彻国家企业财务管理法规和制度及省、市 有关要求。负责区本级行政事业单位因公出国（境）经费管理。 </w:t>
      </w:r>
    </w:p>
    <w:p w14:paraId="1171CC1A">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3.</w:t>
      </w:r>
      <w:r>
        <w:rPr>
          <w:rFonts w:ascii="仿宋_GB2312" w:hAnsi="仿宋_GB2312" w:eastAsia="仿宋_GB2312" w:cs="仿宋_GB2312"/>
          <w:color w:val="auto"/>
          <w:kern w:val="0"/>
          <w:sz w:val="31"/>
          <w:szCs w:val="31"/>
          <w:lang w:bidi="ar"/>
        </w:rPr>
        <w:t>制定全区财政发展计划，以及预算、税收、基本建设财务等有关制度；编制年度全区预算草案并组织执行；受区政府 委托，向区人民代表大会报告全区年度财政预算及其执行情况， 向区人大常委会报告财政决算；负责全区各项财政收支管理工作； 管理区级各项财政收入</w:t>
      </w:r>
      <w:r>
        <w:rPr>
          <w:rFonts w:hint="eastAsia" w:ascii="仿宋_GB2312" w:hAnsi="仿宋_GB2312" w:eastAsia="仿宋_GB2312" w:cs="仿宋_GB2312"/>
          <w:color w:val="auto"/>
          <w:kern w:val="0"/>
          <w:sz w:val="31"/>
          <w:szCs w:val="31"/>
          <w:lang w:bidi="ar"/>
        </w:rPr>
        <w:t>，</w:t>
      </w:r>
      <w:r>
        <w:rPr>
          <w:rFonts w:ascii="仿宋_GB2312" w:hAnsi="仿宋_GB2312" w:eastAsia="仿宋_GB2312" w:cs="仿宋_GB2312"/>
          <w:color w:val="auto"/>
          <w:kern w:val="0"/>
          <w:sz w:val="31"/>
          <w:szCs w:val="31"/>
          <w:lang w:bidi="ar"/>
        </w:rPr>
        <w:t xml:space="preserve">管理区级预算外资金和财政专户；管理有关政府性基金。 </w:t>
      </w:r>
    </w:p>
    <w:p w14:paraId="4BE29A1F">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4.</w:t>
      </w:r>
      <w:r>
        <w:rPr>
          <w:rFonts w:ascii="仿宋_GB2312" w:hAnsi="仿宋_GB2312" w:eastAsia="仿宋_GB2312" w:cs="仿宋_GB2312"/>
          <w:color w:val="auto"/>
          <w:kern w:val="0"/>
          <w:sz w:val="31"/>
          <w:szCs w:val="31"/>
          <w:lang w:bidi="ar"/>
        </w:rPr>
        <w:t xml:space="preserve">负责全区政府非税收入管理，按规定管理行政事业性收费、政府性基金及其他非税收入；负责全区财政票据管理工作。 </w:t>
      </w:r>
    </w:p>
    <w:p w14:paraId="5F0697C3">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5.</w:t>
      </w:r>
      <w:r>
        <w:rPr>
          <w:rFonts w:ascii="仿宋_GB2312" w:hAnsi="仿宋_GB2312" w:eastAsia="仿宋_GB2312" w:cs="仿宋_GB2312"/>
          <w:color w:val="auto"/>
          <w:kern w:val="0"/>
          <w:sz w:val="31"/>
          <w:szCs w:val="31"/>
          <w:lang w:bidi="ar"/>
        </w:rPr>
        <w:t xml:space="preserve">组织制定全区财政国库管理制度，按规定管理国库及各财政专户资金。 </w:t>
      </w:r>
    </w:p>
    <w:p w14:paraId="28B0DA8C">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6.</w:t>
      </w:r>
      <w:r>
        <w:rPr>
          <w:rFonts w:ascii="仿宋_GB2312" w:hAnsi="仿宋_GB2312" w:eastAsia="仿宋_GB2312" w:cs="仿宋_GB2312"/>
          <w:color w:val="auto"/>
          <w:kern w:val="0"/>
          <w:sz w:val="31"/>
          <w:szCs w:val="31"/>
          <w:lang w:bidi="ar"/>
        </w:rPr>
        <w:t xml:space="preserve">负责办理和监管政府性投资项目财政拨款，制定基本建设财务制度，负责有关政策性补贴管理工作。 </w:t>
      </w:r>
    </w:p>
    <w:p w14:paraId="1135A47B">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7.</w:t>
      </w:r>
      <w:r>
        <w:rPr>
          <w:rFonts w:ascii="仿宋_GB2312" w:hAnsi="仿宋_GB2312" w:eastAsia="仿宋_GB2312" w:cs="仿宋_GB2312"/>
          <w:color w:val="auto"/>
          <w:kern w:val="0"/>
          <w:sz w:val="31"/>
          <w:szCs w:val="31"/>
          <w:lang w:bidi="ar"/>
        </w:rPr>
        <w:t xml:space="preserve">贯彻执行国家关于政府性债务管理的相关制度、政策及省、市有关要求；管理全区政府性债务，制定相关管理制度和办法；对全区政府性债务进行统计、汇总、分析，防范债务风险。 </w:t>
      </w:r>
    </w:p>
    <w:p w14:paraId="0C94B2A4">
      <w:pPr>
        <w:keepNext w:val="0"/>
        <w:keepLines w:val="0"/>
        <w:pageBreakBefore w:val="0"/>
        <w:widowControl/>
        <w:kinsoku/>
        <w:wordWrap/>
        <w:overflowPunct/>
        <w:topLinePunct w:val="0"/>
        <w:autoSpaceDE/>
        <w:bidi w:val="0"/>
        <w:adjustRightInd/>
        <w:snapToGrid/>
        <w:ind w:firstLine="620" w:firstLineChars="200"/>
        <w:jc w:val="left"/>
        <w:textAlignment w:val="auto"/>
        <w:rPr>
          <w:rFonts w:ascii="仿宋_GB2312" w:hAnsi="仿宋_GB2312" w:eastAsia="仿宋_GB2312" w:cs="仿宋_GB2312"/>
          <w:color w:val="auto"/>
          <w:kern w:val="0"/>
          <w:sz w:val="31"/>
          <w:szCs w:val="31"/>
          <w:lang w:bidi="ar"/>
        </w:rPr>
      </w:pPr>
      <w:r>
        <w:rPr>
          <w:rFonts w:hint="eastAsia" w:ascii="仿宋_GB2312" w:hAnsi="仿宋_GB2312" w:eastAsia="仿宋_GB2312" w:cs="仿宋_GB2312"/>
          <w:color w:val="auto"/>
          <w:kern w:val="0"/>
          <w:sz w:val="31"/>
          <w:szCs w:val="31"/>
          <w:lang w:bidi="ar"/>
        </w:rPr>
        <w:t>8.</w:t>
      </w:r>
      <w:r>
        <w:rPr>
          <w:rFonts w:ascii="仿宋_GB2312" w:hAnsi="仿宋_GB2312" w:eastAsia="仿宋_GB2312" w:cs="仿宋_GB2312"/>
          <w:color w:val="auto"/>
          <w:kern w:val="0"/>
          <w:sz w:val="31"/>
          <w:szCs w:val="31"/>
          <w:lang w:bidi="ar"/>
        </w:rPr>
        <w:t>负责制定全区政府采购制度，监督管理采购活动，监督和规范会计行为，组织实施会计人员培训。</w:t>
      </w:r>
    </w:p>
    <w:p w14:paraId="26B868DF">
      <w:pPr>
        <w:keepNext w:val="0"/>
        <w:keepLines w:val="0"/>
        <w:pageBreakBefore w:val="0"/>
        <w:widowControl/>
        <w:kinsoku/>
        <w:wordWrap/>
        <w:overflowPunct/>
        <w:topLinePunct w:val="0"/>
        <w:autoSpaceDE/>
        <w:bidi w:val="0"/>
        <w:adjustRightInd/>
        <w:snapToGrid/>
        <w:ind w:firstLine="620" w:firstLineChars="200"/>
        <w:jc w:val="left"/>
        <w:textAlignment w:val="auto"/>
        <w:rPr>
          <w:rFonts w:ascii="仿宋_GB2312" w:hAnsi="仿宋_GB2312" w:eastAsia="仿宋_GB2312" w:cs="仿宋_GB2312"/>
          <w:color w:val="auto"/>
          <w:kern w:val="0"/>
          <w:sz w:val="31"/>
          <w:szCs w:val="31"/>
          <w:lang w:bidi="ar"/>
        </w:rPr>
      </w:pPr>
      <w:r>
        <w:rPr>
          <w:rFonts w:hint="eastAsia" w:ascii="仿宋_GB2312" w:hAnsi="仿宋_GB2312" w:eastAsia="仿宋_GB2312" w:cs="仿宋_GB2312"/>
          <w:color w:val="auto"/>
          <w:kern w:val="0"/>
          <w:sz w:val="31"/>
          <w:szCs w:val="31"/>
          <w:lang w:bidi="ar"/>
        </w:rPr>
        <w:t>9.</w:t>
      </w:r>
      <w:r>
        <w:rPr>
          <w:rFonts w:ascii="仿宋_GB2312" w:hAnsi="仿宋_GB2312" w:eastAsia="仿宋_GB2312" w:cs="仿宋_GB2312"/>
          <w:color w:val="auto"/>
          <w:kern w:val="0"/>
          <w:sz w:val="31"/>
          <w:szCs w:val="31"/>
          <w:lang w:bidi="ar"/>
        </w:rPr>
        <w:t xml:space="preserve">根据应急管理工作需要，落实区本级应急管理专项资金预算安排，支持政府安全生产监管体系建设，监督区本级应急管理专项资金的使用。 </w:t>
      </w:r>
    </w:p>
    <w:p w14:paraId="732887F0">
      <w:pPr>
        <w:keepNext w:val="0"/>
        <w:keepLines w:val="0"/>
        <w:pageBreakBefore w:val="0"/>
        <w:widowControl/>
        <w:kinsoku/>
        <w:wordWrap/>
        <w:overflowPunct/>
        <w:topLinePunct w:val="0"/>
        <w:autoSpaceDE/>
        <w:bidi w:val="0"/>
        <w:adjustRightInd/>
        <w:snapToGrid/>
        <w:ind w:firstLine="560" w:firstLineChars="200"/>
        <w:jc w:val="left"/>
        <w:textAlignment w:val="auto"/>
        <w:rPr>
          <w:color w:val="auto"/>
        </w:rPr>
      </w:pPr>
      <w:r>
        <w:rPr>
          <w:rFonts w:hint="eastAsia" w:ascii="宋体" w:hAnsi="宋体" w:cs="宋体"/>
          <w:color w:val="auto"/>
          <w:kern w:val="0"/>
          <w:sz w:val="28"/>
          <w:szCs w:val="28"/>
          <w:lang w:bidi="ar"/>
        </w:rPr>
        <w:t>10.</w:t>
      </w:r>
      <w:r>
        <w:rPr>
          <w:rFonts w:ascii="仿宋_GB2312" w:hAnsi="仿宋_GB2312" w:eastAsia="仿宋_GB2312" w:cs="仿宋_GB2312"/>
          <w:color w:val="auto"/>
          <w:kern w:val="0"/>
          <w:sz w:val="31"/>
          <w:szCs w:val="31"/>
          <w:lang w:bidi="ar"/>
        </w:rPr>
        <w:t xml:space="preserve">负责街道财政管理工作，监管街道财政性资金内部核算及使用管理、资产管理、债务管理等工作。 </w:t>
      </w:r>
    </w:p>
    <w:p w14:paraId="6C650E36">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11.</w:t>
      </w:r>
      <w:r>
        <w:rPr>
          <w:rFonts w:ascii="仿宋_GB2312" w:hAnsi="仿宋_GB2312" w:eastAsia="仿宋_GB2312" w:cs="仿宋_GB2312"/>
          <w:color w:val="auto"/>
          <w:kern w:val="0"/>
          <w:sz w:val="31"/>
          <w:szCs w:val="31"/>
          <w:lang w:bidi="ar"/>
        </w:rPr>
        <w:t>推动建立完善的金融服务体系，协调指导全区地方法人金融机构加快发展及深化改革工作；贯彻落实我区多层次资本市场建设的相关政策、规划和措施，贯彻落实推进企业上市的政策措施；贯彻落实我区互联网金融行业规范发展政策措施</w:t>
      </w:r>
      <w:r>
        <w:rPr>
          <w:rFonts w:hint="eastAsia" w:ascii="仿宋_GB2312" w:hAnsi="仿宋_GB2312" w:eastAsia="仿宋_GB2312" w:cs="仿宋_GB2312"/>
          <w:color w:val="auto"/>
          <w:kern w:val="0"/>
          <w:sz w:val="31"/>
          <w:szCs w:val="31"/>
          <w:lang w:bidi="ar"/>
        </w:rPr>
        <w:t>，</w:t>
      </w:r>
      <w:r>
        <w:rPr>
          <w:rFonts w:ascii="仿宋_GB2312" w:hAnsi="仿宋_GB2312" w:eastAsia="仿宋_GB2312" w:cs="仿宋_GB2312"/>
          <w:color w:val="auto"/>
          <w:kern w:val="0"/>
          <w:sz w:val="31"/>
          <w:szCs w:val="31"/>
          <w:lang w:bidi="ar"/>
        </w:rPr>
        <w:t xml:space="preserve">统筹政府性融资项目和投融资行为的监督、管理、指导等工作；负责区域内金融机构的扶持、管理、协调和服务工作；支持我区经济社会发展建设；按规定管理政策性金融业务，承担金融方面财政补贴资金管理工作；承担与上级金融管理部门、各类金融机构的沟通协调、信息交流和服务等工作。 </w:t>
      </w:r>
    </w:p>
    <w:p w14:paraId="042D8FA1">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12.</w:t>
      </w:r>
      <w:r>
        <w:rPr>
          <w:rFonts w:ascii="仿宋_GB2312" w:hAnsi="仿宋_GB2312" w:eastAsia="仿宋_GB2312" w:cs="仿宋_GB2312"/>
          <w:color w:val="auto"/>
          <w:kern w:val="0"/>
          <w:sz w:val="31"/>
          <w:szCs w:val="31"/>
          <w:lang w:bidi="ar"/>
        </w:rPr>
        <w:t>规范区人才专项资金的管理和使用。负责配合区委组织部研究制定区人才专项资金使用、审批流程，做好经费保障工作。</w:t>
      </w:r>
    </w:p>
    <w:p w14:paraId="4BB1A72B">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13.</w:t>
      </w:r>
      <w:r>
        <w:rPr>
          <w:rFonts w:ascii="仿宋_GB2312" w:hAnsi="仿宋_GB2312" w:eastAsia="仿宋_GB2312" w:cs="仿宋_GB2312"/>
          <w:color w:val="auto"/>
          <w:kern w:val="0"/>
          <w:sz w:val="31"/>
          <w:szCs w:val="31"/>
          <w:lang w:bidi="ar"/>
        </w:rPr>
        <w:t xml:space="preserve">积极落实区政府对安全生产工作的安排，认真履行财政部门的工作职责；健全安全生产监管执法经费保障机制，将安全生产监管执法的人员经费和专项资金纳入同级财政保障围，并保证其专款专用；承担区安委会交办的其他安全生产工作任务。 </w:t>
      </w:r>
    </w:p>
    <w:p w14:paraId="0F192351">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14.</w:t>
      </w:r>
      <w:r>
        <w:rPr>
          <w:rFonts w:ascii="仿宋_GB2312" w:hAnsi="仿宋_GB2312" w:eastAsia="仿宋_GB2312" w:cs="仿宋_GB2312"/>
          <w:color w:val="auto"/>
          <w:kern w:val="0"/>
          <w:sz w:val="31"/>
          <w:szCs w:val="31"/>
          <w:lang w:bidi="ar"/>
        </w:rPr>
        <w:t xml:space="preserve">加强环境保护、党组织建设工作职责。 </w:t>
      </w:r>
    </w:p>
    <w:p w14:paraId="352AA249">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15.</w:t>
      </w:r>
      <w:r>
        <w:rPr>
          <w:rFonts w:ascii="仿宋_GB2312" w:hAnsi="仿宋_GB2312" w:eastAsia="仿宋_GB2312" w:cs="仿宋_GB2312"/>
          <w:color w:val="auto"/>
          <w:kern w:val="0"/>
          <w:sz w:val="31"/>
          <w:szCs w:val="31"/>
          <w:lang w:bidi="ar"/>
        </w:rPr>
        <w:t xml:space="preserve">本部门权责清单和政务服务事项清单在区政府门户网站上公布。 </w:t>
      </w:r>
    </w:p>
    <w:p w14:paraId="48236939">
      <w:pPr>
        <w:keepNext w:val="0"/>
        <w:keepLines w:val="0"/>
        <w:pageBreakBefore w:val="0"/>
        <w:widowControl/>
        <w:kinsoku/>
        <w:wordWrap/>
        <w:overflowPunct/>
        <w:topLinePunct w:val="0"/>
        <w:autoSpaceDE/>
        <w:bidi w:val="0"/>
        <w:adjustRightInd/>
        <w:snapToGrid/>
        <w:ind w:firstLine="620" w:firstLineChars="200"/>
        <w:jc w:val="left"/>
        <w:textAlignment w:val="auto"/>
        <w:rPr>
          <w:color w:val="auto"/>
        </w:rPr>
      </w:pPr>
      <w:r>
        <w:rPr>
          <w:rFonts w:hint="eastAsia" w:ascii="仿宋_GB2312" w:hAnsi="仿宋_GB2312" w:eastAsia="仿宋_GB2312" w:cs="仿宋_GB2312"/>
          <w:color w:val="auto"/>
          <w:kern w:val="0"/>
          <w:sz w:val="31"/>
          <w:szCs w:val="31"/>
          <w:lang w:bidi="ar"/>
        </w:rPr>
        <w:t>16.</w:t>
      </w:r>
      <w:r>
        <w:rPr>
          <w:rFonts w:ascii="仿宋_GB2312" w:hAnsi="仿宋_GB2312" w:eastAsia="仿宋_GB2312" w:cs="仿宋_GB2312"/>
          <w:color w:val="auto"/>
          <w:kern w:val="0"/>
          <w:sz w:val="31"/>
          <w:szCs w:val="31"/>
          <w:lang w:bidi="ar"/>
        </w:rPr>
        <w:t>完成区委、区政府交办的其他任务</w:t>
      </w:r>
    </w:p>
    <w:p w14:paraId="7707E2BB">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ascii="黑体" w:eastAsia="黑体"/>
          <w:color w:val="auto"/>
          <w:sz w:val="32"/>
        </w:rPr>
      </w:pPr>
      <w:r>
        <w:rPr>
          <w:rFonts w:ascii="黑体" w:eastAsia="黑体"/>
          <w:color w:val="auto"/>
          <w:sz w:val="32"/>
        </w:rPr>
        <w:t>二、决算单位构成</w:t>
      </w:r>
    </w:p>
    <w:p w14:paraId="6C07CB3F">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浑南区财政局</w:t>
      </w:r>
      <w:r>
        <w:rPr>
          <w:rFonts w:ascii="仿宋_GB2312" w:eastAsia="仿宋_GB2312"/>
          <w:b w:val="0"/>
          <w:bCs w:val="0"/>
          <w:color w:val="auto"/>
          <w:sz w:val="32"/>
          <w:szCs w:val="32"/>
        </w:rPr>
        <w:t>本级，本单位无下设机构。</w:t>
      </w:r>
    </w:p>
    <w:p w14:paraId="0F8E5591">
      <w:pPr>
        <w:pStyle w:val="6"/>
        <w:keepNext w:val="0"/>
        <w:keepLines w:val="0"/>
        <w:pageBreakBefore w:val="0"/>
        <w:kinsoku/>
        <w:wordWrap/>
        <w:overflowPunct/>
        <w:topLinePunct w:val="0"/>
        <w:autoSpaceDE/>
        <w:bidi w:val="0"/>
        <w:adjustRightInd/>
        <w:snapToGrid/>
        <w:spacing w:line="560" w:lineRule="exact"/>
        <w:ind w:firstLine="723" w:firstLineChars="200"/>
        <w:textAlignment w:val="auto"/>
        <w:rPr>
          <w:rFonts w:hint="default"/>
          <w:b/>
          <w:color w:val="auto"/>
          <w:sz w:val="36"/>
        </w:rPr>
      </w:pPr>
    </w:p>
    <w:p w14:paraId="23D680DD">
      <w:pPr>
        <w:pStyle w:val="6"/>
        <w:keepNext w:val="0"/>
        <w:keepLines w:val="0"/>
        <w:pageBreakBefore w:val="0"/>
        <w:kinsoku/>
        <w:wordWrap/>
        <w:overflowPunct/>
        <w:topLinePunct w:val="0"/>
        <w:autoSpaceDE/>
        <w:bidi w:val="0"/>
        <w:adjustRightInd/>
        <w:snapToGrid/>
        <w:spacing w:line="560" w:lineRule="exact"/>
        <w:ind w:firstLine="723" w:firstLineChars="200"/>
        <w:jc w:val="center"/>
        <w:textAlignment w:val="auto"/>
        <w:rPr>
          <w:rFonts w:hint="default"/>
          <w:b/>
          <w:color w:val="auto"/>
          <w:sz w:val="36"/>
        </w:rPr>
      </w:pPr>
    </w:p>
    <w:p w14:paraId="2540F265">
      <w:pPr>
        <w:keepNext w:val="0"/>
        <w:keepLines w:val="0"/>
        <w:pageBreakBefore w:val="0"/>
        <w:kinsoku/>
        <w:wordWrap/>
        <w:overflowPunct/>
        <w:topLinePunct w:val="0"/>
        <w:autoSpaceDE/>
        <w:bidi w:val="0"/>
        <w:adjustRightInd/>
        <w:snapToGrid/>
        <w:spacing w:line="540" w:lineRule="exact"/>
        <w:ind w:firstLine="723" w:firstLineChars="200"/>
        <w:jc w:val="center"/>
        <w:textAlignment w:val="auto"/>
        <w:outlineLvl w:val="0"/>
        <w:rPr>
          <w:rFonts w:hint="eastAsia" w:ascii="宋体" w:hAnsi="宋体"/>
          <w:b/>
          <w:color w:val="auto"/>
          <w:sz w:val="36"/>
          <w:szCs w:val="36"/>
        </w:rPr>
      </w:pPr>
    </w:p>
    <w:p w14:paraId="75AD87F6">
      <w:pPr>
        <w:keepNext w:val="0"/>
        <w:keepLines w:val="0"/>
        <w:pageBreakBefore w:val="0"/>
        <w:kinsoku/>
        <w:wordWrap/>
        <w:overflowPunct/>
        <w:topLinePunct w:val="0"/>
        <w:autoSpaceDE/>
        <w:bidi w:val="0"/>
        <w:adjustRightInd/>
        <w:snapToGrid/>
        <w:spacing w:line="540" w:lineRule="exact"/>
        <w:ind w:firstLine="723" w:firstLineChars="200"/>
        <w:jc w:val="center"/>
        <w:textAlignment w:val="auto"/>
        <w:outlineLvl w:val="0"/>
        <w:rPr>
          <w:rFonts w:hint="eastAsia" w:ascii="宋体" w:hAnsi="宋体"/>
          <w:b/>
          <w:color w:val="auto"/>
          <w:sz w:val="36"/>
          <w:szCs w:val="36"/>
        </w:rPr>
      </w:pPr>
    </w:p>
    <w:p w14:paraId="14063C19">
      <w:pPr>
        <w:keepNext w:val="0"/>
        <w:keepLines w:val="0"/>
        <w:pageBreakBefore w:val="0"/>
        <w:kinsoku/>
        <w:wordWrap/>
        <w:overflowPunct/>
        <w:topLinePunct w:val="0"/>
        <w:autoSpaceDE/>
        <w:bidi w:val="0"/>
        <w:adjustRightInd/>
        <w:snapToGrid/>
        <w:spacing w:line="540" w:lineRule="exact"/>
        <w:ind w:firstLine="723" w:firstLineChars="200"/>
        <w:jc w:val="center"/>
        <w:textAlignment w:val="auto"/>
        <w:outlineLvl w:val="0"/>
        <w:rPr>
          <w:rFonts w:hint="eastAsia" w:ascii="宋体" w:hAnsi="宋体"/>
          <w:b/>
          <w:color w:val="auto"/>
          <w:sz w:val="36"/>
          <w:szCs w:val="36"/>
        </w:rPr>
      </w:pPr>
      <w:r>
        <w:rPr>
          <w:rFonts w:hint="eastAsia" w:ascii="宋体" w:hAnsi="宋体"/>
          <w:b/>
          <w:color w:val="auto"/>
          <w:sz w:val="36"/>
          <w:szCs w:val="36"/>
        </w:rPr>
        <w:t>第二部分 浑南区财政局202</w:t>
      </w:r>
      <w:r>
        <w:rPr>
          <w:rFonts w:hint="eastAsia" w:ascii="宋体" w:hAnsi="宋体"/>
          <w:b/>
          <w:color w:val="auto"/>
          <w:sz w:val="36"/>
          <w:szCs w:val="36"/>
          <w:lang w:eastAsia="zh-CN"/>
        </w:rPr>
        <w:t>1</w:t>
      </w:r>
      <w:r>
        <w:rPr>
          <w:rFonts w:hint="eastAsia" w:ascii="宋体" w:hAnsi="宋体"/>
          <w:b/>
          <w:color w:val="auto"/>
          <w:sz w:val="36"/>
          <w:szCs w:val="36"/>
        </w:rPr>
        <w:t>年度决算情况说明</w:t>
      </w:r>
    </w:p>
    <w:p w14:paraId="0BCF3292">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color w:val="auto"/>
          <w:sz w:val="32"/>
        </w:rPr>
      </w:pPr>
    </w:p>
    <w:p w14:paraId="07D08003">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黑体" w:hAnsi="黑体" w:eastAsia="黑体"/>
          <w:b/>
          <w:bCs/>
          <w:color w:val="auto"/>
          <w:sz w:val="32"/>
          <w:szCs w:val="32"/>
          <w:lang w:eastAsia="zh-CN"/>
        </w:rPr>
      </w:pPr>
      <w:r>
        <w:rPr>
          <w:rFonts w:ascii="黑体" w:eastAsia="黑体"/>
          <w:color w:val="auto"/>
          <w:sz w:val="32"/>
        </w:rPr>
        <w:t>一、收入支出决算总体情况说明</w:t>
      </w:r>
    </w:p>
    <w:p w14:paraId="6D2D4323">
      <w:pPr>
        <w:keepNext w:val="0"/>
        <w:keepLines w:val="0"/>
        <w:pageBreakBefore w:val="0"/>
        <w:kinsoku/>
        <w:wordWrap/>
        <w:overflowPunct/>
        <w:topLinePunct w:val="0"/>
        <w:autoSpaceDE/>
        <w:bidi w:val="0"/>
        <w:adjustRightInd/>
        <w:snapToGrid/>
        <w:spacing w:line="540" w:lineRule="exact"/>
        <w:ind w:firstLine="643" w:firstLineChars="200"/>
        <w:textAlignment w:val="auto"/>
        <w:rPr>
          <w:rFonts w:hint="default" w:ascii="楷体_GB2312" w:eastAsia="楷体_GB2312"/>
          <w:b/>
          <w:color w:val="auto"/>
          <w:sz w:val="32"/>
        </w:rPr>
      </w:pPr>
      <w:r>
        <w:rPr>
          <w:rFonts w:ascii="楷体_GB2312" w:eastAsia="楷体_GB2312"/>
          <w:b/>
          <w:color w:val="auto"/>
          <w:sz w:val="32"/>
        </w:rPr>
        <w:t>（一）收入总计</w:t>
      </w:r>
      <w:r>
        <w:rPr>
          <w:rFonts w:hint="eastAsia" w:ascii="楷体_GB2312" w:eastAsia="楷体_GB2312"/>
          <w:b/>
          <w:color w:val="auto"/>
          <w:sz w:val="32"/>
          <w:lang w:val="en-US" w:eastAsia="zh-CN"/>
        </w:rPr>
        <w:t>724.23</w:t>
      </w:r>
      <w:r>
        <w:rPr>
          <w:rFonts w:ascii="楷体_GB2312" w:eastAsia="楷体_GB2312"/>
          <w:b/>
          <w:color w:val="auto"/>
          <w:sz w:val="32"/>
        </w:rPr>
        <w:t>万元，包括：</w:t>
      </w:r>
    </w:p>
    <w:p w14:paraId="6D8D4C7D">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1.财政拨款收入</w:t>
      </w:r>
      <w:r>
        <w:rPr>
          <w:rFonts w:hint="eastAsia" w:ascii="仿宋_GB2312" w:eastAsia="仿宋_GB2312"/>
          <w:color w:val="auto"/>
          <w:sz w:val="32"/>
          <w:lang w:eastAsia="zh-CN"/>
        </w:rPr>
        <w:t>696.73</w:t>
      </w:r>
      <w:r>
        <w:rPr>
          <w:rFonts w:ascii="仿宋_GB2312" w:eastAsia="仿宋_GB2312"/>
          <w:color w:val="auto"/>
          <w:sz w:val="32"/>
        </w:rPr>
        <w:t>万元，占收入总计的</w:t>
      </w:r>
      <w:r>
        <w:rPr>
          <w:rFonts w:hint="eastAsia" w:ascii="仿宋_GB2312" w:eastAsia="仿宋_GB2312"/>
          <w:color w:val="auto"/>
          <w:sz w:val="32"/>
          <w:lang w:eastAsia="zh-CN"/>
        </w:rPr>
        <w:t>96</w:t>
      </w:r>
      <w:r>
        <w:rPr>
          <w:rFonts w:hint="eastAsia" w:ascii="仿宋_GB2312" w:eastAsia="仿宋_GB2312"/>
          <w:color w:val="auto"/>
          <w:sz w:val="32"/>
          <w:lang w:val="en-US" w:eastAsia="zh-CN"/>
        </w:rPr>
        <w:t>.3</w:t>
      </w:r>
      <w:r>
        <w:rPr>
          <w:rFonts w:ascii="仿宋_GB2312" w:eastAsia="仿宋_GB2312"/>
          <w:color w:val="auto"/>
          <w:sz w:val="32"/>
        </w:rPr>
        <w:t>%。其中：一般公共预算财政拨款收入</w:t>
      </w:r>
      <w:r>
        <w:rPr>
          <w:rFonts w:hint="eastAsia" w:ascii="仿宋_GB2312" w:eastAsia="仿宋_GB2312"/>
          <w:color w:val="auto"/>
          <w:sz w:val="32"/>
          <w:lang w:eastAsia="zh-CN"/>
        </w:rPr>
        <w:t>696.73</w:t>
      </w:r>
      <w:r>
        <w:rPr>
          <w:rFonts w:ascii="仿宋_GB2312" w:eastAsia="仿宋_GB2312"/>
          <w:color w:val="auto"/>
          <w:sz w:val="32"/>
        </w:rPr>
        <w:t>万元，政府性基金收入</w:t>
      </w:r>
      <w:r>
        <w:rPr>
          <w:rFonts w:hint="eastAsia" w:ascii="仿宋_GB2312" w:eastAsia="仿宋_GB2312"/>
          <w:color w:val="auto"/>
          <w:sz w:val="32"/>
          <w:lang w:eastAsia="zh-CN"/>
        </w:rPr>
        <w:t>0</w:t>
      </w:r>
      <w:r>
        <w:rPr>
          <w:rFonts w:ascii="仿宋_GB2312" w:eastAsia="仿宋_GB2312"/>
          <w:color w:val="auto"/>
          <w:sz w:val="32"/>
        </w:rPr>
        <w:t>万元，国有资本经营预算财政拨款收入</w:t>
      </w:r>
      <w:r>
        <w:rPr>
          <w:rFonts w:hint="eastAsia" w:ascii="仿宋_GB2312" w:eastAsia="仿宋_GB2312"/>
          <w:color w:val="auto"/>
          <w:sz w:val="32"/>
          <w:lang w:eastAsia="zh-CN"/>
        </w:rPr>
        <w:t>0</w:t>
      </w:r>
      <w:r>
        <w:rPr>
          <w:rFonts w:ascii="仿宋_GB2312" w:eastAsia="仿宋_GB2312"/>
          <w:color w:val="auto"/>
          <w:sz w:val="32"/>
        </w:rPr>
        <w:t>万元。</w:t>
      </w:r>
    </w:p>
    <w:p w14:paraId="101494B2">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hint="eastAsia" w:ascii="仿宋_GB2312" w:eastAsia="仿宋_GB2312"/>
          <w:color w:val="auto"/>
          <w:sz w:val="32"/>
          <w:lang w:val="en-US" w:eastAsia="zh-CN"/>
        </w:rPr>
        <w:t>2</w:t>
      </w:r>
      <w:r>
        <w:rPr>
          <w:rFonts w:ascii="仿宋_GB2312" w:eastAsia="仿宋_GB2312"/>
          <w:color w:val="auto"/>
          <w:sz w:val="32"/>
        </w:rPr>
        <w:t>.上年结转和结余</w:t>
      </w:r>
      <w:r>
        <w:rPr>
          <w:rFonts w:hint="eastAsia" w:ascii="仿宋_GB2312" w:eastAsia="仿宋_GB2312"/>
          <w:color w:val="auto"/>
          <w:sz w:val="32"/>
          <w:lang w:eastAsia="zh-CN"/>
        </w:rPr>
        <w:t>27.5</w:t>
      </w:r>
      <w:r>
        <w:rPr>
          <w:rFonts w:ascii="仿宋_GB2312" w:eastAsia="仿宋_GB2312"/>
          <w:color w:val="auto"/>
          <w:sz w:val="32"/>
        </w:rPr>
        <w:t>万元，占收入总计的</w:t>
      </w:r>
      <w:r>
        <w:rPr>
          <w:rFonts w:hint="eastAsia" w:ascii="仿宋_GB2312" w:eastAsia="仿宋_GB2312"/>
          <w:color w:val="auto"/>
          <w:sz w:val="32"/>
          <w:lang w:val="en-US" w:eastAsia="zh-CN"/>
        </w:rPr>
        <w:t>3.7</w:t>
      </w:r>
      <w:r>
        <w:rPr>
          <w:rFonts w:ascii="仿宋_GB2312" w:eastAsia="仿宋_GB2312"/>
          <w:color w:val="auto"/>
          <w:sz w:val="32"/>
        </w:rPr>
        <w:t>%。主要是</w:t>
      </w:r>
      <w:r>
        <w:rPr>
          <w:rFonts w:hint="eastAsia" w:ascii="仿宋_GB2312" w:hAnsi="宋体" w:eastAsia="仿宋_GB2312"/>
          <w:color w:val="auto"/>
          <w:sz w:val="32"/>
          <w:szCs w:val="32"/>
        </w:rPr>
        <w:t>绩效评价服务费</w:t>
      </w:r>
      <w:r>
        <w:rPr>
          <w:rFonts w:ascii="仿宋_GB2312" w:eastAsia="仿宋_GB2312"/>
          <w:color w:val="auto"/>
          <w:sz w:val="32"/>
        </w:rPr>
        <w:t>等。</w:t>
      </w:r>
    </w:p>
    <w:p w14:paraId="0F0DA4C3">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与上年相比，今年收入减少</w:t>
      </w:r>
      <w:r>
        <w:rPr>
          <w:rFonts w:hint="eastAsia" w:ascii="仿宋_GB2312" w:eastAsia="仿宋_GB2312"/>
          <w:color w:val="auto"/>
          <w:sz w:val="32"/>
          <w:lang w:eastAsia="zh-CN"/>
        </w:rPr>
        <w:t>249.43</w:t>
      </w:r>
      <w:r>
        <w:rPr>
          <w:rFonts w:ascii="仿宋_GB2312" w:eastAsia="仿宋_GB2312"/>
          <w:color w:val="auto"/>
          <w:sz w:val="32"/>
        </w:rPr>
        <w:t>万元，降低</w:t>
      </w:r>
      <w:r>
        <w:rPr>
          <w:rFonts w:hint="eastAsia" w:ascii="仿宋_GB2312" w:eastAsia="仿宋_GB2312"/>
          <w:color w:val="auto"/>
          <w:sz w:val="32"/>
          <w:lang w:val="en-US" w:eastAsia="zh-CN"/>
        </w:rPr>
        <w:t>26</w:t>
      </w:r>
      <w:r>
        <w:rPr>
          <w:rFonts w:ascii="仿宋_GB2312" w:eastAsia="仿宋_GB2312"/>
          <w:color w:val="auto"/>
          <w:sz w:val="32"/>
        </w:rPr>
        <w:t>%，主要原</w:t>
      </w:r>
      <w:r>
        <w:rPr>
          <w:rFonts w:hint="eastAsia" w:ascii="仿宋_GB2312" w:hAnsi="仿宋_GB2312" w:eastAsia="仿宋_GB2312" w:cs="仿宋_GB2312"/>
          <w:color w:val="auto"/>
          <w:sz w:val="32"/>
        </w:rPr>
        <w:t>因：一是</w:t>
      </w:r>
      <w:r>
        <w:rPr>
          <w:rFonts w:hint="eastAsia" w:ascii="仿宋_GB2312" w:hAnsi="仿宋_GB2312" w:eastAsia="仿宋_GB2312" w:cs="仿宋_GB2312"/>
          <w:color w:val="auto"/>
          <w:sz w:val="32"/>
          <w:lang w:val="en-US" w:eastAsia="zh-CN"/>
        </w:rPr>
        <w:t>减少补发交通补助</w:t>
      </w:r>
      <w:r>
        <w:rPr>
          <w:rFonts w:hint="eastAsia" w:ascii="仿宋_GB2312" w:hAnsi="仿宋_GB2312" w:eastAsia="仿宋_GB2312" w:cs="仿宋_GB2312"/>
          <w:color w:val="auto"/>
          <w:sz w:val="32"/>
        </w:rPr>
        <w:t>；二是</w:t>
      </w:r>
      <w:r>
        <w:rPr>
          <w:rFonts w:hint="eastAsia" w:ascii="仿宋_GB2312" w:hAnsi="仿宋_GB2312" w:eastAsia="仿宋_GB2312" w:cs="仿宋_GB2312"/>
          <w:color w:val="auto"/>
          <w:sz w:val="32"/>
          <w:lang w:eastAsia="zh-CN"/>
        </w:rPr>
        <w:t>减少绩</w:t>
      </w:r>
      <w:r>
        <w:rPr>
          <w:rFonts w:hint="eastAsia" w:ascii="仿宋_GB2312" w:eastAsia="仿宋_GB2312"/>
          <w:color w:val="auto"/>
          <w:sz w:val="32"/>
          <w:lang w:eastAsia="zh-CN"/>
        </w:rPr>
        <w:t>效评价费</w:t>
      </w:r>
      <w:r>
        <w:rPr>
          <w:rFonts w:ascii="仿宋_GB2312" w:eastAsia="仿宋_GB2312"/>
          <w:color w:val="auto"/>
          <w:sz w:val="32"/>
        </w:rPr>
        <w:t>。</w:t>
      </w:r>
    </w:p>
    <w:p w14:paraId="7CBCC7B3">
      <w:pPr>
        <w:pStyle w:val="6"/>
        <w:keepNext w:val="0"/>
        <w:keepLines w:val="0"/>
        <w:pageBreakBefore w:val="0"/>
        <w:numPr>
          <w:ilvl w:val="0"/>
          <w:numId w:val="1"/>
        </w:numPr>
        <w:kinsoku/>
        <w:wordWrap/>
        <w:overflowPunct/>
        <w:topLinePunct w:val="0"/>
        <w:autoSpaceDE/>
        <w:bidi w:val="0"/>
        <w:adjustRightInd/>
        <w:snapToGrid/>
        <w:spacing w:line="560" w:lineRule="exact"/>
        <w:ind w:firstLine="643" w:firstLineChars="200"/>
        <w:textAlignment w:val="auto"/>
        <w:rPr>
          <w:rFonts w:ascii="楷体_GB2312" w:eastAsia="楷体_GB2312"/>
          <w:b/>
          <w:color w:val="auto"/>
          <w:sz w:val="32"/>
        </w:rPr>
      </w:pPr>
      <w:r>
        <w:rPr>
          <w:rFonts w:ascii="楷体_GB2312" w:eastAsia="楷体_GB2312"/>
          <w:b/>
          <w:color w:val="auto"/>
          <w:sz w:val="32"/>
        </w:rPr>
        <w:t>支出总计</w:t>
      </w:r>
      <w:r>
        <w:rPr>
          <w:rFonts w:hint="eastAsia" w:ascii="楷体_GB2312" w:eastAsia="楷体_GB2312"/>
          <w:b/>
          <w:color w:val="auto"/>
          <w:sz w:val="32"/>
          <w:lang w:val="en-US" w:eastAsia="zh-CN"/>
        </w:rPr>
        <w:t>724.23</w:t>
      </w:r>
      <w:r>
        <w:rPr>
          <w:rFonts w:ascii="楷体_GB2312" w:eastAsia="楷体_GB2312"/>
          <w:b/>
          <w:color w:val="auto"/>
          <w:sz w:val="32"/>
        </w:rPr>
        <w:t>万元，包括：</w:t>
      </w:r>
    </w:p>
    <w:p w14:paraId="3E3FF123">
      <w:pPr>
        <w:pStyle w:val="6"/>
        <w:keepNext w:val="0"/>
        <w:keepLines w:val="0"/>
        <w:pageBreakBefore w:val="0"/>
        <w:numPr>
          <w:ilvl w:val="0"/>
          <w:numId w:val="0"/>
        </w:numPr>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1.基本支出</w:t>
      </w:r>
      <w:r>
        <w:rPr>
          <w:rFonts w:hint="eastAsia" w:ascii="仿宋_GB2312" w:eastAsia="仿宋_GB2312"/>
          <w:color w:val="auto"/>
          <w:sz w:val="32"/>
          <w:lang w:val="en-US" w:eastAsia="zh-CN"/>
        </w:rPr>
        <w:t>390.24</w:t>
      </w:r>
      <w:r>
        <w:rPr>
          <w:rFonts w:ascii="仿宋_GB2312" w:eastAsia="仿宋_GB2312"/>
          <w:color w:val="auto"/>
          <w:sz w:val="32"/>
        </w:rPr>
        <w:t>万元，占支出总计的</w:t>
      </w:r>
      <w:r>
        <w:rPr>
          <w:rFonts w:hint="eastAsia" w:ascii="仿宋_GB2312" w:eastAsia="仿宋_GB2312"/>
          <w:color w:val="auto"/>
          <w:sz w:val="32"/>
          <w:lang w:val="en-US" w:eastAsia="zh-CN"/>
        </w:rPr>
        <w:t>54</w:t>
      </w:r>
      <w:r>
        <w:rPr>
          <w:rFonts w:ascii="仿宋_GB2312" w:eastAsia="仿宋_GB2312"/>
          <w:color w:val="auto"/>
          <w:sz w:val="32"/>
        </w:rPr>
        <w:t>%。主要是为保障机构正常运转、完成日常工作任务而发生的各项支出，其中：工资福利支出</w:t>
      </w:r>
      <w:r>
        <w:rPr>
          <w:rFonts w:hint="eastAsia" w:ascii="仿宋_GB2312" w:eastAsia="仿宋_GB2312"/>
          <w:color w:val="auto"/>
          <w:sz w:val="32"/>
          <w:lang w:val="en-US" w:eastAsia="zh-CN"/>
        </w:rPr>
        <w:t>330.62</w:t>
      </w:r>
      <w:r>
        <w:rPr>
          <w:rFonts w:ascii="仿宋_GB2312" w:eastAsia="仿宋_GB2312"/>
          <w:color w:val="auto"/>
          <w:sz w:val="32"/>
        </w:rPr>
        <w:t>万元，对个人和家庭的补助支出</w:t>
      </w:r>
      <w:r>
        <w:rPr>
          <w:rFonts w:hint="eastAsia" w:ascii="仿宋_GB2312" w:eastAsia="仿宋_GB2312"/>
          <w:color w:val="auto"/>
          <w:sz w:val="32"/>
          <w:lang w:val="en-US" w:eastAsia="zh-CN"/>
        </w:rPr>
        <w:t>6.83</w:t>
      </w:r>
      <w:r>
        <w:rPr>
          <w:rFonts w:ascii="仿宋_GB2312" w:eastAsia="仿宋_GB2312"/>
          <w:color w:val="auto"/>
          <w:sz w:val="32"/>
        </w:rPr>
        <w:t>万元，商品和服务支出</w:t>
      </w:r>
      <w:r>
        <w:rPr>
          <w:rFonts w:hint="eastAsia" w:ascii="仿宋_GB2312" w:eastAsia="仿宋_GB2312"/>
          <w:color w:val="auto"/>
          <w:sz w:val="32"/>
          <w:lang w:val="en-US" w:eastAsia="zh-CN"/>
        </w:rPr>
        <w:t>51.14</w:t>
      </w:r>
      <w:r>
        <w:rPr>
          <w:rFonts w:ascii="仿宋_GB2312" w:eastAsia="仿宋_GB2312"/>
          <w:color w:val="auto"/>
          <w:sz w:val="32"/>
        </w:rPr>
        <w:t>万元</w:t>
      </w:r>
      <w:r>
        <w:rPr>
          <w:rFonts w:hint="eastAsia" w:ascii="仿宋_GB2312" w:eastAsia="仿宋_GB2312"/>
          <w:color w:val="auto"/>
          <w:sz w:val="32"/>
          <w:lang w:eastAsia="zh-CN"/>
        </w:rPr>
        <w:t>，资本性支出</w:t>
      </w:r>
      <w:r>
        <w:rPr>
          <w:rFonts w:hint="eastAsia" w:ascii="仿宋_GB2312" w:eastAsia="仿宋_GB2312"/>
          <w:color w:val="auto"/>
          <w:sz w:val="32"/>
          <w:lang w:val="en-US" w:eastAsia="zh-CN"/>
        </w:rPr>
        <w:t>1.65万元</w:t>
      </w:r>
      <w:r>
        <w:rPr>
          <w:rFonts w:ascii="仿宋_GB2312" w:eastAsia="仿宋_GB2312"/>
          <w:color w:val="auto"/>
          <w:sz w:val="32"/>
        </w:rPr>
        <w:t>。</w:t>
      </w:r>
    </w:p>
    <w:p w14:paraId="470548A5">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2.项目支出</w:t>
      </w:r>
      <w:r>
        <w:rPr>
          <w:rFonts w:hint="eastAsia" w:ascii="仿宋_GB2312" w:eastAsia="仿宋_GB2312"/>
          <w:color w:val="auto"/>
          <w:sz w:val="32"/>
          <w:lang w:val="en-US" w:eastAsia="zh-CN"/>
        </w:rPr>
        <w:t>333.99</w:t>
      </w:r>
      <w:r>
        <w:rPr>
          <w:rFonts w:ascii="仿宋_GB2312" w:eastAsia="仿宋_GB2312"/>
          <w:color w:val="auto"/>
          <w:sz w:val="32"/>
        </w:rPr>
        <w:t>万元，占支出总计的</w:t>
      </w:r>
      <w:r>
        <w:rPr>
          <w:rFonts w:hint="eastAsia" w:ascii="仿宋_GB2312" w:eastAsia="仿宋_GB2312"/>
          <w:color w:val="auto"/>
          <w:sz w:val="32"/>
          <w:lang w:val="en-US" w:eastAsia="zh-CN"/>
        </w:rPr>
        <w:t>46</w:t>
      </w:r>
      <w:r>
        <w:rPr>
          <w:rFonts w:ascii="仿宋_GB2312" w:eastAsia="仿宋_GB2312"/>
          <w:color w:val="auto"/>
          <w:sz w:val="32"/>
        </w:rPr>
        <w:t>%。主要包括</w:t>
      </w:r>
      <w:r>
        <w:rPr>
          <w:rFonts w:hint="eastAsia" w:ascii="仿宋_GB2312" w:eastAsia="仿宋_GB2312"/>
          <w:color w:val="auto"/>
          <w:sz w:val="32"/>
          <w:lang w:eastAsia="zh-CN"/>
        </w:rPr>
        <w:t>预算改革业务、财政国库业务</w:t>
      </w:r>
      <w:r>
        <w:rPr>
          <w:rFonts w:ascii="仿宋_GB2312" w:eastAsia="仿宋_GB2312"/>
          <w:color w:val="auto"/>
          <w:sz w:val="32"/>
        </w:rPr>
        <w:t>等业务支出。</w:t>
      </w:r>
    </w:p>
    <w:p w14:paraId="1CF8B2A8">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eastAsia="仿宋_GB2312"/>
          <w:color w:val="auto"/>
          <w:sz w:val="32"/>
          <w:lang w:val="en-US" w:eastAsia="zh-CN"/>
        </w:rPr>
      </w:pPr>
      <w:r>
        <w:rPr>
          <w:rFonts w:ascii="仿宋_GB2312" w:eastAsia="仿宋_GB2312"/>
          <w:color w:val="auto"/>
          <w:sz w:val="32"/>
        </w:rPr>
        <w:t>与上年相比，今年支出减少</w:t>
      </w:r>
      <w:r>
        <w:rPr>
          <w:rFonts w:hint="eastAsia" w:ascii="仿宋_GB2312" w:eastAsia="仿宋_GB2312"/>
          <w:color w:val="auto"/>
          <w:sz w:val="32"/>
          <w:lang w:val="en-US" w:eastAsia="zh-CN"/>
        </w:rPr>
        <w:t>221.93</w:t>
      </w:r>
      <w:r>
        <w:rPr>
          <w:rFonts w:ascii="仿宋_GB2312" w:eastAsia="仿宋_GB2312"/>
          <w:color w:val="auto"/>
          <w:sz w:val="32"/>
        </w:rPr>
        <w:t>万元，降低</w:t>
      </w:r>
      <w:r>
        <w:rPr>
          <w:rFonts w:hint="eastAsia" w:ascii="仿宋_GB2312" w:eastAsia="仿宋_GB2312"/>
          <w:color w:val="auto"/>
          <w:sz w:val="32"/>
          <w:lang w:val="en-US" w:eastAsia="zh-CN"/>
        </w:rPr>
        <w:t>23</w:t>
      </w:r>
      <w:r>
        <w:rPr>
          <w:rFonts w:ascii="仿宋_GB2312" w:eastAsia="仿宋_GB2312"/>
          <w:color w:val="auto"/>
          <w:sz w:val="32"/>
        </w:rPr>
        <w:t>%，主要原因：</w:t>
      </w:r>
      <w:r>
        <w:rPr>
          <w:rFonts w:ascii="黑体" w:eastAsia="黑体"/>
          <w:color w:val="auto"/>
          <w:sz w:val="32"/>
        </w:rPr>
        <w:t>一是</w:t>
      </w:r>
      <w:r>
        <w:rPr>
          <w:rFonts w:hint="eastAsia" w:ascii="仿宋_GB2312" w:eastAsia="仿宋_GB2312"/>
          <w:color w:val="auto"/>
          <w:sz w:val="32"/>
          <w:lang w:eastAsia="zh-CN"/>
        </w:rPr>
        <w:t>减少绩效评价服务费</w:t>
      </w:r>
      <w:r>
        <w:rPr>
          <w:rFonts w:ascii="仿宋_GB2312" w:eastAsia="仿宋_GB2312"/>
          <w:color w:val="auto"/>
          <w:sz w:val="32"/>
        </w:rPr>
        <w:t>；</w:t>
      </w:r>
      <w:r>
        <w:rPr>
          <w:rFonts w:ascii="黑体" w:eastAsia="黑体"/>
          <w:color w:val="auto"/>
          <w:sz w:val="32"/>
        </w:rPr>
        <w:t>二是</w:t>
      </w:r>
      <w:r>
        <w:rPr>
          <w:rFonts w:hint="eastAsia" w:ascii="仿宋_GB2312" w:eastAsia="仿宋_GB2312"/>
          <w:color w:val="auto"/>
          <w:sz w:val="32"/>
          <w:lang w:eastAsia="zh-CN"/>
        </w:rPr>
        <w:t>减少绩效工资。</w:t>
      </w:r>
    </w:p>
    <w:p w14:paraId="01913F3B">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楷体_GB2312" w:eastAsia="楷体_GB2312"/>
          <w:b/>
          <w:color w:val="auto"/>
          <w:sz w:val="32"/>
        </w:rPr>
      </w:pPr>
      <w:r>
        <w:rPr>
          <w:rFonts w:ascii="楷体_GB2312" w:eastAsia="楷体_GB2312"/>
          <w:b/>
          <w:color w:val="auto"/>
          <w:sz w:val="32"/>
        </w:rPr>
        <w:t>（三）年末结转和结余</w:t>
      </w:r>
      <w:r>
        <w:rPr>
          <w:rFonts w:hint="eastAsia" w:ascii="楷体_GB2312" w:eastAsia="楷体_GB2312"/>
          <w:b/>
          <w:color w:val="auto"/>
          <w:sz w:val="32"/>
          <w:lang w:val="en-US" w:eastAsia="zh-CN"/>
        </w:rPr>
        <w:t>0</w:t>
      </w:r>
      <w:r>
        <w:rPr>
          <w:rFonts w:ascii="楷体_GB2312" w:eastAsia="楷体_GB2312"/>
          <w:b/>
          <w:color w:val="auto"/>
          <w:sz w:val="32"/>
        </w:rPr>
        <w:t>万元</w:t>
      </w:r>
    </w:p>
    <w:p w14:paraId="30E87BB8">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eastAsia="仿宋_GB2312"/>
          <w:color w:val="auto"/>
          <w:sz w:val="32"/>
          <w:lang w:eastAsia="zh-CN"/>
        </w:rPr>
      </w:pPr>
      <w:r>
        <w:rPr>
          <w:rFonts w:ascii="仿宋_GB2312" w:eastAsia="仿宋_GB2312"/>
          <w:color w:val="auto"/>
          <w:sz w:val="32"/>
        </w:rPr>
        <w:t>与上年相比，今年结转结余</w:t>
      </w:r>
      <w:r>
        <w:rPr>
          <w:rFonts w:hint="eastAsia" w:ascii="仿宋_GB2312" w:eastAsia="仿宋_GB2312"/>
          <w:color w:val="auto"/>
          <w:sz w:val="32"/>
          <w:lang w:eastAsia="zh-CN"/>
        </w:rPr>
        <w:t>减少</w:t>
      </w:r>
      <w:r>
        <w:rPr>
          <w:rFonts w:hint="eastAsia" w:ascii="仿宋_GB2312" w:eastAsia="仿宋_GB2312"/>
          <w:color w:val="auto"/>
          <w:sz w:val="32"/>
          <w:lang w:val="en-US" w:eastAsia="zh-CN"/>
        </w:rPr>
        <w:t>27.5万元</w:t>
      </w:r>
      <w:r>
        <w:rPr>
          <w:rFonts w:hint="eastAsia" w:ascii="仿宋_GB2312" w:eastAsia="仿宋_GB2312"/>
          <w:color w:val="auto"/>
          <w:sz w:val="32"/>
          <w:lang w:eastAsia="zh-CN"/>
        </w:rPr>
        <w:t>。主要原因</w:t>
      </w:r>
      <w:r>
        <w:rPr>
          <w:rFonts w:hint="eastAsia" w:ascii="仿宋_GB2312" w:eastAsia="仿宋_GB2312"/>
          <w:color w:val="auto"/>
          <w:sz w:val="32"/>
          <w:lang w:val="en-US" w:eastAsia="zh-CN"/>
        </w:rPr>
        <w:t>是将上年的</w:t>
      </w:r>
      <w:r>
        <w:rPr>
          <w:rFonts w:hint="eastAsia" w:ascii="仿宋_GB2312" w:hAnsi="宋体" w:eastAsia="仿宋_GB2312"/>
          <w:color w:val="auto"/>
          <w:sz w:val="32"/>
          <w:szCs w:val="32"/>
        </w:rPr>
        <w:t>绩效评价服务费</w:t>
      </w:r>
      <w:r>
        <w:rPr>
          <w:rFonts w:ascii="仿宋_GB2312" w:eastAsia="仿宋_GB2312"/>
          <w:color w:val="auto"/>
          <w:sz w:val="32"/>
        </w:rPr>
        <w:t>等</w:t>
      </w:r>
      <w:r>
        <w:rPr>
          <w:rFonts w:hint="eastAsia" w:ascii="仿宋_GB2312" w:eastAsia="仿宋_GB2312"/>
          <w:color w:val="auto"/>
          <w:sz w:val="32"/>
          <w:lang w:eastAsia="zh-CN"/>
        </w:rPr>
        <w:t>支付。</w:t>
      </w:r>
    </w:p>
    <w:p w14:paraId="49C00536">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eastAsia="仿宋_GB2312"/>
          <w:color w:val="auto"/>
          <w:sz w:val="32"/>
          <w:lang w:val="en-US" w:eastAsia="zh-CN"/>
        </w:rPr>
      </w:pPr>
    </w:p>
    <w:p w14:paraId="6D69EF4E">
      <w:pPr>
        <w:pStyle w:val="6"/>
        <w:keepNext w:val="0"/>
        <w:keepLines w:val="0"/>
        <w:pageBreakBefore w:val="0"/>
        <w:numPr>
          <w:ilvl w:val="0"/>
          <w:numId w:val="2"/>
        </w:numPr>
        <w:kinsoku/>
        <w:wordWrap/>
        <w:overflowPunct/>
        <w:topLinePunct w:val="0"/>
        <w:autoSpaceDE/>
        <w:bidi w:val="0"/>
        <w:adjustRightInd/>
        <w:snapToGrid/>
        <w:spacing w:line="560" w:lineRule="exact"/>
        <w:ind w:firstLine="640" w:firstLineChars="200"/>
        <w:textAlignment w:val="auto"/>
        <w:rPr>
          <w:rFonts w:ascii="黑体" w:eastAsia="黑体"/>
          <w:color w:val="auto"/>
          <w:sz w:val="32"/>
        </w:rPr>
      </w:pPr>
      <w:r>
        <w:rPr>
          <w:rFonts w:ascii="黑体" w:eastAsia="黑体"/>
          <w:color w:val="auto"/>
          <w:sz w:val="32"/>
        </w:rPr>
        <w:t>财政拨款收入支出决算情况说明</w:t>
      </w:r>
    </w:p>
    <w:p w14:paraId="2A820AAE">
      <w:pPr>
        <w:pStyle w:val="6"/>
        <w:keepNext w:val="0"/>
        <w:keepLines w:val="0"/>
        <w:pageBreakBefore w:val="0"/>
        <w:numPr>
          <w:ilvl w:val="0"/>
          <w:numId w:val="0"/>
        </w:numPr>
        <w:kinsoku/>
        <w:wordWrap/>
        <w:overflowPunct/>
        <w:topLinePunct w:val="0"/>
        <w:autoSpaceDE/>
        <w:bidi w:val="0"/>
        <w:adjustRightInd/>
        <w:snapToGrid/>
        <w:spacing w:line="560" w:lineRule="exact"/>
        <w:ind w:firstLine="643" w:firstLineChars="200"/>
        <w:textAlignment w:val="auto"/>
        <w:rPr>
          <w:rFonts w:hint="default" w:ascii="楷体_GB2312" w:eastAsia="楷体_GB2312"/>
          <w:b/>
          <w:color w:val="auto"/>
          <w:sz w:val="32"/>
        </w:rPr>
      </w:pPr>
      <w:r>
        <w:rPr>
          <w:rFonts w:ascii="楷体_GB2312" w:eastAsia="楷体_GB2312"/>
          <w:b/>
          <w:color w:val="auto"/>
          <w:sz w:val="32"/>
        </w:rPr>
        <w:t>（一）总体情况</w:t>
      </w:r>
    </w:p>
    <w:p w14:paraId="33ED0FC4">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2021年度财政拨款支出</w:t>
      </w:r>
      <w:r>
        <w:rPr>
          <w:rFonts w:hint="eastAsia" w:ascii="仿宋_GB2312" w:eastAsia="仿宋_GB2312"/>
          <w:color w:val="auto"/>
          <w:sz w:val="32"/>
          <w:lang w:val="en-US" w:eastAsia="zh-CN"/>
        </w:rPr>
        <w:t>724.23</w:t>
      </w:r>
      <w:r>
        <w:rPr>
          <w:rFonts w:ascii="仿宋_GB2312" w:eastAsia="仿宋_GB2312"/>
          <w:color w:val="auto"/>
          <w:sz w:val="32"/>
        </w:rPr>
        <w:t>万元，其中：基本支出</w:t>
      </w:r>
      <w:r>
        <w:rPr>
          <w:rFonts w:hint="eastAsia" w:ascii="仿宋_GB2312" w:eastAsia="仿宋_GB2312"/>
          <w:color w:val="auto"/>
          <w:sz w:val="32"/>
          <w:lang w:val="en-US" w:eastAsia="zh-CN"/>
        </w:rPr>
        <w:t>390.24</w:t>
      </w:r>
      <w:r>
        <w:rPr>
          <w:rFonts w:ascii="仿宋_GB2312" w:eastAsia="仿宋_GB2312"/>
          <w:color w:val="auto"/>
          <w:sz w:val="32"/>
        </w:rPr>
        <w:t>万元，项目支出</w:t>
      </w:r>
      <w:r>
        <w:rPr>
          <w:rFonts w:hint="eastAsia" w:ascii="仿宋_GB2312" w:eastAsia="仿宋_GB2312"/>
          <w:color w:val="auto"/>
          <w:sz w:val="32"/>
          <w:lang w:val="en-US" w:eastAsia="zh-CN"/>
        </w:rPr>
        <w:t>333.99</w:t>
      </w:r>
      <w:r>
        <w:rPr>
          <w:rFonts w:ascii="仿宋_GB2312" w:eastAsia="仿宋_GB2312"/>
          <w:color w:val="auto"/>
          <w:sz w:val="32"/>
        </w:rPr>
        <w:t>万元。与上年相比，财政拨款支出减少</w:t>
      </w:r>
      <w:r>
        <w:rPr>
          <w:rFonts w:hint="eastAsia" w:ascii="仿宋_GB2312" w:eastAsia="仿宋_GB2312"/>
          <w:color w:val="auto"/>
          <w:sz w:val="32"/>
          <w:lang w:val="en-US" w:eastAsia="zh-CN"/>
        </w:rPr>
        <w:t>221.93</w:t>
      </w:r>
      <w:r>
        <w:rPr>
          <w:rFonts w:ascii="仿宋_GB2312" w:eastAsia="仿宋_GB2312"/>
          <w:color w:val="auto"/>
          <w:sz w:val="32"/>
        </w:rPr>
        <w:t>万元，降低</w:t>
      </w:r>
      <w:r>
        <w:rPr>
          <w:rFonts w:hint="eastAsia" w:ascii="仿宋_GB2312" w:eastAsia="仿宋_GB2312"/>
          <w:color w:val="auto"/>
          <w:sz w:val="32"/>
          <w:lang w:val="en-US" w:eastAsia="zh-CN"/>
        </w:rPr>
        <w:t>23</w:t>
      </w:r>
      <w:r>
        <w:rPr>
          <w:rFonts w:ascii="仿宋_GB2312" w:eastAsia="仿宋_GB2312"/>
          <w:color w:val="auto"/>
          <w:sz w:val="32"/>
        </w:rPr>
        <w:t>%，主</w:t>
      </w:r>
      <w:r>
        <w:rPr>
          <w:rFonts w:hint="eastAsia" w:ascii="仿宋_GB2312" w:hAnsi="仿宋_GB2312" w:eastAsia="仿宋_GB2312" w:cs="仿宋_GB2312"/>
          <w:color w:val="auto"/>
          <w:sz w:val="32"/>
        </w:rPr>
        <w:t>要原因：一是</w:t>
      </w:r>
      <w:r>
        <w:rPr>
          <w:rFonts w:hint="eastAsia" w:ascii="仿宋_GB2312" w:hAnsi="仿宋_GB2312" w:eastAsia="仿宋_GB2312" w:cs="仿宋_GB2312"/>
          <w:color w:val="auto"/>
          <w:sz w:val="32"/>
          <w:lang w:eastAsia="zh-CN"/>
        </w:rPr>
        <w:t>减少绩效评价服务费</w:t>
      </w:r>
      <w:r>
        <w:rPr>
          <w:rFonts w:hint="eastAsia" w:ascii="仿宋_GB2312" w:hAnsi="仿宋_GB2312" w:eastAsia="仿宋_GB2312" w:cs="仿宋_GB2312"/>
          <w:color w:val="auto"/>
          <w:sz w:val="32"/>
        </w:rPr>
        <w:t>；二是</w:t>
      </w:r>
      <w:r>
        <w:rPr>
          <w:rFonts w:hint="eastAsia" w:ascii="仿宋_GB2312" w:hAnsi="仿宋_GB2312" w:eastAsia="仿宋_GB2312" w:cs="仿宋_GB2312"/>
          <w:color w:val="auto"/>
          <w:sz w:val="32"/>
          <w:lang w:eastAsia="zh-CN"/>
        </w:rPr>
        <w:t>减少绩效工资</w:t>
      </w:r>
      <w:r>
        <w:rPr>
          <w:rFonts w:hint="eastAsia" w:ascii="仿宋_GB2312" w:hAnsi="仿宋_GB2312" w:eastAsia="仿宋_GB2312" w:cs="仿宋_GB2312"/>
          <w:color w:val="auto"/>
          <w:sz w:val="32"/>
        </w:rPr>
        <w:t>。与年初预算相比，2021年度财政拨款支出完成年初预算的</w:t>
      </w:r>
      <w:r>
        <w:rPr>
          <w:rFonts w:hint="eastAsia" w:ascii="仿宋_GB2312" w:hAnsi="仿宋_GB2312" w:eastAsia="仿宋_GB2312" w:cs="仿宋_GB2312"/>
          <w:color w:val="auto"/>
          <w:sz w:val="32"/>
          <w:lang w:val="en-US" w:eastAsia="zh-CN"/>
        </w:rPr>
        <w:t>100</w:t>
      </w:r>
      <w:r>
        <w:rPr>
          <w:rFonts w:hint="eastAsia" w:ascii="仿宋_GB2312" w:hAnsi="仿宋_GB2312" w:eastAsia="仿宋_GB2312" w:cs="仿宋_GB2312"/>
          <w:color w:val="auto"/>
          <w:sz w:val="32"/>
        </w:rPr>
        <w:t>%，其中：基本支</w:t>
      </w:r>
      <w:r>
        <w:rPr>
          <w:rFonts w:ascii="仿宋_GB2312" w:eastAsia="仿宋_GB2312"/>
          <w:color w:val="auto"/>
          <w:sz w:val="32"/>
        </w:rPr>
        <w:t>出完成年初预算的</w:t>
      </w:r>
      <w:r>
        <w:rPr>
          <w:rFonts w:hint="eastAsia" w:ascii="仿宋_GB2312" w:eastAsia="仿宋_GB2312"/>
          <w:color w:val="auto"/>
          <w:sz w:val="32"/>
          <w:lang w:val="en-US" w:eastAsia="zh-CN"/>
        </w:rPr>
        <w:t>53.9</w:t>
      </w:r>
      <w:r>
        <w:rPr>
          <w:rFonts w:ascii="仿宋_GB2312" w:eastAsia="仿宋_GB2312"/>
          <w:color w:val="auto"/>
          <w:sz w:val="32"/>
        </w:rPr>
        <w:t>%，项目支出完成年初预算的</w:t>
      </w:r>
      <w:r>
        <w:rPr>
          <w:rFonts w:hint="eastAsia" w:ascii="仿宋_GB2312" w:eastAsia="仿宋_GB2312"/>
          <w:color w:val="auto"/>
          <w:sz w:val="32"/>
          <w:lang w:val="en-US" w:eastAsia="zh-CN"/>
        </w:rPr>
        <w:t>46.1</w:t>
      </w:r>
      <w:r>
        <w:rPr>
          <w:rFonts w:ascii="仿宋_GB2312" w:eastAsia="仿宋_GB2312"/>
          <w:color w:val="auto"/>
          <w:sz w:val="32"/>
        </w:rPr>
        <w:t>%。</w:t>
      </w:r>
    </w:p>
    <w:p w14:paraId="5B817A99">
      <w:pPr>
        <w:keepNext w:val="0"/>
        <w:keepLines w:val="0"/>
        <w:pageBreakBefore w:val="0"/>
        <w:numPr>
          <w:ilvl w:val="0"/>
          <w:numId w:val="3"/>
        </w:numPr>
        <w:kinsoku/>
        <w:wordWrap/>
        <w:overflowPunct/>
        <w:topLinePunct w:val="0"/>
        <w:autoSpaceDE/>
        <w:bidi w:val="0"/>
        <w:adjustRightInd/>
        <w:snapToGrid/>
        <w:spacing w:line="560" w:lineRule="exact"/>
        <w:ind w:left="0" w:leftChars="0" w:firstLine="643" w:firstLineChars="200"/>
        <w:textAlignment w:val="auto"/>
        <w:rPr>
          <w:rFonts w:ascii="楷体_GB2312" w:hAnsi="宋体" w:eastAsia="楷体_GB2312"/>
          <w:b/>
          <w:color w:val="auto"/>
          <w:sz w:val="32"/>
          <w:szCs w:val="32"/>
        </w:rPr>
      </w:pPr>
      <w:r>
        <w:rPr>
          <w:rFonts w:ascii="楷体_GB2312" w:hAnsi="宋体" w:eastAsia="楷体_GB2312"/>
          <w:b/>
          <w:color w:val="auto"/>
          <w:sz w:val="32"/>
          <w:szCs w:val="32"/>
        </w:rPr>
        <w:t>一般公共预算财政拨款支出情况。</w:t>
      </w:r>
    </w:p>
    <w:p w14:paraId="7E0F25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olor w:val="auto"/>
          <w:sz w:val="32"/>
          <w:szCs w:val="32"/>
          <w:lang w:val="en-US" w:eastAsia="zh-CN"/>
        </w:rPr>
      </w:pPr>
      <w:r>
        <w:rPr>
          <w:rFonts w:ascii="仿宋_GB2312" w:hAnsi="宋体" w:eastAsia="仿宋_GB2312"/>
          <w:color w:val="auto"/>
          <w:sz w:val="32"/>
          <w:szCs w:val="32"/>
        </w:rPr>
        <w:t>2021年度一般公共预算财政拨款支出</w:t>
      </w:r>
      <w:r>
        <w:rPr>
          <w:rFonts w:hint="eastAsia" w:ascii="仿宋_GB2312" w:hAnsi="宋体" w:eastAsia="仿宋_GB2312"/>
          <w:color w:val="auto"/>
          <w:sz w:val="32"/>
          <w:szCs w:val="32"/>
          <w:lang w:val="en-US" w:eastAsia="zh-CN"/>
        </w:rPr>
        <w:t>724.23</w:t>
      </w:r>
      <w:r>
        <w:rPr>
          <w:rFonts w:ascii="仿宋_GB2312" w:hAnsi="宋体" w:eastAsia="仿宋_GB2312"/>
          <w:color w:val="auto"/>
          <w:sz w:val="32"/>
          <w:szCs w:val="32"/>
        </w:rPr>
        <w:t>万元，按支出功能分类科目分，包括：一般公共服务支出</w:t>
      </w:r>
      <w:r>
        <w:rPr>
          <w:rFonts w:hint="eastAsia" w:ascii="仿宋_GB2312" w:hAnsi="宋体" w:eastAsia="仿宋_GB2312"/>
          <w:color w:val="auto"/>
          <w:sz w:val="32"/>
          <w:szCs w:val="32"/>
          <w:lang w:val="en-US" w:eastAsia="zh-CN"/>
        </w:rPr>
        <w:t>581</w:t>
      </w:r>
      <w:r>
        <w:rPr>
          <w:rFonts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80.2</w:t>
      </w:r>
      <w:r>
        <w:rPr>
          <w:rFonts w:ascii="仿宋_GB2312" w:hAnsi="宋体" w:eastAsia="仿宋_GB2312"/>
          <w:color w:val="auto"/>
          <w:sz w:val="32"/>
          <w:szCs w:val="32"/>
        </w:rPr>
        <w:t>%；</w:t>
      </w:r>
      <w:r>
        <w:rPr>
          <w:rFonts w:hint="eastAsia" w:ascii="仿宋_GB2312" w:hAnsi="宋体" w:eastAsia="仿宋_GB2312"/>
          <w:color w:val="auto"/>
          <w:sz w:val="32"/>
          <w:szCs w:val="32"/>
          <w:lang w:eastAsia="zh-CN"/>
        </w:rPr>
        <w:t>社会保障和就业支出</w:t>
      </w:r>
      <w:r>
        <w:rPr>
          <w:rFonts w:hint="eastAsia" w:ascii="仿宋_GB2312" w:hAnsi="宋体" w:eastAsia="仿宋_GB2312"/>
          <w:color w:val="auto"/>
          <w:sz w:val="32"/>
          <w:szCs w:val="32"/>
          <w:lang w:val="en-US" w:eastAsia="zh-CN"/>
        </w:rPr>
        <w:t>41.08万，占5.7%；卫生健康支出16.49万，占2.3%；住房保障支出68.18万，占9.4%；灾害防治及应急管理支出17.5万元，占2.4%</w:t>
      </w:r>
    </w:p>
    <w:p w14:paraId="7930925B">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hAnsi="宋体" w:eastAsia="仿宋_GB2312"/>
          <w:color w:val="auto"/>
          <w:sz w:val="32"/>
          <w:szCs w:val="32"/>
        </w:rPr>
      </w:pPr>
      <w:r>
        <w:rPr>
          <w:rFonts w:ascii="仿宋_GB2312" w:hAnsi="宋体" w:eastAsia="仿宋_GB2312"/>
          <w:color w:val="auto"/>
          <w:sz w:val="32"/>
          <w:szCs w:val="32"/>
        </w:rPr>
        <w:t>1.一般公共服务支出</w:t>
      </w:r>
      <w:r>
        <w:rPr>
          <w:rFonts w:hint="eastAsia" w:ascii="仿宋_GB2312" w:hAnsi="宋体" w:eastAsia="仿宋_GB2312"/>
          <w:color w:val="auto"/>
          <w:sz w:val="32"/>
          <w:szCs w:val="32"/>
          <w:lang w:val="en-US" w:eastAsia="zh-CN"/>
        </w:rPr>
        <w:t>581</w:t>
      </w:r>
      <w:r>
        <w:rPr>
          <w:rFonts w:ascii="仿宋_GB2312" w:hAnsi="宋体" w:eastAsia="仿宋_GB2312"/>
          <w:color w:val="auto"/>
          <w:sz w:val="32"/>
          <w:szCs w:val="32"/>
        </w:rPr>
        <w:t>万元，具体包括：</w:t>
      </w:r>
    </w:p>
    <w:p w14:paraId="4F8643A5">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（1）一般公共服务支出（类）财政事务（款）行政运行（项）</w:t>
      </w:r>
      <w:r>
        <w:rPr>
          <w:rFonts w:hint="eastAsia" w:ascii="仿宋_GB2312" w:hAnsi="宋体" w:eastAsia="仿宋_GB2312"/>
          <w:color w:val="auto"/>
          <w:sz w:val="32"/>
          <w:szCs w:val="32"/>
          <w:lang w:val="en-US" w:eastAsia="zh-CN"/>
        </w:rPr>
        <w:t>264.5</w:t>
      </w:r>
      <w:r>
        <w:rPr>
          <w:rFonts w:ascii="仿宋_GB2312" w:hAnsi="宋体" w:eastAsia="仿宋_GB2312"/>
          <w:color w:val="auto"/>
          <w:sz w:val="32"/>
          <w:szCs w:val="32"/>
        </w:rPr>
        <w:t>万元，主要是</w:t>
      </w:r>
      <w:r>
        <w:rPr>
          <w:rFonts w:hint="eastAsia" w:ascii="仿宋_GB2312" w:hAnsi="宋体" w:eastAsia="仿宋_GB2312"/>
          <w:color w:val="auto"/>
          <w:sz w:val="32"/>
          <w:szCs w:val="32"/>
          <w:lang w:eastAsia="zh-CN"/>
        </w:rPr>
        <w:t>工资、津贴</w:t>
      </w:r>
      <w:r>
        <w:rPr>
          <w:rFonts w:ascii="仿宋_GB2312" w:hAnsi="宋体" w:eastAsia="仿宋_GB2312"/>
          <w:color w:val="auto"/>
          <w:sz w:val="32"/>
          <w:szCs w:val="32"/>
        </w:rPr>
        <w:t>等支出，完成年初预算的</w:t>
      </w:r>
      <w:r>
        <w:rPr>
          <w:rFonts w:hint="eastAsia" w:ascii="仿宋_GB2312" w:hAnsi="宋体" w:eastAsia="仿宋_GB2312"/>
          <w:color w:val="auto"/>
          <w:sz w:val="32"/>
          <w:szCs w:val="32"/>
          <w:lang w:val="en-US" w:eastAsia="zh-CN"/>
        </w:rPr>
        <w:t>100</w:t>
      </w: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14:paraId="560F8525">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（2）一般公共服务支出（类）财政事务（款）</w:t>
      </w:r>
      <w:bookmarkStart w:id="0" w:name="_GoBack"/>
      <w:bookmarkEnd w:id="0"/>
      <w:r>
        <w:rPr>
          <w:rFonts w:hint="eastAsia" w:ascii="仿宋_GB2312" w:hAnsi="宋体" w:eastAsia="仿宋_GB2312"/>
          <w:color w:val="auto"/>
          <w:sz w:val="32"/>
          <w:szCs w:val="32"/>
          <w:lang w:eastAsia="zh-CN"/>
        </w:rPr>
        <w:t>一般行政管理事务</w:t>
      </w:r>
      <w:r>
        <w:rPr>
          <w:rFonts w:hint="eastAsia" w:ascii="仿宋_GB2312" w:hAnsi="宋体" w:eastAsia="仿宋_GB2312"/>
          <w:color w:val="auto"/>
          <w:sz w:val="32"/>
          <w:szCs w:val="32"/>
        </w:rPr>
        <w:t>（项）</w:t>
      </w:r>
      <w:r>
        <w:rPr>
          <w:rFonts w:hint="eastAsia" w:ascii="仿宋_GB2312" w:hAnsi="宋体" w:eastAsia="仿宋_GB2312"/>
          <w:color w:val="auto"/>
          <w:sz w:val="32"/>
          <w:szCs w:val="32"/>
          <w:lang w:val="en-US" w:eastAsia="zh-CN"/>
        </w:rPr>
        <w:t>247.96</w:t>
      </w:r>
      <w:r>
        <w:rPr>
          <w:rFonts w:hint="eastAsia" w:ascii="仿宋_GB2312" w:hAnsi="宋体" w:eastAsia="仿宋_GB2312"/>
          <w:color w:val="auto"/>
          <w:sz w:val="32"/>
          <w:szCs w:val="32"/>
        </w:rPr>
        <w:t>万元，主要用于中介机构系统服务费</w:t>
      </w:r>
      <w:r>
        <w:rPr>
          <w:rFonts w:hint="eastAsia" w:ascii="仿宋_GB2312" w:hAnsi="宋体" w:eastAsia="仿宋_GB2312"/>
          <w:color w:val="auto"/>
          <w:sz w:val="32"/>
          <w:szCs w:val="32"/>
          <w:lang w:eastAsia="zh-CN"/>
        </w:rPr>
        <w:t>、财政事业费用、绩效评价服务费</w:t>
      </w:r>
      <w:r>
        <w:rPr>
          <w:rFonts w:hint="eastAsia" w:ascii="仿宋_GB2312" w:hAnsi="宋体" w:eastAsia="仿宋_GB2312"/>
          <w:color w:val="auto"/>
          <w:sz w:val="32"/>
          <w:szCs w:val="32"/>
        </w:rPr>
        <w:t>等支出，完成年初预算100%，因各项支出均按预算执行，因此100%完成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48AA9EC8">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(3)一般公共服务支出（类）财政事务（款）财政国库业务（项）</w:t>
      </w:r>
      <w:r>
        <w:rPr>
          <w:rFonts w:hint="eastAsia" w:ascii="仿宋_GB2312" w:hAnsi="宋体" w:eastAsia="仿宋_GB2312"/>
          <w:color w:val="auto"/>
          <w:sz w:val="32"/>
          <w:szCs w:val="32"/>
          <w:lang w:val="en-US" w:eastAsia="zh-CN"/>
        </w:rPr>
        <w:t>22.65</w:t>
      </w:r>
      <w:r>
        <w:rPr>
          <w:rFonts w:hint="eastAsia" w:ascii="仿宋_GB2312" w:hAnsi="宋体" w:eastAsia="仿宋_GB2312"/>
          <w:color w:val="auto"/>
          <w:sz w:val="32"/>
          <w:szCs w:val="32"/>
        </w:rPr>
        <w:t>万元，主要用于维修维护费</w:t>
      </w:r>
      <w:r>
        <w:rPr>
          <w:rFonts w:hint="eastAsia" w:ascii="仿宋_GB2312" w:hAnsi="宋体" w:eastAsia="仿宋_GB2312"/>
          <w:color w:val="auto"/>
          <w:sz w:val="32"/>
          <w:szCs w:val="32"/>
          <w:lang w:eastAsia="zh-CN"/>
        </w:rPr>
        <w:t>和委托业务费</w:t>
      </w:r>
      <w:r>
        <w:rPr>
          <w:rFonts w:hint="eastAsia" w:ascii="仿宋_GB2312" w:hAnsi="宋体" w:eastAsia="仿宋_GB2312"/>
          <w:color w:val="auto"/>
          <w:sz w:val="32"/>
          <w:szCs w:val="32"/>
        </w:rPr>
        <w:t>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5BBCC0F7">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（4）一般公共服务支出（类）财政事务（款）其他财政事务支出</w:t>
      </w:r>
      <w:r>
        <w:rPr>
          <w:rFonts w:hint="eastAsia" w:ascii="仿宋_GB2312" w:hAnsi="宋体" w:eastAsia="仿宋_GB2312"/>
          <w:color w:val="auto"/>
          <w:sz w:val="32"/>
          <w:szCs w:val="32"/>
          <w:lang w:val="en-US" w:eastAsia="zh-CN"/>
        </w:rPr>
        <w:t>7.29</w:t>
      </w:r>
      <w:r>
        <w:rPr>
          <w:rFonts w:hint="eastAsia" w:ascii="仿宋_GB2312" w:hAnsi="宋体" w:eastAsia="仿宋_GB2312"/>
          <w:color w:val="auto"/>
          <w:sz w:val="32"/>
          <w:szCs w:val="32"/>
        </w:rPr>
        <w:t>万元，主要用于</w:t>
      </w:r>
      <w:r>
        <w:rPr>
          <w:rFonts w:hint="eastAsia" w:ascii="仿宋_GB2312" w:hAnsi="宋体" w:eastAsia="仿宋_GB2312"/>
          <w:color w:val="auto"/>
          <w:sz w:val="32"/>
          <w:szCs w:val="32"/>
          <w:lang w:eastAsia="zh-CN"/>
        </w:rPr>
        <w:t>办公设备购置费</w:t>
      </w:r>
      <w:r>
        <w:rPr>
          <w:rFonts w:hint="eastAsia" w:ascii="仿宋_GB2312" w:hAnsi="宋体" w:eastAsia="仿宋_GB2312"/>
          <w:color w:val="auto"/>
          <w:sz w:val="32"/>
          <w:szCs w:val="32"/>
        </w:rPr>
        <w:t>费支出，完成预算100%，因各项支出均按预算执行，因此100%完成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11FB3B96">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2.社会保障和就业支出</w:t>
      </w:r>
      <w:r>
        <w:rPr>
          <w:rFonts w:hint="eastAsia" w:ascii="仿宋_GB2312" w:hAnsi="宋体" w:eastAsia="仿宋_GB2312"/>
          <w:color w:val="auto"/>
          <w:sz w:val="32"/>
          <w:szCs w:val="32"/>
          <w:lang w:val="en-US" w:eastAsia="zh-CN"/>
        </w:rPr>
        <w:t>41.08</w:t>
      </w:r>
      <w:r>
        <w:rPr>
          <w:rFonts w:hint="eastAsia" w:ascii="仿宋_GB2312" w:hAnsi="宋体" w:eastAsia="仿宋_GB2312"/>
          <w:color w:val="auto"/>
          <w:sz w:val="32"/>
          <w:szCs w:val="32"/>
        </w:rPr>
        <w:t>万元，具体包括：</w:t>
      </w:r>
    </w:p>
    <w:p w14:paraId="222E8813">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（1）社会保障和就业支出（类）行政事业单位养老支出（款）行政单位离退休（项）</w:t>
      </w:r>
      <w:r>
        <w:rPr>
          <w:rFonts w:hint="eastAsia" w:ascii="仿宋_GB2312" w:hAnsi="宋体" w:eastAsia="仿宋_GB2312"/>
          <w:color w:val="auto"/>
          <w:sz w:val="32"/>
          <w:szCs w:val="32"/>
          <w:lang w:val="en-US" w:eastAsia="zh-CN"/>
        </w:rPr>
        <w:t>5.35</w:t>
      </w:r>
      <w:r>
        <w:rPr>
          <w:rFonts w:hint="eastAsia" w:ascii="仿宋_GB2312" w:hAnsi="宋体" w:eastAsia="仿宋_GB2312"/>
          <w:color w:val="auto"/>
          <w:sz w:val="32"/>
          <w:szCs w:val="32"/>
        </w:rPr>
        <w:t>万元，主要用于退休人员取暖费支出，完成预算100%，因各项支出均按预算执行，因此100%完成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3B08807E">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（2）社会保障和就业支出（类）行政事业单位养老支出（款）机关事业单位基本养老保险缴费支出（项）</w:t>
      </w:r>
      <w:r>
        <w:rPr>
          <w:rFonts w:hint="eastAsia" w:ascii="仿宋_GB2312" w:hAnsi="宋体" w:eastAsia="仿宋_GB2312"/>
          <w:color w:val="auto"/>
          <w:sz w:val="32"/>
          <w:szCs w:val="32"/>
          <w:lang w:val="en-US" w:eastAsia="zh-CN"/>
        </w:rPr>
        <w:t>28.8</w:t>
      </w:r>
      <w:r>
        <w:rPr>
          <w:rFonts w:hint="eastAsia" w:ascii="仿宋_GB2312" w:hAnsi="宋体" w:eastAsia="仿宋_GB2312"/>
          <w:color w:val="auto"/>
          <w:sz w:val="32"/>
          <w:szCs w:val="32"/>
        </w:rPr>
        <w:t>万元，主要用于养老保险支出，完成预算100%，因各项支出均按预算执行，因此100%完成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297E52B7">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（3）社会保障和就业支出（类）抚恤（款）伤残抚恤（项）1.</w:t>
      </w:r>
      <w:r>
        <w:rPr>
          <w:rFonts w:hint="eastAsia" w:ascii="仿宋_GB2312" w:hAnsi="宋体" w:eastAsia="仿宋_GB2312"/>
          <w:color w:val="auto"/>
          <w:sz w:val="32"/>
          <w:szCs w:val="32"/>
          <w:lang w:val="en-US" w:eastAsia="zh-CN"/>
        </w:rPr>
        <w:t>7</w:t>
      </w:r>
      <w:r>
        <w:rPr>
          <w:rFonts w:hint="eastAsia" w:ascii="仿宋_GB2312" w:hAnsi="宋体" w:eastAsia="仿宋_GB2312"/>
          <w:color w:val="auto"/>
          <w:sz w:val="32"/>
          <w:szCs w:val="32"/>
        </w:rPr>
        <w:t>6万元，用于伤残抚恤金支出，完成预算100%，因各项支出均按预算执行，因此100%完成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02EA1676">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3.卫生健康支出16.5万元，具体包括：</w:t>
      </w:r>
    </w:p>
    <w:p w14:paraId="6C378E97">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（1）卫生健康支出（类）行政事业单位医疗（款）行政单位医疗（项）</w:t>
      </w:r>
      <w:r>
        <w:rPr>
          <w:rFonts w:hint="eastAsia" w:ascii="仿宋_GB2312" w:hAnsi="宋体" w:eastAsia="仿宋_GB2312"/>
          <w:color w:val="auto"/>
          <w:sz w:val="32"/>
          <w:szCs w:val="32"/>
          <w:lang w:val="en-US" w:eastAsia="zh-CN"/>
        </w:rPr>
        <w:t>14.9</w:t>
      </w:r>
      <w:r>
        <w:rPr>
          <w:rFonts w:hint="eastAsia" w:ascii="仿宋_GB2312" w:hAnsi="宋体" w:eastAsia="仿宋_GB2312"/>
          <w:color w:val="auto"/>
          <w:sz w:val="32"/>
          <w:szCs w:val="32"/>
        </w:rPr>
        <w:t>万元，主要用于医疗保险支出，完成预算100%，因各项支出均按预算执行，因此100%完成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5214C8C7">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（2）卫生健康支出（类）行政事业单位医疗（款）公务员医疗补助（项）1.</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rPr>
        <w:t>万元，主要用于医疗补助支出，完成预算100%，因各项支出均按预算执行，因此100%完成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73508FC3">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4.住房保障支出</w:t>
      </w:r>
      <w:r>
        <w:rPr>
          <w:rFonts w:hint="eastAsia" w:ascii="仿宋_GB2312" w:hAnsi="宋体" w:eastAsia="仿宋_GB2312"/>
          <w:color w:val="auto"/>
          <w:sz w:val="32"/>
          <w:szCs w:val="32"/>
          <w:lang w:val="en-US" w:eastAsia="zh-CN"/>
        </w:rPr>
        <w:t>68.2</w:t>
      </w:r>
      <w:r>
        <w:rPr>
          <w:rFonts w:hint="eastAsia" w:ascii="仿宋_GB2312" w:hAnsi="宋体" w:eastAsia="仿宋_GB2312"/>
          <w:color w:val="auto"/>
          <w:sz w:val="32"/>
          <w:szCs w:val="32"/>
        </w:rPr>
        <w:t>万元，具体包括：</w:t>
      </w:r>
    </w:p>
    <w:p w14:paraId="4195E865">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住房保障支出（类）住房改革支出（款）住房公积金（项）</w:t>
      </w:r>
      <w:r>
        <w:rPr>
          <w:rFonts w:hint="eastAsia" w:ascii="仿宋_GB2312" w:hAnsi="宋体" w:eastAsia="仿宋_GB2312"/>
          <w:color w:val="auto"/>
          <w:sz w:val="32"/>
          <w:szCs w:val="32"/>
          <w:lang w:val="en-US" w:eastAsia="zh-CN"/>
        </w:rPr>
        <w:t>68.2</w:t>
      </w:r>
      <w:r>
        <w:rPr>
          <w:rFonts w:hint="eastAsia" w:ascii="仿宋_GB2312" w:hAnsi="宋体" w:eastAsia="仿宋_GB2312"/>
          <w:color w:val="auto"/>
          <w:sz w:val="32"/>
          <w:szCs w:val="32"/>
        </w:rPr>
        <w:t>万元，主要用于单位职工缴纳住房公积金支出，完成预算100%，因各项支出均按预算执行，因此100%完成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650D5B61">
      <w:pPr>
        <w:keepNext w:val="0"/>
        <w:keepLines w:val="0"/>
        <w:pageBreakBefore w:val="0"/>
        <w:numPr>
          <w:ilvl w:val="0"/>
          <w:numId w:val="0"/>
        </w:numPr>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17.5</w:t>
      </w:r>
      <w:r>
        <w:rPr>
          <w:rFonts w:hint="eastAsia" w:ascii="仿宋_GB2312" w:hAnsi="宋体" w:eastAsia="仿宋_GB2312"/>
          <w:color w:val="auto"/>
          <w:sz w:val="32"/>
          <w:szCs w:val="32"/>
        </w:rPr>
        <w:t>万元，具体包括：</w:t>
      </w:r>
    </w:p>
    <w:p w14:paraId="10988FAD">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灾害防治及应急管理支出（类）应急管理事务（款）其他应急管理支出（项）</w:t>
      </w:r>
      <w:r>
        <w:rPr>
          <w:rFonts w:hint="eastAsia" w:ascii="仿宋_GB2312" w:hAnsi="宋体" w:eastAsia="仿宋_GB2312"/>
          <w:color w:val="auto"/>
          <w:sz w:val="32"/>
          <w:szCs w:val="32"/>
          <w:lang w:val="en-US" w:eastAsia="zh-CN"/>
        </w:rPr>
        <w:t>17.5</w:t>
      </w:r>
      <w:r>
        <w:rPr>
          <w:rFonts w:hint="eastAsia" w:ascii="仿宋_GB2312" w:hAnsi="宋体" w:eastAsia="仿宋_GB2312"/>
          <w:color w:val="auto"/>
          <w:sz w:val="32"/>
          <w:szCs w:val="32"/>
        </w:rPr>
        <w:t>万元，主要用于安全奖支出，完成预算100%，因各项支出均按预算执行，因此100%完成</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1D0E24D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43" w:firstLineChars="200"/>
        <w:textAlignment w:val="auto"/>
        <w:outlineLvl w:val="2"/>
        <w:rPr>
          <w:rFonts w:hint="eastAsia" w:ascii="楷体_GB2312" w:hAnsi="宋体" w:eastAsia="楷体_GB2312"/>
          <w:b/>
          <w:color w:val="auto"/>
          <w:sz w:val="32"/>
          <w:szCs w:val="32"/>
          <w:highlight w:val="none"/>
        </w:rPr>
      </w:pPr>
      <w:r>
        <w:rPr>
          <w:rFonts w:hint="eastAsia" w:ascii="楷体_GB2312" w:hAnsi="宋体" w:eastAsia="楷体_GB2312"/>
          <w:b/>
          <w:color w:val="auto"/>
          <w:sz w:val="32"/>
          <w:szCs w:val="32"/>
          <w:highlight w:val="none"/>
        </w:rPr>
        <w:t>（</w:t>
      </w:r>
      <w:r>
        <w:rPr>
          <w:rFonts w:hint="eastAsia" w:ascii="楷体_GB2312" w:hAnsi="宋体" w:eastAsia="楷体_GB2312"/>
          <w:b/>
          <w:color w:val="auto"/>
          <w:sz w:val="32"/>
          <w:szCs w:val="32"/>
          <w:highlight w:val="none"/>
          <w:lang w:val="en-US" w:eastAsia="zh-CN"/>
        </w:rPr>
        <w:t>三</w:t>
      </w:r>
      <w:r>
        <w:rPr>
          <w:rFonts w:hint="eastAsia" w:ascii="楷体_GB2312" w:hAnsi="宋体" w:eastAsia="楷体_GB2312"/>
          <w:b/>
          <w:color w:val="auto"/>
          <w:sz w:val="32"/>
          <w:szCs w:val="32"/>
          <w:highlight w:val="none"/>
        </w:rPr>
        <w:t>）</w:t>
      </w:r>
      <w:r>
        <w:rPr>
          <w:rFonts w:hint="eastAsia" w:ascii="楷体_GB2312" w:hAnsi="宋体" w:eastAsia="楷体_GB2312"/>
          <w:b/>
          <w:color w:val="auto"/>
          <w:sz w:val="32"/>
          <w:szCs w:val="32"/>
          <w:highlight w:val="none"/>
          <w:lang w:val="en-US" w:eastAsia="zh-CN"/>
        </w:rPr>
        <w:t>政府性基金预算财政拨款支出</w:t>
      </w:r>
      <w:r>
        <w:rPr>
          <w:rFonts w:hint="eastAsia" w:ascii="楷体_GB2312" w:hAnsi="宋体" w:eastAsia="楷体_GB2312"/>
          <w:b/>
          <w:color w:val="auto"/>
          <w:sz w:val="32"/>
          <w:szCs w:val="32"/>
          <w:highlight w:val="none"/>
        </w:rPr>
        <w:t>情况。</w:t>
      </w:r>
    </w:p>
    <w:p w14:paraId="12537BE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40" w:firstLineChars="200"/>
        <w:textAlignment w:val="auto"/>
        <w:outlineLvl w:val="9"/>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w:t>
      </w:r>
      <w:r>
        <w:rPr>
          <w:rFonts w:hint="eastAsia" w:ascii="仿宋_GB2312" w:hAnsi="宋体"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年度政府性基金预算财政拨款支出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14:paraId="4C0C8B9A">
      <w:pPr>
        <w:keepNext w:val="0"/>
        <w:keepLines w:val="0"/>
        <w:pageBreakBefore w:val="0"/>
        <w:numPr>
          <w:ilvl w:val="0"/>
          <w:numId w:val="4"/>
        </w:numPr>
        <w:kinsoku/>
        <w:wordWrap/>
        <w:overflowPunct/>
        <w:topLinePunct w:val="0"/>
        <w:autoSpaceDE/>
        <w:bidi w:val="0"/>
        <w:adjustRightInd/>
        <w:snapToGrid/>
        <w:spacing w:line="540" w:lineRule="exact"/>
        <w:ind w:firstLine="643" w:firstLineChars="200"/>
        <w:textAlignment w:val="auto"/>
        <w:rPr>
          <w:rFonts w:hint="eastAsia" w:ascii="楷体_GB2312" w:hAnsi="宋体" w:eastAsia="楷体_GB2312"/>
          <w:b/>
          <w:color w:val="auto"/>
          <w:sz w:val="32"/>
          <w:szCs w:val="32"/>
          <w:highlight w:val="none"/>
        </w:rPr>
      </w:pPr>
      <w:r>
        <w:rPr>
          <w:rFonts w:hint="eastAsia" w:ascii="楷体_GB2312" w:hAnsi="宋体" w:eastAsia="楷体_GB2312"/>
          <w:b/>
          <w:color w:val="auto"/>
          <w:sz w:val="32"/>
          <w:szCs w:val="32"/>
          <w:highlight w:val="none"/>
          <w:lang w:val="en-US" w:eastAsia="zh-CN"/>
        </w:rPr>
        <w:t>国有资本经营预算财政拨款支出</w:t>
      </w:r>
      <w:r>
        <w:rPr>
          <w:rFonts w:hint="eastAsia" w:ascii="楷体_GB2312" w:hAnsi="宋体" w:eastAsia="楷体_GB2312"/>
          <w:b/>
          <w:color w:val="auto"/>
          <w:sz w:val="32"/>
          <w:szCs w:val="32"/>
          <w:highlight w:val="none"/>
        </w:rPr>
        <w:t>情况。</w:t>
      </w:r>
    </w:p>
    <w:p w14:paraId="2547A927">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40" w:firstLineChars="200"/>
        <w:textAlignment w:val="auto"/>
        <w:outlineLvl w:val="9"/>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w:t>
      </w:r>
      <w:r>
        <w:rPr>
          <w:rFonts w:hint="eastAsia" w:ascii="仿宋_GB2312" w:hAnsi="宋体"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年度国有资本经营预算财政拨款支出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14:paraId="5FEE1BE9">
      <w:pPr>
        <w:keepNext w:val="0"/>
        <w:keepLines w:val="0"/>
        <w:pageBreakBefore w:val="0"/>
        <w:kinsoku/>
        <w:wordWrap/>
        <w:overflowPunct/>
        <w:topLinePunct w:val="0"/>
        <w:autoSpaceDE/>
        <w:bidi w:val="0"/>
        <w:adjustRightInd/>
        <w:snapToGrid/>
        <w:spacing w:line="540" w:lineRule="exact"/>
        <w:ind w:firstLine="640" w:firstLineChars="200"/>
        <w:textAlignment w:val="auto"/>
        <w:outlineLvl w:val="1"/>
        <w:rPr>
          <w:rFonts w:hint="eastAsia" w:ascii="仿宋_GB2312" w:hAnsi="仿宋_GB2312" w:eastAsia="仿宋_GB2312" w:cs="仿宋_GB2312"/>
          <w:b/>
          <w:color w:val="auto"/>
          <w:sz w:val="32"/>
          <w:szCs w:val="32"/>
        </w:rPr>
      </w:pPr>
      <w:r>
        <w:rPr>
          <w:rFonts w:hint="eastAsia" w:ascii="黑体" w:hAnsi="黑体" w:eastAsia="黑体"/>
          <w:color w:val="auto"/>
          <w:sz w:val="32"/>
          <w:szCs w:val="32"/>
        </w:rPr>
        <w:t>三、一般公共预算财政拨款“三公”经费支出决算情况</w:t>
      </w:r>
    </w:p>
    <w:p w14:paraId="424D1D41">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F56226E">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110A8472">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077C691B">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5B71219D">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6501B0A8">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color w:val="auto"/>
          <w:sz w:val="32"/>
          <w:szCs w:val="32"/>
        </w:rPr>
        <w:t>。</w:t>
      </w:r>
    </w:p>
    <w:p w14:paraId="2EA7BAE0">
      <w:pPr>
        <w:keepNext w:val="0"/>
        <w:keepLines w:val="0"/>
        <w:pageBreakBefore w:val="0"/>
        <w:kinsoku/>
        <w:wordWrap/>
        <w:overflowPunct/>
        <w:topLinePunct w:val="0"/>
        <w:autoSpaceDE/>
        <w:bidi w:val="0"/>
        <w:adjustRightInd/>
        <w:snapToGrid/>
        <w:spacing w:line="540" w:lineRule="exact"/>
        <w:ind w:firstLine="640" w:firstLineChars="200"/>
        <w:textAlignment w:val="auto"/>
        <w:outlineLvl w:val="1"/>
        <w:rPr>
          <w:rFonts w:hint="eastAsia" w:ascii="黑体" w:hAnsi="黑体" w:eastAsia="黑体"/>
          <w:color w:val="auto"/>
          <w:sz w:val="32"/>
          <w:szCs w:val="32"/>
        </w:rPr>
      </w:pPr>
      <w:r>
        <w:rPr>
          <w:rFonts w:hint="eastAsia" w:ascii="黑体" w:hAnsi="黑体" w:eastAsia="黑体"/>
          <w:color w:val="auto"/>
          <w:sz w:val="32"/>
          <w:szCs w:val="32"/>
        </w:rPr>
        <w:t>四、一般公共预算财政拨款基本支出决算情况说明</w:t>
      </w:r>
    </w:p>
    <w:p w14:paraId="598345F7">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202</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rPr>
        <w:t>年度一般公共预算财政拨款基本支出</w:t>
      </w:r>
      <w:r>
        <w:rPr>
          <w:rFonts w:hint="eastAsia" w:ascii="仿宋_GB2312" w:hAnsi="宋体" w:eastAsia="仿宋_GB2312"/>
          <w:color w:val="auto"/>
          <w:sz w:val="32"/>
          <w:szCs w:val="32"/>
          <w:lang w:val="en-US" w:eastAsia="zh-CN"/>
        </w:rPr>
        <w:t>390.23</w:t>
      </w:r>
      <w:r>
        <w:rPr>
          <w:rFonts w:hint="eastAsia" w:ascii="仿宋_GB2312" w:hAnsi="宋体" w:eastAsia="仿宋_GB2312"/>
          <w:color w:val="auto"/>
          <w:sz w:val="32"/>
          <w:szCs w:val="32"/>
        </w:rPr>
        <w:t>万元，其中：人员经费</w:t>
      </w:r>
      <w:r>
        <w:rPr>
          <w:rFonts w:hint="eastAsia" w:ascii="仿宋_GB2312" w:hAnsi="宋体" w:eastAsia="仿宋_GB2312"/>
          <w:color w:val="auto"/>
          <w:sz w:val="32"/>
          <w:szCs w:val="32"/>
          <w:lang w:val="en-US" w:eastAsia="zh-CN"/>
        </w:rPr>
        <w:t>337.45</w:t>
      </w:r>
      <w:r>
        <w:rPr>
          <w:rFonts w:hint="eastAsia" w:ascii="仿宋_GB2312" w:hAnsi="宋体" w:eastAsia="仿宋_GB2312"/>
          <w:color w:val="auto"/>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color w:val="auto"/>
          <w:sz w:val="32"/>
          <w:szCs w:val="32"/>
          <w:lang w:val="en-US" w:eastAsia="zh-CN"/>
        </w:rPr>
        <w:t>52.78</w:t>
      </w:r>
      <w:r>
        <w:rPr>
          <w:rFonts w:hint="eastAsia" w:ascii="仿宋_GB2312" w:hAnsi="宋体" w:eastAsia="仿宋_GB2312"/>
          <w:color w:val="auto"/>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01B284B">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color w:val="auto"/>
          <w:sz w:val="32"/>
        </w:rPr>
      </w:pPr>
      <w:r>
        <w:rPr>
          <w:rFonts w:ascii="黑体" w:eastAsia="黑体"/>
          <w:color w:val="auto"/>
          <w:sz w:val="32"/>
        </w:rPr>
        <w:t>五、其他重要事项的情况说明</w:t>
      </w:r>
    </w:p>
    <w:p w14:paraId="028F3F24">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ascii="楷体_GB2312" w:eastAsia="楷体_GB2312"/>
          <w:b/>
          <w:color w:val="auto"/>
          <w:sz w:val="32"/>
        </w:rPr>
      </w:pPr>
      <w:r>
        <w:rPr>
          <w:rFonts w:ascii="楷体_GB2312" w:eastAsia="楷体_GB2312"/>
          <w:b/>
          <w:color w:val="auto"/>
          <w:sz w:val="32"/>
        </w:rPr>
        <w:t>（一）机关运行经费支出情况。</w:t>
      </w:r>
    </w:p>
    <w:p w14:paraId="23604FF2">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2021年度机关运行经费支出</w:t>
      </w:r>
      <w:r>
        <w:rPr>
          <w:rFonts w:hint="eastAsia" w:ascii="仿宋_GB2312" w:eastAsia="仿宋_GB2312"/>
          <w:color w:val="auto"/>
          <w:sz w:val="32"/>
          <w:lang w:val="en-US" w:eastAsia="zh-CN"/>
        </w:rPr>
        <w:t>52.78</w:t>
      </w:r>
      <w:r>
        <w:rPr>
          <w:rFonts w:ascii="仿宋_GB2312" w:eastAsia="仿宋_GB2312"/>
          <w:color w:val="auto"/>
          <w:sz w:val="32"/>
        </w:rPr>
        <w:t>万元，比上年决算数减少</w:t>
      </w:r>
      <w:r>
        <w:rPr>
          <w:rFonts w:hint="eastAsia" w:ascii="仿宋_GB2312" w:eastAsia="仿宋_GB2312"/>
          <w:color w:val="auto"/>
          <w:sz w:val="32"/>
          <w:lang w:val="en-US" w:eastAsia="zh-CN"/>
        </w:rPr>
        <w:t>20.07</w:t>
      </w:r>
      <w:r>
        <w:rPr>
          <w:rFonts w:ascii="仿宋_GB2312" w:eastAsia="仿宋_GB2312"/>
          <w:color w:val="auto"/>
          <w:sz w:val="32"/>
        </w:rPr>
        <w:t>万元，降低</w:t>
      </w:r>
      <w:r>
        <w:rPr>
          <w:rFonts w:hint="eastAsia" w:ascii="仿宋_GB2312" w:eastAsia="仿宋_GB2312"/>
          <w:color w:val="auto"/>
          <w:sz w:val="32"/>
          <w:lang w:val="en-US" w:eastAsia="zh-CN"/>
        </w:rPr>
        <w:t>28</w:t>
      </w:r>
      <w:r>
        <w:rPr>
          <w:rFonts w:ascii="仿宋_GB2312" w:eastAsia="仿宋_GB2312"/>
          <w:color w:val="auto"/>
          <w:sz w:val="32"/>
        </w:rPr>
        <w:t>%，主要原因是</w:t>
      </w:r>
      <w:r>
        <w:rPr>
          <w:rFonts w:hint="eastAsia" w:ascii="仿宋_GB2312" w:eastAsia="仿宋_GB2312"/>
          <w:color w:val="auto"/>
          <w:sz w:val="32"/>
          <w:lang w:eastAsia="zh-CN"/>
        </w:rPr>
        <w:t>上一年补发交通费</w:t>
      </w:r>
      <w:r>
        <w:rPr>
          <w:rFonts w:ascii="仿宋_GB2312" w:eastAsia="仿宋_GB2312"/>
          <w:color w:val="auto"/>
          <w:sz w:val="32"/>
        </w:rPr>
        <w:t>。</w:t>
      </w:r>
    </w:p>
    <w:p w14:paraId="3CFC82BE">
      <w:pPr>
        <w:keepNext w:val="0"/>
        <w:keepLines w:val="0"/>
        <w:pageBreakBefore w:val="0"/>
        <w:kinsoku/>
        <w:wordWrap/>
        <w:overflowPunct/>
        <w:topLinePunct w:val="0"/>
        <w:autoSpaceDE/>
        <w:bidi w:val="0"/>
        <w:adjustRightInd/>
        <w:snapToGrid/>
        <w:spacing w:line="540" w:lineRule="exact"/>
        <w:ind w:firstLine="643" w:firstLineChars="200"/>
        <w:textAlignment w:val="auto"/>
        <w:outlineLvl w:val="2"/>
        <w:rPr>
          <w:rFonts w:hint="eastAsia" w:ascii="仿宋_GB2312" w:hAnsi="仿宋_GB2312" w:eastAsia="仿宋_GB2312" w:cs="仿宋_GB2312"/>
          <w:b/>
          <w:color w:val="auto"/>
          <w:sz w:val="32"/>
          <w:szCs w:val="32"/>
        </w:rPr>
      </w:pPr>
      <w:r>
        <w:rPr>
          <w:rFonts w:hint="eastAsia" w:ascii="楷体_GB2312" w:hAnsi="黑体" w:eastAsia="楷体_GB2312"/>
          <w:b/>
          <w:color w:val="auto"/>
          <w:sz w:val="32"/>
          <w:szCs w:val="32"/>
        </w:rPr>
        <w:t>（二）政府采购支出情况。</w:t>
      </w:r>
    </w:p>
    <w:p w14:paraId="3B12E570">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color w:val="auto"/>
          <w:sz w:val="32"/>
        </w:rPr>
      </w:pPr>
      <w:r>
        <w:rPr>
          <w:rFonts w:ascii="仿宋_GB2312" w:eastAsia="仿宋_GB2312"/>
          <w:color w:val="auto"/>
          <w:sz w:val="32"/>
        </w:rPr>
        <w:t>2021年政府采购支出总额</w:t>
      </w:r>
      <w:r>
        <w:rPr>
          <w:rFonts w:hint="eastAsia" w:ascii="仿宋_GB2312" w:eastAsia="仿宋_GB2312"/>
          <w:color w:val="auto"/>
          <w:sz w:val="32"/>
          <w:lang w:val="en-US" w:eastAsia="zh-CN"/>
        </w:rPr>
        <w:t>0</w:t>
      </w:r>
      <w:r>
        <w:rPr>
          <w:rFonts w:ascii="仿宋_GB2312" w:eastAsia="仿宋_GB2312"/>
          <w:color w:val="auto"/>
          <w:sz w:val="32"/>
        </w:rPr>
        <w:t>万元，其中：政府采购货物支出</w:t>
      </w:r>
      <w:r>
        <w:rPr>
          <w:rFonts w:hint="eastAsia" w:ascii="仿宋_GB2312" w:eastAsia="仿宋_GB2312"/>
          <w:color w:val="auto"/>
          <w:sz w:val="32"/>
          <w:lang w:val="en-US" w:eastAsia="zh-CN"/>
        </w:rPr>
        <w:t>0</w:t>
      </w:r>
      <w:r>
        <w:rPr>
          <w:rFonts w:ascii="仿宋_GB2312" w:eastAsia="仿宋_GB2312"/>
          <w:color w:val="auto"/>
          <w:sz w:val="32"/>
        </w:rPr>
        <w:t>万元，政府采购工程支出</w:t>
      </w:r>
      <w:r>
        <w:rPr>
          <w:rFonts w:hint="eastAsia" w:ascii="仿宋_GB2312" w:eastAsia="仿宋_GB2312"/>
          <w:color w:val="auto"/>
          <w:sz w:val="32"/>
          <w:lang w:val="en-US" w:eastAsia="zh-CN"/>
        </w:rPr>
        <w:t>0</w:t>
      </w:r>
      <w:r>
        <w:rPr>
          <w:rFonts w:ascii="仿宋_GB2312" w:eastAsia="仿宋_GB2312"/>
          <w:color w:val="auto"/>
          <w:sz w:val="32"/>
        </w:rPr>
        <w:t>万元，政府采购服务支出</w:t>
      </w:r>
      <w:r>
        <w:rPr>
          <w:rFonts w:hint="eastAsia" w:ascii="仿宋_GB2312" w:eastAsia="仿宋_GB2312"/>
          <w:color w:val="auto"/>
          <w:sz w:val="32"/>
          <w:lang w:val="en-US" w:eastAsia="zh-CN"/>
        </w:rPr>
        <w:t>0</w:t>
      </w:r>
      <w:r>
        <w:rPr>
          <w:rFonts w:ascii="仿宋_GB2312" w:eastAsia="仿宋_GB2312"/>
          <w:color w:val="auto"/>
          <w:sz w:val="32"/>
        </w:rPr>
        <w:t>万元。授予中小企业合同金额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%，其中：授予小微企业合同金额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%；货物采购授予中小企业合同金额占货物支出金额的</w:t>
      </w:r>
      <w:r>
        <w:rPr>
          <w:rFonts w:hint="eastAsia" w:ascii="仿宋_GB2312" w:eastAsia="仿宋_GB2312"/>
          <w:color w:val="auto"/>
          <w:sz w:val="32"/>
          <w:lang w:val="en-US" w:eastAsia="zh-CN"/>
        </w:rPr>
        <w:t>0</w:t>
      </w:r>
      <w:r>
        <w:rPr>
          <w:rFonts w:ascii="仿宋_GB2312" w:eastAsia="仿宋_GB2312"/>
          <w:color w:val="auto"/>
          <w:sz w:val="32"/>
        </w:rPr>
        <w:t>%；工程采购授予中小企业合同金额占工程支出金额的</w:t>
      </w:r>
      <w:r>
        <w:rPr>
          <w:rFonts w:hint="eastAsia" w:ascii="仿宋_GB2312" w:eastAsia="仿宋_GB2312"/>
          <w:color w:val="auto"/>
          <w:sz w:val="32"/>
          <w:lang w:val="en-US" w:eastAsia="zh-CN"/>
        </w:rPr>
        <w:t>0</w:t>
      </w:r>
      <w:r>
        <w:rPr>
          <w:rFonts w:ascii="仿宋_GB2312" w:eastAsia="仿宋_GB2312"/>
          <w:color w:val="auto"/>
          <w:sz w:val="32"/>
        </w:rPr>
        <w:t>%；服务采购授予中小企业合同金额占服务支出金额的</w:t>
      </w:r>
      <w:r>
        <w:rPr>
          <w:rFonts w:hint="eastAsia" w:ascii="仿宋_GB2312" w:eastAsia="仿宋_GB2312"/>
          <w:color w:val="auto"/>
          <w:sz w:val="32"/>
          <w:lang w:val="en-US" w:eastAsia="zh-CN"/>
        </w:rPr>
        <w:t>0</w:t>
      </w:r>
      <w:r>
        <w:rPr>
          <w:rFonts w:ascii="仿宋_GB2312" w:eastAsia="仿宋_GB2312"/>
          <w:color w:val="auto"/>
          <w:sz w:val="32"/>
        </w:rPr>
        <w:t>%。</w:t>
      </w:r>
    </w:p>
    <w:p w14:paraId="7279E57C">
      <w:pPr>
        <w:keepNext w:val="0"/>
        <w:keepLines w:val="0"/>
        <w:pageBreakBefore w:val="0"/>
        <w:kinsoku/>
        <w:wordWrap/>
        <w:overflowPunct/>
        <w:topLinePunct w:val="0"/>
        <w:autoSpaceDE/>
        <w:bidi w:val="0"/>
        <w:adjustRightInd/>
        <w:snapToGrid/>
        <w:spacing w:line="540" w:lineRule="exact"/>
        <w:ind w:firstLine="643" w:firstLineChars="200"/>
        <w:textAlignment w:val="auto"/>
        <w:outlineLvl w:val="2"/>
        <w:rPr>
          <w:rFonts w:hint="eastAsia" w:ascii="楷体_GB2312" w:hAnsi="黑体" w:eastAsia="楷体_GB2312"/>
          <w:b/>
          <w:color w:val="auto"/>
          <w:sz w:val="32"/>
          <w:szCs w:val="32"/>
        </w:rPr>
      </w:pPr>
      <w:r>
        <w:rPr>
          <w:rFonts w:hint="eastAsia" w:ascii="楷体_GB2312" w:hAnsi="黑体" w:eastAsia="楷体_GB2312"/>
          <w:b/>
          <w:color w:val="auto"/>
          <w:sz w:val="32"/>
          <w:szCs w:val="32"/>
        </w:rPr>
        <w:t>（三）国有资产占用情况。</w:t>
      </w:r>
    </w:p>
    <w:p w14:paraId="20B970C5">
      <w:pPr>
        <w:keepNext w:val="0"/>
        <w:keepLines w:val="0"/>
        <w:pageBreakBefore w:val="0"/>
        <w:kinsoku/>
        <w:wordWrap/>
        <w:overflowPunct/>
        <w:topLinePunct w:val="0"/>
        <w:autoSpaceDE/>
        <w:bidi w:val="0"/>
        <w:adjustRightInd/>
        <w:snapToGrid/>
        <w:spacing w:line="540" w:lineRule="exact"/>
        <w:ind w:firstLine="640" w:firstLineChars="200"/>
        <w:textAlignment w:val="auto"/>
        <w:rPr>
          <w:rFonts w:hint="eastAsia" w:ascii="仿宋_GB2312" w:hAnsi="黑体" w:eastAsia="仿宋_GB2312"/>
          <w:color w:val="auto"/>
          <w:sz w:val="32"/>
          <w:szCs w:val="32"/>
        </w:rPr>
      </w:pPr>
      <w:r>
        <w:rPr>
          <w:rFonts w:hint="eastAsia" w:ascii="仿宋_GB2312" w:hAnsi="黑体" w:eastAsia="仿宋_GB2312"/>
          <w:color w:val="auto"/>
          <w:sz w:val="32"/>
          <w:szCs w:val="32"/>
        </w:rPr>
        <w:t>截至202</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年12月31日，共有车辆0辆，其中：副省级以上领导干部用车0辆，主要</w:t>
      </w:r>
      <w:r>
        <w:rPr>
          <w:rFonts w:ascii="仿宋_GB2312" w:hAnsi="黑体" w:eastAsia="仿宋_GB2312"/>
          <w:color w:val="auto"/>
          <w:sz w:val="32"/>
          <w:szCs w:val="32"/>
        </w:rPr>
        <w:t>领导干部</w:t>
      </w:r>
      <w:r>
        <w:rPr>
          <w:rFonts w:hint="eastAsia" w:ascii="仿宋_GB2312" w:hAnsi="黑体" w:eastAsia="仿宋_GB2312"/>
          <w:color w:val="auto"/>
          <w:sz w:val="32"/>
          <w:szCs w:val="32"/>
        </w:rPr>
        <w:t>用车0辆，机要通讯用车0辆，应急</w:t>
      </w:r>
      <w:r>
        <w:rPr>
          <w:rFonts w:ascii="仿宋_GB2312" w:hAnsi="黑体" w:eastAsia="仿宋_GB2312"/>
          <w:color w:val="auto"/>
          <w:sz w:val="32"/>
          <w:szCs w:val="32"/>
        </w:rPr>
        <w:t>保障用车</w:t>
      </w:r>
      <w:r>
        <w:rPr>
          <w:rFonts w:hint="eastAsia" w:ascii="仿宋_GB2312" w:hAnsi="黑体" w:eastAsia="仿宋_GB2312"/>
          <w:color w:val="auto"/>
          <w:sz w:val="32"/>
          <w:szCs w:val="32"/>
        </w:rPr>
        <w:t>0</w:t>
      </w:r>
      <w:r>
        <w:rPr>
          <w:rFonts w:ascii="仿宋_GB2312" w:hAnsi="黑体" w:eastAsia="仿宋_GB2312"/>
          <w:color w:val="auto"/>
          <w:sz w:val="32"/>
          <w:szCs w:val="32"/>
        </w:rPr>
        <w:t>辆，</w:t>
      </w:r>
      <w:r>
        <w:rPr>
          <w:rFonts w:hint="eastAsia" w:ascii="仿宋_GB2312" w:hAnsi="黑体" w:eastAsia="仿宋_GB2312"/>
          <w:color w:val="auto"/>
          <w:sz w:val="32"/>
          <w:szCs w:val="32"/>
        </w:rPr>
        <w:t>执法执勤</w:t>
      </w:r>
      <w:r>
        <w:rPr>
          <w:rFonts w:ascii="仿宋_GB2312" w:hAnsi="黑体" w:eastAsia="仿宋_GB2312"/>
          <w:color w:val="auto"/>
          <w:sz w:val="32"/>
          <w:szCs w:val="32"/>
        </w:rPr>
        <w:t>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特种专业技术用车0辆，离退休</w:t>
      </w:r>
      <w:r>
        <w:rPr>
          <w:rFonts w:ascii="仿宋_GB2312" w:hAnsi="黑体" w:eastAsia="仿宋_GB2312"/>
          <w:color w:val="auto"/>
          <w:sz w:val="32"/>
          <w:szCs w:val="32"/>
        </w:rPr>
        <w:t>干部用车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其他用车0辆。；单位价值50万元以上通用设备0台（套），单价100万元以上专用设备0台（套）。</w:t>
      </w:r>
    </w:p>
    <w:p w14:paraId="37BA3EC9">
      <w:pPr>
        <w:keepNext w:val="0"/>
        <w:keepLines w:val="0"/>
        <w:pageBreakBefore w:val="0"/>
        <w:widowControl/>
        <w:numPr>
          <w:ilvl w:val="0"/>
          <w:numId w:val="5"/>
        </w:numPr>
        <w:kinsoku/>
        <w:wordWrap/>
        <w:overflowPunct/>
        <w:topLinePunct w:val="0"/>
        <w:autoSpaceDE/>
        <w:bidi w:val="0"/>
        <w:adjustRightInd/>
        <w:snapToGrid/>
        <w:spacing w:line="540" w:lineRule="exact"/>
        <w:ind w:firstLine="643" w:firstLineChars="200"/>
        <w:jc w:val="left"/>
        <w:textAlignment w:val="auto"/>
        <w:outlineLvl w:val="2"/>
        <w:rPr>
          <w:rFonts w:ascii="楷体_GB2312" w:hAnsi="宋体" w:eastAsia="楷体_GB2312" w:cs="楷体_GB2312"/>
          <w:b/>
          <w:color w:val="auto"/>
          <w:sz w:val="32"/>
          <w:szCs w:val="32"/>
          <w:lang w:bidi="ar"/>
        </w:rPr>
      </w:pPr>
      <w:r>
        <w:rPr>
          <w:rFonts w:ascii="楷体_GB2312" w:hAnsi="宋体" w:eastAsia="楷体_GB2312" w:cs="楷体_GB2312"/>
          <w:b/>
          <w:color w:val="auto"/>
          <w:sz w:val="32"/>
          <w:szCs w:val="32"/>
          <w:lang w:bidi="ar"/>
        </w:rPr>
        <w:t>预算绩效管理工作开展情况。</w:t>
      </w:r>
    </w:p>
    <w:p w14:paraId="3BFC8D28">
      <w:pPr>
        <w:keepNext w:val="0"/>
        <w:keepLines w:val="0"/>
        <w:pageBreakBefore w:val="0"/>
        <w:widowControl/>
        <w:kinsoku/>
        <w:wordWrap/>
        <w:overflowPunct/>
        <w:topLinePunct w:val="0"/>
        <w:autoSpaceDE/>
        <w:bidi w:val="0"/>
        <w:adjustRightInd/>
        <w:snapToGrid/>
        <w:spacing w:line="540" w:lineRule="exact"/>
        <w:ind w:firstLine="640" w:firstLineChars="200"/>
        <w:jc w:val="left"/>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202</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年沈阳市浑南区财政局不涉及民生项目和重点支出项目</w:t>
      </w:r>
      <w:r>
        <w:rPr>
          <w:rFonts w:hint="eastAsia" w:ascii="仿宋_GB2312" w:hAnsi="黑体" w:eastAsia="仿宋_GB2312"/>
          <w:color w:val="auto"/>
          <w:sz w:val="32"/>
          <w:szCs w:val="32"/>
          <w:lang w:eastAsia="zh-CN"/>
        </w:rPr>
        <w:t>，因此本年未开展绩效自评及部门评价。</w:t>
      </w:r>
    </w:p>
    <w:p w14:paraId="2FE2F5DC">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ascii="楷体_GB2312" w:eastAsia="楷体_GB2312"/>
          <w:b/>
          <w:color w:val="auto"/>
          <w:sz w:val="32"/>
        </w:rPr>
      </w:pPr>
    </w:p>
    <w:p w14:paraId="407BDF53">
      <w:pPr>
        <w:pStyle w:val="9"/>
        <w:keepNext w:val="0"/>
        <w:keepLines w:val="0"/>
        <w:pageBreakBefore w:val="0"/>
        <w:numPr>
          <w:ilvl w:val="0"/>
          <w:numId w:val="6"/>
        </w:numPr>
        <w:kinsoku/>
        <w:wordWrap/>
        <w:overflowPunct/>
        <w:topLinePunct w:val="0"/>
        <w:autoSpaceDE/>
        <w:autoSpaceDN w:val="0"/>
        <w:bidi w:val="0"/>
        <w:adjustRightInd/>
        <w:snapToGrid/>
        <w:spacing w:line="560" w:lineRule="exact"/>
        <w:ind w:firstLine="723" w:firstLineChars="200"/>
        <w:jc w:val="center"/>
        <w:textAlignment w:val="auto"/>
        <w:rPr>
          <w:rFonts w:hint="eastAsia"/>
          <w:b/>
          <w:bCs/>
          <w:color w:val="auto"/>
          <w:sz w:val="36"/>
          <w:szCs w:val="36"/>
        </w:rPr>
      </w:pPr>
      <w:r>
        <w:rPr>
          <w:rFonts w:hint="eastAsia"/>
          <w:b/>
          <w:bCs/>
          <w:color w:val="auto"/>
          <w:sz w:val="36"/>
          <w:szCs w:val="36"/>
        </w:rPr>
        <w:t>名词解释</w:t>
      </w:r>
    </w:p>
    <w:p w14:paraId="3FC2C13A">
      <w:pPr>
        <w:pStyle w:val="9"/>
        <w:keepNext w:val="0"/>
        <w:keepLines w:val="0"/>
        <w:pageBreakBefore w:val="0"/>
        <w:numPr>
          <w:ilvl w:val="0"/>
          <w:numId w:val="0"/>
        </w:numPr>
        <w:kinsoku/>
        <w:wordWrap/>
        <w:overflowPunct/>
        <w:topLinePunct w:val="0"/>
        <w:autoSpaceDE/>
        <w:autoSpaceDN w:val="0"/>
        <w:bidi w:val="0"/>
        <w:adjustRightInd/>
        <w:snapToGrid/>
        <w:spacing w:line="560" w:lineRule="exact"/>
        <w:ind w:firstLine="723" w:firstLineChars="200"/>
        <w:textAlignment w:val="auto"/>
        <w:rPr>
          <w:rFonts w:hint="eastAsia"/>
          <w:b/>
          <w:bCs/>
          <w:color w:val="auto"/>
          <w:sz w:val="36"/>
          <w:szCs w:val="36"/>
        </w:rPr>
      </w:pPr>
    </w:p>
    <w:p w14:paraId="26DD1A52">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b/>
          <w:color w:val="auto"/>
          <w:sz w:val="32"/>
        </w:rPr>
      </w:pPr>
      <w:r>
        <w:rPr>
          <w:rFonts w:ascii="仿宋_GB2312" w:eastAsia="仿宋_GB2312"/>
          <w:b/>
          <w:color w:val="auto"/>
          <w:sz w:val="32"/>
        </w:rPr>
        <w:t>1.财政拨款收入：</w:t>
      </w:r>
      <w:r>
        <w:rPr>
          <w:rFonts w:ascii="仿宋_GB2312" w:eastAsia="仿宋_GB2312"/>
          <w:color w:val="auto"/>
          <w:sz w:val="32"/>
        </w:rPr>
        <w:t>指单位从同级财政部门取得的财政预算资金。</w:t>
      </w:r>
    </w:p>
    <w:p w14:paraId="27A90AAA">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2.上级补助收入：</w:t>
      </w:r>
      <w:r>
        <w:rPr>
          <w:rFonts w:ascii="仿宋_GB2312" w:eastAsia="仿宋_GB2312"/>
          <w:color w:val="auto"/>
          <w:sz w:val="32"/>
        </w:rPr>
        <w:t>指单位从主管部门和上级单位取得的非财政性补助收入。</w:t>
      </w:r>
    </w:p>
    <w:p w14:paraId="246F92D3">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3.事业收入：</w:t>
      </w:r>
      <w:r>
        <w:rPr>
          <w:rFonts w:ascii="仿宋_GB2312" w:eastAsia="仿宋_GB2312"/>
          <w:color w:val="auto"/>
          <w:sz w:val="32"/>
        </w:rPr>
        <w:t>指事业单位开展专业业务活动及辅助活动所取得的收入。</w:t>
      </w:r>
    </w:p>
    <w:p w14:paraId="20607E3F">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4.经营收入：</w:t>
      </w:r>
      <w:r>
        <w:rPr>
          <w:rFonts w:ascii="仿宋_GB2312" w:eastAsia="仿宋_GB2312"/>
          <w:color w:val="auto"/>
          <w:sz w:val="32"/>
        </w:rPr>
        <w:t>指事业单位在专业业务活动及辅助活动之外开展非独立核算经营活动取得的收入。</w:t>
      </w:r>
    </w:p>
    <w:p w14:paraId="130690A2">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5.附属单位上缴收入：</w:t>
      </w:r>
      <w:r>
        <w:rPr>
          <w:rFonts w:ascii="仿宋_GB2312" w:eastAsia="仿宋_GB2312"/>
          <w:color w:val="auto"/>
          <w:sz w:val="32"/>
        </w:rPr>
        <w:t>指单位附属的独立核算单位按照规定上缴的收入。</w:t>
      </w:r>
    </w:p>
    <w:p w14:paraId="12B99D4B">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6.其他收入：</w:t>
      </w:r>
      <w:r>
        <w:rPr>
          <w:rFonts w:ascii="仿宋_GB2312" w:eastAsia="仿宋_GB2312"/>
          <w:color w:val="auto"/>
          <w:sz w:val="32"/>
        </w:rPr>
        <w:t>指除上述“财政拨款收入”、</w:t>
      </w:r>
      <w:r>
        <w:rPr>
          <w:rFonts w:ascii="仿宋_GB2312" w:eastAsia="仿宋_GB2312"/>
          <w:b/>
          <w:color w:val="auto"/>
          <w:sz w:val="32"/>
        </w:rPr>
        <w:t xml:space="preserve"> </w:t>
      </w:r>
      <w:r>
        <w:rPr>
          <w:rFonts w:ascii="仿宋_GB2312" w:eastAsia="仿宋_GB2312"/>
          <w:color w:val="auto"/>
          <w:sz w:val="32"/>
        </w:rPr>
        <w:t>“上级补助收入”、“事业收入”、“经营收入”、“附属单位上缴收入”等以外的收入。</w:t>
      </w:r>
    </w:p>
    <w:p w14:paraId="1EEF522C">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7.使用非财政拨款结余：</w:t>
      </w:r>
      <w:r>
        <w:rPr>
          <w:rFonts w:ascii="仿宋_GB2312" w:eastAsia="仿宋_GB2312"/>
          <w:color w:val="auto"/>
          <w:sz w:val="32"/>
        </w:rPr>
        <w:t>指事业单位按照预算管理要求使用非财政拨款结余弥补收支差额的金额。。</w:t>
      </w:r>
    </w:p>
    <w:p w14:paraId="13F3B9CA">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8.上年结转和结余：</w:t>
      </w:r>
      <w:r>
        <w:rPr>
          <w:rFonts w:ascii="仿宋_GB2312" w:eastAsia="仿宋_GB2312"/>
          <w:color w:val="auto"/>
          <w:sz w:val="32"/>
        </w:rPr>
        <w:t>指以前年度尚未完成、结转到本年按有关规定继续使用的资金。</w:t>
      </w:r>
    </w:p>
    <w:p w14:paraId="5E11F1CF">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9.基本支出：</w:t>
      </w:r>
      <w:r>
        <w:rPr>
          <w:rFonts w:ascii="仿宋_GB2312" w:eastAsia="仿宋_GB2312"/>
          <w:color w:val="auto"/>
          <w:sz w:val="32"/>
        </w:rPr>
        <w:t>指保障机构正常运转、完成日常工作任务而发生的人员支出和公用支出。</w:t>
      </w:r>
    </w:p>
    <w:p w14:paraId="71D40953">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10.项目支出：</w:t>
      </w:r>
      <w:r>
        <w:rPr>
          <w:rFonts w:ascii="仿宋_GB2312" w:eastAsia="仿宋_GB2312"/>
          <w:color w:val="auto"/>
          <w:sz w:val="32"/>
        </w:rPr>
        <w:t>指在基本支出之外为完成特定行政任务和事业发展目标所发生的支出。</w:t>
      </w:r>
    </w:p>
    <w:p w14:paraId="1E698B43">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11.上缴上级支出：</w:t>
      </w:r>
      <w:r>
        <w:rPr>
          <w:rFonts w:ascii="仿宋_GB2312" w:eastAsia="仿宋_GB2312"/>
          <w:color w:val="auto"/>
          <w:sz w:val="32"/>
        </w:rPr>
        <w:t>指事业单位按照财政部门和主管部门的规定上缴上级单位的支出。</w:t>
      </w:r>
    </w:p>
    <w:p w14:paraId="6C7B1C23">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12.经营支出：</w:t>
      </w:r>
      <w:r>
        <w:rPr>
          <w:rFonts w:ascii="仿宋_GB2312" w:eastAsia="仿宋_GB2312"/>
          <w:color w:val="auto"/>
          <w:sz w:val="32"/>
        </w:rPr>
        <w:t>指事业单位在专业活动及辅助活动之外开展非独立核算经营活动发生的支出。</w:t>
      </w:r>
    </w:p>
    <w:p w14:paraId="43817E1D">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b/>
          <w:color w:val="auto"/>
          <w:sz w:val="32"/>
        </w:rPr>
      </w:pPr>
      <w:r>
        <w:rPr>
          <w:rFonts w:ascii="仿宋_GB2312" w:eastAsia="仿宋_GB2312"/>
          <w:b/>
          <w:color w:val="auto"/>
          <w:sz w:val="32"/>
        </w:rPr>
        <w:t>13.对附属单位补助支出：</w:t>
      </w:r>
      <w:r>
        <w:rPr>
          <w:rFonts w:ascii="仿宋_GB2312" w:eastAsia="仿宋_GB2312"/>
          <w:color w:val="auto"/>
          <w:sz w:val="32"/>
        </w:rPr>
        <w:t>指事业单位用财政补助收入之外的收入对附属单位补助发生的支出。</w:t>
      </w:r>
    </w:p>
    <w:p w14:paraId="42F23DBD">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rPr>
      </w:pPr>
      <w:r>
        <w:rPr>
          <w:rFonts w:ascii="仿宋_GB2312" w:eastAsia="仿宋_GB2312"/>
          <w:b/>
          <w:color w:val="auto"/>
          <w:sz w:val="32"/>
        </w:rPr>
        <w:t>14.“三公”经费：</w:t>
      </w:r>
      <w:r>
        <w:rPr>
          <w:rFonts w:ascii="仿宋_GB2312" w:eastAsia="仿宋_GB2312"/>
          <w:color w:val="auto"/>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B52E17F">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color w:val="auto"/>
          <w:sz w:val="32"/>
          <w:szCs w:val="32"/>
        </w:rPr>
      </w:pPr>
      <w:r>
        <w:rPr>
          <w:rFonts w:ascii="仿宋_GB2312" w:eastAsia="仿宋_GB2312"/>
          <w:b/>
          <w:bCs/>
          <w:color w:val="auto"/>
          <w:sz w:val="32"/>
        </w:rPr>
        <w:t>15.机关运行经费：</w:t>
      </w:r>
      <w:r>
        <w:rPr>
          <w:rFonts w:ascii="仿宋_GB2312" w:eastAsia="仿宋_GB2312"/>
          <w:color w:val="auto"/>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8C9F6C7">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仿宋_GB2312" w:eastAsia="仿宋_GB2312"/>
          <w:b/>
          <w:color w:val="auto"/>
          <w:sz w:val="32"/>
        </w:rPr>
      </w:pPr>
      <w:r>
        <w:rPr>
          <w:rFonts w:ascii="仿宋_GB2312" w:eastAsia="仿宋_GB2312"/>
          <w:b/>
          <w:color w:val="auto"/>
          <w:sz w:val="32"/>
        </w:rPr>
        <w:t>16.一般公共服务（类）财政事务（款）行政运行（项）：</w:t>
      </w:r>
      <w:r>
        <w:rPr>
          <w:rFonts w:ascii="仿宋_GB2312" w:eastAsia="仿宋_GB2312"/>
          <w:color w:val="auto"/>
          <w:sz w:val="32"/>
        </w:rPr>
        <w:t>反映行政单位（包括实行公务员管理的事业单位）的基本支出。</w:t>
      </w:r>
    </w:p>
    <w:p w14:paraId="2F6B6122">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i/>
          <w:color w:val="auto"/>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5955A0F9">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i/>
          <w:color w:val="auto"/>
          <w:sz w:val="32"/>
          <w:u w:val="single"/>
        </w:rPr>
      </w:pPr>
    </w:p>
    <w:p w14:paraId="46EDFCF4">
      <w:pPr>
        <w:pStyle w:val="6"/>
        <w:keepNext w:val="0"/>
        <w:keepLines w:val="0"/>
        <w:pageBreakBefore w:val="0"/>
        <w:kinsoku/>
        <w:wordWrap/>
        <w:overflowPunct/>
        <w:topLinePunct w:val="0"/>
        <w:autoSpaceDE/>
        <w:bidi w:val="0"/>
        <w:adjustRightInd/>
        <w:snapToGrid/>
        <w:spacing w:line="560" w:lineRule="atLeast"/>
        <w:ind w:firstLine="1044" w:firstLineChars="200"/>
        <w:jc w:val="left"/>
        <w:textAlignment w:val="auto"/>
        <w:rPr>
          <w:rFonts w:hint="default" w:ascii="仿宋_GB2312" w:hAnsi="仿宋_GB2312" w:eastAsia="仿宋_GB2312" w:cs="仿宋_GB2312"/>
          <w:b/>
          <w:color w:val="auto"/>
          <w:sz w:val="52"/>
          <w:szCs w:val="52"/>
        </w:rPr>
      </w:pPr>
    </w:p>
    <w:p w14:paraId="07C5267F">
      <w:pPr>
        <w:pStyle w:val="6"/>
        <w:keepNext w:val="0"/>
        <w:keepLines w:val="0"/>
        <w:pageBreakBefore w:val="0"/>
        <w:kinsoku/>
        <w:wordWrap/>
        <w:overflowPunct/>
        <w:topLinePunct w:val="0"/>
        <w:autoSpaceDE/>
        <w:bidi w:val="0"/>
        <w:adjustRightInd/>
        <w:snapToGrid/>
        <w:spacing w:line="560" w:lineRule="atLeast"/>
        <w:ind w:firstLine="1044" w:firstLineChars="200"/>
        <w:jc w:val="left"/>
        <w:textAlignment w:val="auto"/>
        <w:rPr>
          <w:rFonts w:hint="default" w:ascii="仿宋_GB2312" w:hAnsi="仿宋_GB2312" w:eastAsia="仿宋_GB2312" w:cs="仿宋_GB2312"/>
          <w:b/>
          <w:color w:val="auto"/>
          <w:sz w:val="52"/>
          <w:szCs w:val="52"/>
        </w:rPr>
      </w:pPr>
    </w:p>
    <w:p w14:paraId="666FD176">
      <w:pPr>
        <w:pStyle w:val="6"/>
        <w:keepNext w:val="0"/>
        <w:keepLines w:val="0"/>
        <w:pageBreakBefore w:val="0"/>
        <w:kinsoku/>
        <w:wordWrap/>
        <w:overflowPunct/>
        <w:topLinePunct w:val="0"/>
        <w:autoSpaceDE/>
        <w:bidi w:val="0"/>
        <w:adjustRightInd/>
        <w:snapToGrid/>
        <w:spacing w:line="560" w:lineRule="atLeast"/>
        <w:ind w:firstLine="1044" w:firstLineChars="200"/>
        <w:jc w:val="left"/>
        <w:textAlignment w:val="auto"/>
        <w:rPr>
          <w:rFonts w:hint="default" w:ascii="仿宋_GB2312" w:hAnsi="仿宋_GB2312" w:eastAsia="仿宋_GB2312" w:cs="仿宋_GB2312"/>
          <w:b/>
          <w:color w:val="auto"/>
          <w:sz w:val="52"/>
          <w:szCs w:val="52"/>
        </w:rPr>
      </w:pPr>
    </w:p>
    <w:p w14:paraId="7C0B0939">
      <w:pPr>
        <w:keepNext w:val="0"/>
        <w:keepLines w:val="0"/>
        <w:pageBreakBefore w:val="0"/>
        <w:kinsoku/>
        <w:wordWrap/>
        <w:overflowPunct/>
        <w:topLinePunct w:val="0"/>
        <w:autoSpaceDE/>
        <w:bidi w:val="0"/>
        <w:adjustRightInd/>
        <w:snapToGrid/>
        <w:spacing w:line="540" w:lineRule="exact"/>
        <w:ind w:firstLine="723" w:firstLineChars="200"/>
        <w:jc w:val="center"/>
        <w:textAlignment w:val="auto"/>
        <w:rPr>
          <w:rFonts w:hint="eastAsia" w:ascii="宋体" w:hAnsi="宋体"/>
          <w:b/>
          <w:color w:val="auto"/>
          <w:sz w:val="36"/>
          <w:szCs w:val="36"/>
        </w:rPr>
      </w:pPr>
    </w:p>
    <w:p w14:paraId="546E620C">
      <w:pPr>
        <w:keepNext w:val="0"/>
        <w:keepLines w:val="0"/>
        <w:pageBreakBefore w:val="0"/>
        <w:kinsoku/>
        <w:wordWrap/>
        <w:overflowPunct/>
        <w:topLinePunct w:val="0"/>
        <w:autoSpaceDE/>
        <w:bidi w:val="0"/>
        <w:adjustRightInd/>
        <w:snapToGrid/>
        <w:spacing w:line="540" w:lineRule="exact"/>
        <w:ind w:firstLine="1044" w:firstLineChars="200"/>
        <w:jc w:val="center"/>
        <w:textAlignment w:val="auto"/>
        <w:outlineLvl w:val="0"/>
        <w:rPr>
          <w:rFonts w:hint="eastAsia" w:ascii="仿宋_GB2312" w:eastAsia="仿宋_GB2312"/>
          <w:color w:val="auto"/>
          <w:sz w:val="52"/>
          <w:szCs w:val="52"/>
        </w:rPr>
      </w:pPr>
      <w:r>
        <w:rPr>
          <w:rFonts w:hint="eastAsia" w:ascii="宋体" w:hAnsi="宋体"/>
          <w:b/>
          <w:color w:val="auto"/>
          <w:sz w:val="52"/>
          <w:szCs w:val="52"/>
        </w:rPr>
        <w:t>第四部分 浑南区财政局202</w:t>
      </w:r>
      <w:r>
        <w:rPr>
          <w:rFonts w:hint="eastAsia" w:ascii="宋体" w:hAnsi="宋体"/>
          <w:b/>
          <w:color w:val="auto"/>
          <w:sz w:val="52"/>
          <w:szCs w:val="52"/>
          <w:lang w:val="en-US" w:eastAsia="zh-CN"/>
        </w:rPr>
        <w:t>1</w:t>
      </w:r>
      <w:r>
        <w:rPr>
          <w:rFonts w:hint="eastAsia" w:ascii="宋体" w:hAnsi="宋体"/>
          <w:b/>
          <w:color w:val="auto"/>
          <w:sz w:val="52"/>
          <w:szCs w:val="52"/>
        </w:rPr>
        <w:t>年度决算表</w:t>
      </w:r>
    </w:p>
    <w:p w14:paraId="3B82BBCA">
      <w:pPr>
        <w:keepNext w:val="0"/>
        <w:keepLines w:val="0"/>
        <w:pageBreakBefore w:val="0"/>
        <w:kinsoku/>
        <w:wordWrap/>
        <w:overflowPunct/>
        <w:topLinePunct w:val="0"/>
        <w:autoSpaceDE/>
        <w:bidi w:val="0"/>
        <w:adjustRightInd/>
        <w:snapToGrid/>
        <w:ind w:firstLine="640" w:firstLineChars="200"/>
        <w:textAlignment w:val="auto"/>
        <w:rPr>
          <w:rFonts w:hint="default" w:ascii="仿宋_GB2312" w:hAnsi="宋体" w:eastAsia="仿宋_GB2312"/>
          <w:color w:val="auto"/>
          <w:kern w:val="0"/>
          <w:sz w:val="32"/>
        </w:rPr>
      </w:pPr>
    </w:p>
    <w:p w14:paraId="1C6FBFF6">
      <w:pPr>
        <w:keepNext w:val="0"/>
        <w:keepLines w:val="0"/>
        <w:pageBreakBefore w:val="0"/>
        <w:kinsoku/>
        <w:wordWrap/>
        <w:overflowPunct/>
        <w:topLinePunct w:val="0"/>
        <w:autoSpaceDE/>
        <w:bidi w:val="0"/>
        <w:adjustRightInd/>
        <w:snapToGrid/>
        <w:ind w:firstLine="640" w:firstLineChars="200"/>
        <w:textAlignment w:val="auto"/>
        <w:rPr>
          <w:rFonts w:hint="default" w:ascii="仿宋_GB2312" w:hAnsi="宋体" w:eastAsia="仿宋_GB2312"/>
          <w:color w:val="auto"/>
          <w:kern w:val="0"/>
          <w:sz w:val="32"/>
        </w:rPr>
      </w:pPr>
    </w:p>
    <w:p w14:paraId="6C555E01">
      <w:pPr>
        <w:keepNext w:val="0"/>
        <w:keepLines w:val="0"/>
        <w:pageBreakBefore w:val="0"/>
        <w:kinsoku/>
        <w:wordWrap/>
        <w:overflowPunct/>
        <w:topLinePunct w:val="0"/>
        <w:autoSpaceDE/>
        <w:bidi w:val="0"/>
        <w:adjustRightInd/>
        <w:snapToGrid/>
        <w:ind w:firstLine="640" w:firstLineChars="200"/>
        <w:textAlignment w:val="auto"/>
        <w:rPr>
          <w:rFonts w:hint="default" w:ascii="仿宋_GB2312" w:hAnsi="宋体" w:eastAsia="仿宋_GB2312"/>
          <w:color w:val="auto"/>
          <w:kern w:val="0"/>
          <w:sz w:val="32"/>
        </w:rPr>
      </w:pPr>
    </w:p>
    <w:p w14:paraId="05F2B5E0">
      <w:pPr>
        <w:keepNext w:val="0"/>
        <w:keepLines w:val="0"/>
        <w:pageBreakBefore w:val="0"/>
        <w:kinsoku/>
        <w:wordWrap/>
        <w:overflowPunct/>
        <w:topLinePunct w:val="0"/>
        <w:autoSpaceDE/>
        <w:bidi w:val="0"/>
        <w:adjustRightInd/>
        <w:snapToGrid/>
        <w:ind w:firstLine="640" w:firstLineChars="200"/>
        <w:textAlignment w:val="auto"/>
        <w:rPr>
          <w:rFonts w:hint="default" w:ascii="仿宋_GB2312" w:hAnsi="宋体" w:eastAsia="仿宋_GB2312"/>
          <w:color w:val="auto"/>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7B08B">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B9A21">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491DD">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87B2C">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B2CE5">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3C5C3">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21FC"/>
    <w:multiLevelType w:val="singleLevel"/>
    <w:tmpl w:val="9D5F21FC"/>
    <w:lvl w:ilvl="0" w:tentative="0">
      <w:start w:val="2"/>
      <w:numFmt w:val="chineseCounting"/>
      <w:suff w:val="nothing"/>
      <w:lvlText w:val="（%1）"/>
      <w:lvlJc w:val="left"/>
      <w:rPr>
        <w:rFonts w:hint="eastAsia"/>
      </w:rPr>
    </w:lvl>
  </w:abstractNum>
  <w:abstractNum w:abstractNumId="1">
    <w:nsid w:val="AE6025A2"/>
    <w:multiLevelType w:val="singleLevel"/>
    <w:tmpl w:val="AE6025A2"/>
    <w:lvl w:ilvl="0" w:tentative="0">
      <w:start w:val="3"/>
      <w:numFmt w:val="chineseCounting"/>
      <w:suff w:val="space"/>
      <w:lvlText w:val="第%1部分"/>
      <w:lvlJc w:val="left"/>
      <w:rPr>
        <w:rFonts w:hint="eastAsia"/>
      </w:rPr>
    </w:lvl>
  </w:abstractNum>
  <w:abstractNum w:abstractNumId="2">
    <w:nsid w:val="D137DBC1"/>
    <w:multiLevelType w:val="singleLevel"/>
    <w:tmpl w:val="D137DBC1"/>
    <w:lvl w:ilvl="0" w:tentative="0">
      <w:start w:val="2"/>
      <w:numFmt w:val="chineseCounting"/>
      <w:suff w:val="nothing"/>
      <w:lvlText w:val="%1、"/>
      <w:lvlJc w:val="left"/>
      <w:rPr>
        <w:rFonts w:hint="eastAsia"/>
      </w:rPr>
    </w:lvl>
  </w:abstractNum>
  <w:abstractNum w:abstractNumId="3">
    <w:nsid w:val="4CD645D6"/>
    <w:multiLevelType w:val="singleLevel"/>
    <w:tmpl w:val="4CD645D6"/>
    <w:lvl w:ilvl="0" w:tentative="0">
      <w:start w:val="2"/>
      <w:numFmt w:val="chineseCounting"/>
      <w:suff w:val="nothing"/>
      <w:lvlText w:val="（%1）"/>
      <w:lvlJc w:val="left"/>
      <w:rPr>
        <w:rFonts w:hint="eastAsia"/>
      </w:rPr>
    </w:lvl>
  </w:abstractNum>
  <w:abstractNum w:abstractNumId="4">
    <w:nsid w:val="5D5889DE"/>
    <w:multiLevelType w:val="singleLevel"/>
    <w:tmpl w:val="5D5889DE"/>
    <w:lvl w:ilvl="0" w:tentative="0">
      <w:start w:val="4"/>
      <w:numFmt w:val="chineseCounting"/>
      <w:suff w:val="nothing"/>
      <w:lvlText w:val="（%1）"/>
      <w:lvlJc w:val="left"/>
      <w:rPr>
        <w:rFonts w:hint="eastAsia"/>
      </w:rPr>
    </w:lvl>
  </w:abstractNum>
  <w:abstractNum w:abstractNumId="5">
    <w:nsid w:val="60DC7053"/>
    <w:multiLevelType w:val="singleLevel"/>
    <w:tmpl w:val="60DC7053"/>
    <w:lvl w:ilvl="0" w:tentative="0">
      <w:start w:val="4"/>
      <w:numFmt w:val="chineseCounting"/>
      <w:suff w:val="nothing"/>
      <w:lvlText w:val="（%1）"/>
      <w:lvlJc w:val="left"/>
      <w:rPr>
        <w:rFonts w:hint="eastAsia"/>
      </w:r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4C54E4"/>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C635C29"/>
    <w:rsid w:val="1CCD0581"/>
    <w:rsid w:val="2E4F6256"/>
    <w:rsid w:val="36230505"/>
    <w:rsid w:val="37201D44"/>
    <w:rsid w:val="3FEA57C0"/>
    <w:rsid w:val="41B741F2"/>
    <w:rsid w:val="43DB2BDD"/>
    <w:rsid w:val="54F6469B"/>
    <w:rsid w:val="5B697371"/>
    <w:rsid w:val="62C831CE"/>
    <w:rsid w:val="673C6F2C"/>
    <w:rsid w:val="6EC610E6"/>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5868</Words>
  <Characters>6342</Characters>
  <Lines>37</Lines>
  <Paragraphs>10</Paragraphs>
  <TotalTime>0</TotalTime>
  <ScaleCrop>false</ScaleCrop>
  <LinksUpToDate>false</LinksUpToDate>
  <CharactersWithSpaces>6389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2025-03-14T06:20:27Z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9AF20C20842A4E8A8216BFE08C19B59B_13</vt:lpwstr>
  </property>
  <property fmtid="{D5CDD505-2E9C-101B-9397-08002B2CF9AE}" pid="4" name="KSOTemplateDocerSaveRecord">
    <vt:lpwstr>eyJoZGlkIjoiNzZiZTQ3ZmI1OTFmODUzNzgwMGRlNDBmMWZiZDQzMjEiLCJ1c2VySWQiOiIyMzQ0MjI2NjQifQ==</vt:lpwstr>
  </property>
</Properties>
</file>