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5F55C">
      <w:pPr>
        <w:pStyle w:val="6"/>
        <w:rPr>
          <w:rFonts w:hint="default" w:ascii="黑体" w:eastAsia="黑体"/>
          <w:sz w:val="32"/>
        </w:rPr>
      </w:pPr>
      <w:r>
        <w:rPr>
          <w:rFonts w:ascii="黑体" w:eastAsia="黑体"/>
          <w:sz w:val="32"/>
        </w:rPr>
        <w:t>附件2</w:t>
      </w:r>
    </w:p>
    <w:p w14:paraId="07198AB4">
      <w:pPr>
        <w:pStyle w:val="6"/>
        <w:rPr>
          <w:rFonts w:hint="default"/>
          <w:b/>
          <w:sz w:val="44"/>
        </w:rPr>
      </w:pPr>
    </w:p>
    <w:p w14:paraId="4767474C">
      <w:pPr>
        <w:pStyle w:val="6"/>
        <w:rPr>
          <w:rFonts w:hint="default"/>
          <w:b/>
          <w:sz w:val="44"/>
        </w:rPr>
      </w:pPr>
    </w:p>
    <w:p w14:paraId="35425330">
      <w:pPr>
        <w:pStyle w:val="6"/>
        <w:rPr>
          <w:rFonts w:hint="default"/>
          <w:b/>
          <w:sz w:val="44"/>
        </w:rPr>
      </w:pPr>
    </w:p>
    <w:p w14:paraId="0468F470">
      <w:pPr>
        <w:pStyle w:val="6"/>
        <w:rPr>
          <w:rFonts w:hint="default"/>
          <w:b/>
          <w:sz w:val="44"/>
        </w:rPr>
      </w:pPr>
    </w:p>
    <w:p w14:paraId="39E55FF7">
      <w:pPr>
        <w:pStyle w:val="6"/>
        <w:rPr>
          <w:rFonts w:hint="default"/>
          <w:b/>
          <w:sz w:val="44"/>
        </w:rPr>
      </w:pPr>
    </w:p>
    <w:p w14:paraId="24560498">
      <w:pPr>
        <w:pStyle w:val="6"/>
        <w:rPr>
          <w:rFonts w:hint="default"/>
          <w:b/>
          <w:sz w:val="44"/>
        </w:rPr>
      </w:pPr>
    </w:p>
    <w:p w14:paraId="1C25E5D5">
      <w:pPr>
        <w:spacing w:line="540" w:lineRule="exact"/>
        <w:jc w:val="center"/>
        <w:rPr>
          <w:rFonts w:hint="eastAsia" w:ascii="宋体" w:hAnsi="宋体"/>
          <w:b/>
          <w:sz w:val="52"/>
          <w:szCs w:val="52"/>
        </w:rPr>
      </w:pPr>
      <w:r>
        <w:rPr>
          <w:rFonts w:hint="eastAsia" w:ascii="宋体" w:hAnsi="宋体"/>
          <w:b/>
          <w:sz w:val="52"/>
          <w:szCs w:val="52"/>
        </w:rPr>
        <w:t>沈阳高新技术产业开发区总工会</w:t>
      </w:r>
    </w:p>
    <w:p w14:paraId="292B575C">
      <w:pPr>
        <w:pStyle w:val="6"/>
        <w:jc w:val="center"/>
        <w:rPr>
          <w:rFonts w:hint="default" w:ascii="仿宋_GB2312" w:eastAsia="仿宋_GB2312"/>
          <w:b/>
          <w:sz w:val="52"/>
        </w:rPr>
      </w:pPr>
      <w:r>
        <w:rPr>
          <w:rFonts w:hint="eastAsia" w:ascii="宋体" w:hAnsi="宋体"/>
          <w:b/>
          <w:sz w:val="52"/>
          <w:szCs w:val="52"/>
        </w:rPr>
        <w:t>202</w:t>
      </w:r>
      <w:r>
        <w:rPr>
          <w:rFonts w:hint="eastAsia"/>
          <w:b/>
          <w:sz w:val="52"/>
          <w:szCs w:val="52"/>
          <w:lang w:val="en-US" w:eastAsia="zh-CN"/>
        </w:rPr>
        <w:t>1</w:t>
      </w:r>
      <w:r>
        <w:rPr>
          <w:rFonts w:hint="eastAsia" w:ascii="宋体" w:hAnsi="宋体"/>
          <w:b/>
          <w:sz w:val="52"/>
          <w:szCs w:val="52"/>
        </w:rPr>
        <w:t>年度决算说明</w:t>
      </w:r>
    </w:p>
    <w:p w14:paraId="6FA9C6AD">
      <w:pPr>
        <w:pStyle w:val="6"/>
        <w:jc w:val="center"/>
        <w:rPr>
          <w:rFonts w:hint="default" w:ascii="仿宋_GB2312" w:eastAsia="仿宋_GB2312"/>
          <w:b/>
          <w:sz w:val="52"/>
        </w:rPr>
      </w:pPr>
    </w:p>
    <w:p w14:paraId="508489D3">
      <w:pPr>
        <w:pStyle w:val="6"/>
        <w:jc w:val="center"/>
        <w:rPr>
          <w:rFonts w:hint="default" w:ascii="Times New Roman" w:eastAsia="Times New Roman"/>
          <w:b/>
          <w:sz w:val="44"/>
          <w:u w:val="single"/>
        </w:rPr>
      </w:pPr>
    </w:p>
    <w:p w14:paraId="2D063152">
      <w:pPr>
        <w:pStyle w:val="6"/>
        <w:jc w:val="center"/>
        <w:rPr>
          <w:rFonts w:hint="default" w:ascii="Times New Roman" w:eastAsia="Times New Roman"/>
          <w:b/>
          <w:sz w:val="44"/>
          <w:u w:val="single"/>
        </w:rPr>
      </w:pPr>
    </w:p>
    <w:p w14:paraId="794FF6D5">
      <w:pPr>
        <w:pStyle w:val="6"/>
        <w:jc w:val="center"/>
        <w:rPr>
          <w:rFonts w:hint="default" w:ascii="Times New Roman" w:eastAsia="Times New Roman"/>
          <w:b/>
          <w:sz w:val="44"/>
          <w:u w:val="single"/>
        </w:rPr>
      </w:pPr>
    </w:p>
    <w:p w14:paraId="10227D0C">
      <w:pPr>
        <w:pStyle w:val="6"/>
        <w:jc w:val="center"/>
        <w:rPr>
          <w:rFonts w:hint="default" w:ascii="Times New Roman" w:eastAsia="Times New Roman"/>
          <w:b/>
          <w:sz w:val="44"/>
          <w:u w:val="single"/>
        </w:rPr>
      </w:pPr>
    </w:p>
    <w:p w14:paraId="70B5EAF7">
      <w:pPr>
        <w:pStyle w:val="6"/>
        <w:jc w:val="center"/>
        <w:rPr>
          <w:rFonts w:hint="default" w:ascii="Times New Roman" w:eastAsia="Times New Roman"/>
          <w:b/>
          <w:sz w:val="44"/>
          <w:u w:val="single"/>
        </w:rPr>
      </w:pPr>
    </w:p>
    <w:p w14:paraId="55D35477">
      <w:pPr>
        <w:pStyle w:val="6"/>
        <w:jc w:val="center"/>
        <w:rPr>
          <w:rFonts w:hint="default" w:ascii="Times New Roman" w:eastAsia="Times New Roman"/>
          <w:b/>
          <w:sz w:val="44"/>
          <w:u w:val="single"/>
        </w:rPr>
      </w:pPr>
    </w:p>
    <w:p w14:paraId="24C5376A">
      <w:pPr>
        <w:pStyle w:val="6"/>
        <w:jc w:val="center"/>
        <w:rPr>
          <w:rFonts w:hint="default" w:ascii="Times New Roman" w:eastAsia="Times New Roman"/>
          <w:b/>
          <w:sz w:val="44"/>
          <w:u w:val="single"/>
        </w:rPr>
      </w:pPr>
    </w:p>
    <w:p w14:paraId="507D20BD">
      <w:pPr>
        <w:pStyle w:val="6"/>
        <w:jc w:val="center"/>
        <w:rPr>
          <w:rFonts w:hint="default" w:ascii="Times New Roman" w:eastAsia="Times New Roman"/>
          <w:b/>
          <w:sz w:val="44"/>
          <w:u w:val="single"/>
        </w:rPr>
      </w:pPr>
    </w:p>
    <w:p w14:paraId="10DEFAAA">
      <w:pPr>
        <w:pStyle w:val="6"/>
        <w:jc w:val="center"/>
        <w:rPr>
          <w:rFonts w:hint="default" w:ascii="Times New Roman" w:eastAsia="Times New Roman"/>
          <w:b/>
          <w:sz w:val="44"/>
          <w:u w:val="single"/>
        </w:rPr>
      </w:pPr>
    </w:p>
    <w:p w14:paraId="1D458286">
      <w:pPr>
        <w:pStyle w:val="6"/>
        <w:jc w:val="center"/>
        <w:rPr>
          <w:rFonts w:hint="default" w:ascii="Times New Roman" w:eastAsia="Times New Roman"/>
          <w:b/>
          <w:sz w:val="44"/>
          <w:u w:val="single"/>
        </w:rPr>
      </w:pPr>
    </w:p>
    <w:p w14:paraId="6762A25D">
      <w:pPr>
        <w:pStyle w:val="6"/>
        <w:jc w:val="center"/>
        <w:rPr>
          <w:rFonts w:hint="default" w:ascii="Times New Roman" w:eastAsia="Times New Roman"/>
          <w:b/>
          <w:sz w:val="44"/>
          <w:u w:val="single"/>
        </w:rPr>
      </w:pPr>
    </w:p>
    <w:p w14:paraId="49C9AB13">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14:paraId="1498907E">
      <w:pPr>
        <w:pStyle w:val="6"/>
        <w:spacing w:line="560" w:lineRule="exact"/>
        <w:rPr>
          <w:rFonts w:hint="default" w:ascii="Times New Roman" w:eastAsia="Times New Roman"/>
          <w:b/>
          <w:sz w:val="44"/>
          <w:u w:val="single"/>
        </w:rPr>
      </w:pPr>
    </w:p>
    <w:p w14:paraId="645D24E2">
      <w:pPr>
        <w:pStyle w:val="6"/>
        <w:spacing w:line="560" w:lineRule="exact"/>
        <w:rPr>
          <w:rFonts w:hint="default" w:ascii="黑体" w:eastAsia="黑体"/>
          <w:sz w:val="32"/>
        </w:rPr>
      </w:pPr>
      <w:r>
        <w:rPr>
          <w:rFonts w:ascii="黑体" w:eastAsia="黑体"/>
          <w:sz w:val="32"/>
        </w:rPr>
        <w:t xml:space="preserve">第一部分    </w:t>
      </w:r>
      <w:r>
        <w:rPr>
          <w:rFonts w:hint="eastAsia" w:ascii="黑体" w:hAnsi="黑体" w:eastAsia="黑体"/>
          <w:sz w:val="32"/>
          <w:szCs w:val="32"/>
        </w:rPr>
        <w:t xml:space="preserve"> </w:t>
      </w:r>
      <w:r>
        <w:rPr>
          <w:rFonts w:ascii="黑体" w:hAnsi="黑体" w:eastAsia="黑体"/>
          <w:sz w:val="32"/>
        </w:rPr>
        <w:t>沈阳高新区总工会</w:t>
      </w:r>
      <w:r>
        <w:rPr>
          <w:rFonts w:hint="eastAsia" w:ascii="黑体" w:hAnsi="黑体" w:eastAsia="黑体"/>
          <w:sz w:val="32"/>
          <w:szCs w:val="32"/>
        </w:rPr>
        <w:t>概况</w:t>
      </w:r>
    </w:p>
    <w:p w14:paraId="2EC77F91">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14:paraId="01851424">
      <w:pPr>
        <w:pStyle w:val="6"/>
        <w:spacing w:line="560" w:lineRule="exact"/>
        <w:rPr>
          <w:rFonts w:hint="default" w:ascii="仿宋_GB2312" w:eastAsia="仿宋_GB2312"/>
          <w:sz w:val="32"/>
        </w:rPr>
      </w:pPr>
      <w:r>
        <w:rPr>
          <w:rFonts w:ascii="仿宋_GB2312" w:eastAsia="仿宋_GB2312"/>
          <w:sz w:val="32"/>
        </w:rPr>
        <w:t>二、决算单位构成</w:t>
      </w:r>
    </w:p>
    <w:p w14:paraId="1A892EC7">
      <w:pPr>
        <w:spacing w:line="540" w:lineRule="exact"/>
        <w:rPr>
          <w:rFonts w:hint="eastAsia" w:ascii="黑体" w:hAnsi="黑体" w:eastAsia="黑体"/>
          <w:sz w:val="32"/>
          <w:szCs w:val="32"/>
        </w:rPr>
      </w:pPr>
      <w:r>
        <w:rPr>
          <w:rFonts w:ascii="黑体" w:eastAsia="黑体"/>
          <w:sz w:val="32"/>
        </w:rPr>
        <w:t xml:space="preserve">第二部分   </w:t>
      </w:r>
      <w:r>
        <w:rPr>
          <w:rFonts w:hint="eastAsia" w:ascii="黑体" w:hAnsi="黑体" w:eastAsia="黑体"/>
          <w:sz w:val="32"/>
          <w:szCs w:val="32"/>
        </w:rPr>
        <w:t xml:space="preserve"> </w:t>
      </w:r>
      <w:r>
        <w:rPr>
          <w:rFonts w:ascii="黑体" w:hAnsi="黑体" w:eastAsia="黑体"/>
          <w:sz w:val="32"/>
        </w:rPr>
        <w:t>沈阳高新区总工会</w:t>
      </w:r>
      <w:r>
        <w:rPr>
          <w:rFonts w:hint="eastAsia" w:ascii="黑体" w:hAnsi="黑体" w:eastAsia="黑体"/>
          <w:sz w:val="32"/>
          <w:szCs w:val="32"/>
        </w:rPr>
        <w:t>202</w:t>
      </w:r>
      <w:r>
        <w:rPr>
          <w:rFonts w:hint="eastAsia" w:ascii="黑体" w:hAnsi="黑体" w:eastAsia="黑体"/>
          <w:sz w:val="32"/>
          <w:szCs w:val="32"/>
          <w:lang w:val="en-US" w:eastAsia="zh-CN"/>
        </w:rPr>
        <w:t>1</w:t>
      </w:r>
      <w:r>
        <w:rPr>
          <w:rFonts w:hint="eastAsia" w:ascii="黑体" w:hAnsi="黑体" w:eastAsia="黑体"/>
          <w:sz w:val="32"/>
          <w:szCs w:val="32"/>
        </w:rPr>
        <w:t>年度决算情况说明</w:t>
      </w:r>
    </w:p>
    <w:p w14:paraId="333F051C">
      <w:pPr>
        <w:pStyle w:val="6"/>
        <w:spacing w:line="560" w:lineRule="exact"/>
        <w:rPr>
          <w:rFonts w:hint="default" w:ascii="仿宋_GB2312" w:eastAsia="仿宋_GB2312"/>
          <w:sz w:val="32"/>
        </w:rPr>
      </w:pPr>
      <w:r>
        <w:rPr>
          <w:rFonts w:ascii="仿宋_GB2312" w:eastAsia="仿宋_GB2312"/>
          <w:sz w:val="32"/>
        </w:rPr>
        <w:t>一、收入支出决算总体情况说明</w:t>
      </w:r>
    </w:p>
    <w:p w14:paraId="18F45A12">
      <w:pPr>
        <w:pStyle w:val="6"/>
        <w:spacing w:line="560" w:lineRule="exact"/>
        <w:rPr>
          <w:rFonts w:hint="default" w:ascii="仿宋_GB2312" w:eastAsia="仿宋_GB2312"/>
          <w:sz w:val="32"/>
        </w:rPr>
      </w:pPr>
      <w:r>
        <w:rPr>
          <w:rFonts w:ascii="仿宋_GB2312" w:eastAsia="仿宋_GB2312"/>
          <w:sz w:val="32"/>
        </w:rPr>
        <w:t>二、财政拨款收入支出决算情况说明</w:t>
      </w:r>
    </w:p>
    <w:p w14:paraId="2024B226">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14:paraId="1055902F">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14:paraId="25885892">
      <w:pPr>
        <w:pStyle w:val="6"/>
        <w:spacing w:line="560" w:lineRule="exact"/>
        <w:rPr>
          <w:rFonts w:hint="default" w:ascii="黑体" w:eastAsia="黑体"/>
          <w:sz w:val="32"/>
        </w:rPr>
      </w:pPr>
      <w:r>
        <w:rPr>
          <w:rFonts w:ascii="仿宋_GB2312" w:eastAsia="仿宋_GB2312"/>
          <w:sz w:val="32"/>
        </w:rPr>
        <w:t>五、其他重要事项的情况说明</w:t>
      </w:r>
    </w:p>
    <w:p w14:paraId="1BBF07B1">
      <w:pPr>
        <w:pStyle w:val="6"/>
        <w:spacing w:line="560" w:lineRule="exact"/>
        <w:rPr>
          <w:rFonts w:hint="default" w:ascii="黑体" w:eastAsia="黑体"/>
          <w:sz w:val="32"/>
        </w:rPr>
      </w:pPr>
      <w:r>
        <w:rPr>
          <w:rFonts w:ascii="黑体" w:eastAsia="黑体"/>
          <w:sz w:val="32"/>
        </w:rPr>
        <w:t>第三部分    名词解释</w:t>
      </w:r>
    </w:p>
    <w:p w14:paraId="5A1BEC87">
      <w:pPr>
        <w:spacing w:line="540" w:lineRule="exact"/>
        <w:rPr>
          <w:rFonts w:hint="eastAsia" w:ascii="黑体" w:hAnsi="黑体" w:eastAsia="黑体"/>
          <w:sz w:val="32"/>
          <w:szCs w:val="32"/>
        </w:rPr>
      </w:pPr>
      <w:r>
        <w:rPr>
          <w:rFonts w:ascii="黑体" w:eastAsia="黑体"/>
          <w:sz w:val="32"/>
        </w:rPr>
        <w:t xml:space="preserve">第四部分    </w:t>
      </w:r>
      <w:r>
        <w:rPr>
          <w:rFonts w:ascii="黑体" w:hAnsi="黑体" w:eastAsia="黑体"/>
          <w:sz w:val="32"/>
        </w:rPr>
        <w:t>沈阳高新区总工会</w:t>
      </w:r>
      <w:r>
        <w:rPr>
          <w:rFonts w:hint="eastAsia" w:ascii="黑体" w:hAnsi="黑体" w:eastAsia="黑体"/>
          <w:sz w:val="32"/>
          <w:szCs w:val="32"/>
        </w:rPr>
        <w:t>202</w:t>
      </w:r>
      <w:r>
        <w:rPr>
          <w:rFonts w:hint="eastAsia" w:ascii="黑体" w:hAnsi="黑体" w:eastAsia="黑体"/>
          <w:sz w:val="32"/>
          <w:szCs w:val="32"/>
          <w:lang w:val="en-US" w:eastAsia="zh-CN"/>
        </w:rPr>
        <w:t>1</w:t>
      </w:r>
      <w:r>
        <w:rPr>
          <w:rFonts w:hint="eastAsia" w:ascii="黑体" w:hAnsi="黑体" w:eastAsia="黑体"/>
          <w:sz w:val="32"/>
          <w:szCs w:val="32"/>
        </w:rPr>
        <w:t>年度决算报表</w:t>
      </w:r>
    </w:p>
    <w:p w14:paraId="21FD1C95">
      <w:pPr>
        <w:pStyle w:val="6"/>
        <w:spacing w:line="560" w:lineRule="exact"/>
        <w:rPr>
          <w:rFonts w:hint="default" w:ascii="黑体" w:eastAsia="黑体"/>
          <w:sz w:val="32"/>
        </w:rPr>
      </w:pPr>
    </w:p>
    <w:p w14:paraId="539E2287">
      <w:pPr>
        <w:pStyle w:val="6"/>
        <w:spacing w:line="560" w:lineRule="exact"/>
        <w:rPr>
          <w:rFonts w:hint="default" w:ascii="仿宋_GB2312" w:eastAsia="仿宋_GB2312"/>
          <w:sz w:val="32"/>
        </w:rPr>
      </w:pPr>
      <w:r>
        <w:rPr>
          <w:rFonts w:ascii="仿宋_GB2312" w:eastAsia="仿宋_GB2312"/>
          <w:sz w:val="32"/>
        </w:rPr>
        <w:t>一、2021年度收入支出决算总表</w:t>
      </w:r>
    </w:p>
    <w:p w14:paraId="4D88641D">
      <w:pPr>
        <w:pStyle w:val="6"/>
        <w:spacing w:line="560" w:lineRule="exact"/>
        <w:rPr>
          <w:rFonts w:hint="default" w:ascii="仿宋_GB2312" w:eastAsia="仿宋_GB2312"/>
          <w:sz w:val="32"/>
        </w:rPr>
      </w:pPr>
      <w:r>
        <w:rPr>
          <w:rFonts w:ascii="仿宋_GB2312" w:eastAsia="仿宋_GB2312"/>
          <w:sz w:val="32"/>
        </w:rPr>
        <w:t>二、2021年度收入决算表</w:t>
      </w:r>
    </w:p>
    <w:p w14:paraId="79E05653">
      <w:pPr>
        <w:pStyle w:val="6"/>
        <w:spacing w:line="560" w:lineRule="exact"/>
        <w:rPr>
          <w:rFonts w:hint="default" w:ascii="仿宋_GB2312" w:eastAsia="仿宋_GB2312"/>
          <w:sz w:val="32"/>
        </w:rPr>
      </w:pPr>
      <w:r>
        <w:rPr>
          <w:rFonts w:ascii="仿宋_GB2312" w:eastAsia="仿宋_GB2312"/>
          <w:sz w:val="32"/>
        </w:rPr>
        <w:t>三、2021年度支出决算表</w:t>
      </w:r>
    </w:p>
    <w:p w14:paraId="3678212A">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14:paraId="182080A5">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14:paraId="7AD6B61D">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14:paraId="100F9FD2">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14:paraId="1D2205A3">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14:paraId="56B9DCF4">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14:paraId="4F0D6B79">
      <w:pPr>
        <w:pStyle w:val="6"/>
        <w:spacing w:line="560" w:lineRule="exact"/>
        <w:jc w:val="center"/>
        <w:rPr>
          <w:rFonts w:hint="default"/>
          <w:b/>
          <w:sz w:val="36"/>
        </w:rPr>
      </w:pPr>
    </w:p>
    <w:p w14:paraId="65527E94">
      <w:pPr>
        <w:spacing w:line="540" w:lineRule="exact"/>
        <w:jc w:val="center"/>
        <w:rPr>
          <w:rFonts w:ascii="宋体" w:hAnsi="宋体"/>
          <w:b/>
          <w:sz w:val="36"/>
          <w:szCs w:val="36"/>
        </w:rPr>
      </w:pPr>
    </w:p>
    <w:p w14:paraId="1991EA3F">
      <w:pPr>
        <w:spacing w:line="540" w:lineRule="exact"/>
        <w:jc w:val="center"/>
        <w:rPr>
          <w:rFonts w:hint="eastAsia" w:ascii="宋体" w:hAnsi="宋体"/>
          <w:b/>
          <w:sz w:val="36"/>
          <w:szCs w:val="36"/>
        </w:rPr>
      </w:pPr>
      <w:r>
        <w:rPr>
          <w:rFonts w:hint="eastAsia" w:ascii="宋体" w:hAnsi="宋体"/>
          <w:b/>
          <w:sz w:val="36"/>
          <w:szCs w:val="36"/>
        </w:rPr>
        <w:t>第一部分</w:t>
      </w:r>
      <w:r>
        <w:rPr>
          <w:rFonts w:hint="eastAsia" w:ascii="宋体" w:hAnsi="宋体"/>
          <w:b/>
          <w:sz w:val="36"/>
          <w:szCs w:val="36"/>
          <w:lang w:val="en-US" w:eastAsia="zh-CN"/>
        </w:rPr>
        <w:t xml:space="preserve"> </w:t>
      </w:r>
      <w:r>
        <w:rPr>
          <w:rFonts w:ascii="宋体" w:hAnsi="宋体"/>
          <w:b/>
          <w:sz w:val="36"/>
          <w:szCs w:val="36"/>
        </w:rPr>
        <w:t>沈阳高新区总工会</w:t>
      </w:r>
      <w:r>
        <w:rPr>
          <w:rFonts w:hint="eastAsia" w:ascii="宋体" w:hAnsi="宋体"/>
          <w:b/>
          <w:sz w:val="36"/>
          <w:szCs w:val="36"/>
        </w:rPr>
        <w:t>概况</w:t>
      </w:r>
    </w:p>
    <w:p w14:paraId="07CDD8E7">
      <w:pPr>
        <w:spacing w:line="540" w:lineRule="exact"/>
        <w:ind w:firstLine="640" w:firstLineChars="200"/>
        <w:jc w:val="left"/>
        <w:rPr>
          <w:rFonts w:hint="eastAsia" w:ascii="黑体" w:eastAsia="黑体"/>
          <w:sz w:val="32"/>
          <w:szCs w:val="32"/>
        </w:rPr>
      </w:pPr>
    </w:p>
    <w:p w14:paraId="047B2143">
      <w:pPr>
        <w:spacing w:line="540" w:lineRule="exact"/>
        <w:ind w:firstLine="640" w:firstLineChars="200"/>
        <w:jc w:val="left"/>
        <w:rPr>
          <w:rFonts w:hint="eastAsia" w:ascii="黑体" w:eastAsia="黑体"/>
          <w:sz w:val="32"/>
          <w:szCs w:val="32"/>
        </w:rPr>
      </w:pPr>
      <w:r>
        <w:rPr>
          <w:rFonts w:hint="eastAsia" w:ascii="黑体" w:eastAsia="黑体"/>
          <w:sz w:val="32"/>
          <w:szCs w:val="32"/>
        </w:rPr>
        <w:t>一、主要职责</w:t>
      </w:r>
    </w:p>
    <w:p w14:paraId="4908941C">
      <w:pPr>
        <w:spacing w:line="360" w:lineRule="auto"/>
        <w:ind w:firstLine="640"/>
        <w:rPr>
          <w:rFonts w:ascii="仿宋_GB2312" w:eastAsia="仿宋_GB2312"/>
          <w:sz w:val="32"/>
          <w:szCs w:val="32"/>
        </w:rPr>
      </w:pPr>
      <w:r>
        <w:rPr>
          <w:rFonts w:ascii="仿宋_GB2312" w:eastAsia="仿宋_GB2312"/>
          <w:sz w:val="32"/>
          <w:szCs w:val="32"/>
        </w:rPr>
        <w:t>1、贯彻执行党的路线、方针、政策、政府法律法规、政策规定及工会工作的法律、法规、专业技术知识等；</w:t>
      </w:r>
    </w:p>
    <w:p w14:paraId="6EA3464E">
      <w:pPr>
        <w:spacing w:line="360" w:lineRule="auto"/>
        <w:ind w:firstLine="640" w:firstLineChars="200"/>
        <w:rPr>
          <w:rFonts w:ascii="仿宋_GB2312" w:eastAsia="仿宋_GB2312"/>
          <w:sz w:val="32"/>
          <w:szCs w:val="32"/>
        </w:rPr>
      </w:pPr>
      <w:r>
        <w:rPr>
          <w:rFonts w:ascii="仿宋_GB2312" w:eastAsia="仿宋_GB2312"/>
          <w:sz w:val="32"/>
          <w:szCs w:val="32"/>
        </w:rPr>
        <w:t xml:space="preserve">2、维护职工合法权益，促进和谐社会构建； </w:t>
      </w:r>
    </w:p>
    <w:p w14:paraId="38866BA6">
      <w:pPr>
        <w:spacing w:line="360" w:lineRule="auto"/>
        <w:ind w:firstLine="640" w:firstLineChars="200"/>
        <w:rPr>
          <w:rFonts w:ascii="仿宋_GB2312" w:eastAsia="仿宋_GB2312"/>
          <w:sz w:val="32"/>
          <w:szCs w:val="32"/>
        </w:rPr>
      </w:pPr>
      <w:r>
        <w:rPr>
          <w:rFonts w:ascii="仿宋_GB2312" w:eastAsia="仿宋_GB2312"/>
          <w:sz w:val="32"/>
          <w:szCs w:val="32"/>
        </w:rPr>
        <w:t>3、加强集体合同签订工作，推行工资集体协商制度；</w:t>
      </w:r>
    </w:p>
    <w:p w14:paraId="00CBE38D">
      <w:pPr>
        <w:spacing w:line="360" w:lineRule="auto"/>
        <w:ind w:firstLine="640" w:firstLineChars="200"/>
        <w:rPr>
          <w:rFonts w:ascii="仿宋_GB2312" w:eastAsia="仿宋_GB2312"/>
          <w:sz w:val="32"/>
          <w:szCs w:val="32"/>
        </w:rPr>
      </w:pPr>
      <w:r>
        <w:rPr>
          <w:rFonts w:ascii="仿宋_GB2312" w:eastAsia="仿宋_GB2312"/>
          <w:sz w:val="32"/>
          <w:szCs w:val="32"/>
        </w:rPr>
        <w:t>4、负责劳动模范、先进集体的推荐；</w:t>
      </w:r>
    </w:p>
    <w:p w14:paraId="11482AB8">
      <w:pPr>
        <w:spacing w:line="360" w:lineRule="auto"/>
        <w:ind w:firstLine="640" w:firstLineChars="200"/>
        <w:rPr>
          <w:rFonts w:ascii="仿宋_GB2312" w:eastAsia="仿宋_GB2312"/>
          <w:sz w:val="32"/>
          <w:szCs w:val="32"/>
        </w:rPr>
      </w:pPr>
      <w:r>
        <w:rPr>
          <w:rFonts w:ascii="仿宋_GB2312" w:eastAsia="仿宋_GB2312"/>
          <w:sz w:val="32"/>
          <w:szCs w:val="32"/>
        </w:rPr>
        <w:t>5、开展技术比武与劳动竞赛，引领职工投身经济建设；</w:t>
      </w:r>
    </w:p>
    <w:p w14:paraId="1C29B6EF">
      <w:pPr>
        <w:spacing w:line="360" w:lineRule="auto"/>
        <w:ind w:firstLine="640" w:firstLineChars="200"/>
        <w:rPr>
          <w:rFonts w:ascii="仿宋_GB2312" w:eastAsia="仿宋_GB2312"/>
          <w:sz w:val="32"/>
          <w:szCs w:val="32"/>
        </w:rPr>
      </w:pPr>
      <w:r>
        <w:rPr>
          <w:rFonts w:ascii="仿宋_GB2312" w:eastAsia="仿宋_GB2312"/>
          <w:sz w:val="32"/>
          <w:szCs w:val="32"/>
        </w:rPr>
        <w:t>6、开展全区文体活动，打造特色职工文化、企业文化与区域文化；</w:t>
      </w:r>
    </w:p>
    <w:p w14:paraId="36F06A86">
      <w:pPr>
        <w:spacing w:line="360" w:lineRule="auto"/>
        <w:ind w:firstLine="640" w:firstLineChars="200"/>
        <w:rPr>
          <w:rFonts w:ascii="仿宋_GB2312" w:eastAsia="仿宋_GB2312"/>
          <w:sz w:val="32"/>
          <w:szCs w:val="32"/>
        </w:rPr>
      </w:pPr>
      <w:r>
        <w:rPr>
          <w:rFonts w:ascii="仿宋_GB2312" w:eastAsia="仿宋_GB2312"/>
          <w:sz w:val="32"/>
          <w:szCs w:val="32"/>
        </w:rPr>
        <w:t>7、实施职工素质教育工程，培养技能型人才；</w:t>
      </w:r>
    </w:p>
    <w:p w14:paraId="4091D37B">
      <w:pPr>
        <w:spacing w:line="360" w:lineRule="auto"/>
        <w:ind w:firstLine="640" w:firstLineChars="200"/>
        <w:rPr>
          <w:rFonts w:ascii="仿宋_GB2312" w:eastAsia="仿宋_GB2312"/>
          <w:sz w:val="32"/>
          <w:szCs w:val="32"/>
        </w:rPr>
      </w:pPr>
      <w:r>
        <w:rPr>
          <w:rFonts w:ascii="仿宋_GB2312" w:eastAsia="仿宋_GB2312"/>
          <w:sz w:val="32"/>
          <w:szCs w:val="32"/>
        </w:rPr>
        <w:t>8、参与企业劳动争议调解与企业安全生产监督工作；</w:t>
      </w:r>
    </w:p>
    <w:p w14:paraId="54BB6603">
      <w:pPr>
        <w:spacing w:line="360" w:lineRule="auto"/>
        <w:ind w:firstLine="640" w:firstLineChars="200"/>
        <w:rPr>
          <w:rFonts w:ascii="仿宋_GB2312" w:eastAsia="仿宋_GB2312"/>
          <w:sz w:val="32"/>
          <w:szCs w:val="32"/>
        </w:rPr>
      </w:pPr>
      <w:r>
        <w:rPr>
          <w:rFonts w:ascii="仿宋_GB2312" w:eastAsia="仿宋_GB2312"/>
          <w:sz w:val="32"/>
          <w:szCs w:val="32"/>
        </w:rPr>
        <w:t>9、做好困难职工帮扶与职工爱心救助慈善募捐工作。</w:t>
      </w:r>
    </w:p>
    <w:p w14:paraId="13A3E55E">
      <w:pPr>
        <w:spacing w:line="360" w:lineRule="auto"/>
        <w:ind w:firstLine="640"/>
        <w:rPr>
          <w:rFonts w:ascii="仿宋_GB2312" w:eastAsia="仿宋_GB2312"/>
          <w:sz w:val="32"/>
          <w:szCs w:val="32"/>
        </w:rPr>
      </w:pPr>
      <w:r>
        <w:rPr>
          <w:rFonts w:ascii="仿宋_GB2312" w:eastAsia="仿宋_GB2312"/>
          <w:sz w:val="32"/>
          <w:szCs w:val="32"/>
        </w:rPr>
        <w:t>10、组织协调基层工会组织的组成，复查审批工作；</w:t>
      </w:r>
    </w:p>
    <w:p w14:paraId="301FF767">
      <w:pPr>
        <w:spacing w:line="360" w:lineRule="auto"/>
        <w:ind w:firstLine="640"/>
        <w:rPr>
          <w:rFonts w:ascii="仿宋_GB2312" w:eastAsia="仿宋_GB2312"/>
          <w:sz w:val="32"/>
          <w:szCs w:val="32"/>
        </w:rPr>
      </w:pPr>
      <w:r>
        <w:rPr>
          <w:rFonts w:ascii="仿宋_GB2312" w:eastAsia="仿宋_GB2312"/>
          <w:sz w:val="32"/>
          <w:szCs w:val="32"/>
        </w:rPr>
        <w:t>11、负责工会工作人员的学习教育培训及日常管理工作。</w:t>
      </w:r>
    </w:p>
    <w:p w14:paraId="634F5ED9">
      <w:pPr>
        <w:pStyle w:val="6"/>
        <w:spacing w:line="560" w:lineRule="exact"/>
        <w:ind w:firstLine="64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12、承办区政府交办的其他事项。</w:t>
      </w:r>
    </w:p>
    <w:p w14:paraId="3EF57C9F">
      <w:pPr>
        <w:pStyle w:val="6"/>
        <w:spacing w:line="560" w:lineRule="exact"/>
        <w:ind w:firstLine="640" w:firstLineChars="200"/>
        <w:rPr>
          <w:rFonts w:hint="eastAsia" w:ascii="黑体" w:eastAsia="黑体"/>
          <w:sz w:val="32"/>
          <w:lang w:val="en-US" w:eastAsia="zh-CN"/>
        </w:rPr>
      </w:pPr>
      <w:r>
        <w:rPr>
          <w:rFonts w:ascii="黑体" w:eastAsia="黑体"/>
          <w:sz w:val="32"/>
        </w:rPr>
        <w:t>二、决算单位构成</w:t>
      </w:r>
      <w:r>
        <w:rPr>
          <w:rFonts w:hint="eastAsia" w:ascii="黑体" w:eastAsia="黑体"/>
          <w:sz w:val="32"/>
          <w:lang w:val="en-US" w:eastAsia="zh-CN"/>
        </w:rPr>
        <w:t xml:space="preserve"> </w:t>
      </w:r>
    </w:p>
    <w:p w14:paraId="361A6422">
      <w:pPr>
        <w:pStyle w:val="6"/>
        <w:spacing w:line="560" w:lineRule="exact"/>
        <w:jc w:val="both"/>
        <w:rPr>
          <w:rFonts w:ascii="仿宋_GB2312" w:eastAsia="仿宋_GB2312"/>
          <w:sz w:val="32"/>
        </w:rPr>
      </w:pPr>
    </w:p>
    <w:p w14:paraId="3282D88F">
      <w:pPr>
        <w:pStyle w:val="6"/>
        <w:spacing w:line="560" w:lineRule="exact"/>
        <w:ind w:firstLine="320" w:firstLineChars="100"/>
        <w:jc w:val="both"/>
        <w:rPr>
          <w:rFonts w:ascii="仿宋_GB2312" w:eastAsia="仿宋_GB2312"/>
          <w:sz w:val="32"/>
        </w:rPr>
      </w:pPr>
      <w:r>
        <w:rPr>
          <w:rFonts w:ascii="仿宋_GB2312" w:eastAsia="仿宋_GB2312"/>
          <w:b w:val="0"/>
          <w:bCs w:val="0"/>
          <w:color w:val="auto"/>
          <w:sz w:val="32"/>
          <w:szCs w:val="32"/>
        </w:rPr>
        <w:t>纳入</w:t>
      </w:r>
      <w:r>
        <w:rPr>
          <w:rFonts w:hint="eastAsia" w:ascii="仿宋_GB2312" w:eastAsia="仿宋_GB2312"/>
          <w:b w:val="0"/>
          <w:bCs w:val="0"/>
          <w:color w:val="auto"/>
          <w:sz w:val="32"/>
          <w:szCs w:val="32"/>
          <w:lang w:eastAsia="zh-CN"/>
        </w:rPr>
        <w:t>本单位</w:t>
      </w:r>
      <w:r>
        <w:rPr>
          <w:rFonts w:ascii="仿宋_GB2312" w:eastAsia="仿宋_GB2312"/>
          <w:b w:val="0"/>
          <w:bCs w:val="0"/>
          <w:color w:val="auto"/>
          <w:sz w:val="32"/>
          <w:szCs w:val="32"/>
        </w:rPr>
        <w:t>20</w:t>
      </w:r>
      <w:r>
        <w:rPr>
          <w:rFonts w:hint="eastAsia" w:ascii="仿宋_GB2312" w:eastAsia="仿宋_GB2312"/>
          <w:b w:val="0"/>
          <w:bCs w:val="0"/>
          <w:color w:val="auto"/>
          <w:sz w:val="32"/>
          <w:szCs w:val="32"/>
          <w:lang w:val="en-US" w:eastAsia="zh-CN"/>
        </w:rPr>
        <w:t>21</w:t>
      </w:r>
      <w:r>
        <w:rPr>
          <w:rFonts w:ascii="仿宋_GB2312" w:eastAsia="仿宋_GB2312"/>
          <w:b w:val="0"/>
          <w:bCs w:val="0"/>
          <w:color w:val="auto"/>
          <w:sz w:val="32"/>
          <w:szCs w:val="32"/>
        </w:rPr>
        <w:t>年</w:t>
      </w:r>
      <w:r>
        <w:rPr>
          <w:rFonts w:hint="eastAsia" w:ascii="仿宋_GB2312" w:eastAsia="仿宋_GB2312"/>
          <w:b w:val="0"/>
          <w:bCs w:val="0"/>
          <w:color w:val="auto"/>
          <w:sz w:val="32"/>
          <w:szCs w:val="32"/>
          <w:lang w:eastAsia="zh-CN"/>
        </w:rPr>
        <w:t>决算</w:t>
      </w:r>
      <w:r>
        <w:rPr>
          <w:rFonts w:ascii="仿宋_GB2312" w:eastAsia="仿宋_GB2312"/>
          <w:b w:val="0"/>
          <w:bCs w:val="0"/>
          <w:color w:val="auto"/>
          <w:sz w:val="32"/>
          <w:szCs w:val="32"/>
        </w:rPr>
        <w:t>编制范围的是</w:t>
      </w:r>
      <w:r>
        <w:rPr>
          <w:rFonts w:ascii="仿宋_GB2312" w:eastAsia="仿宋_GB2312"/>
          <w:sz w:val="32"/>
        </w:rPr>
        <w:t>沈阳高新区总工会本级，本单位无下设机构。</w:t>
      </w:r>
    </w:p>
    <w:p w14:paraId="2311DB1F">
      <w:pPr>
        <w:pStyle w:val="6"/>
        <w:spacing w:line="560" w:lineRule="exact"/>
        <w:jc w:val="center"/>
        <w:rPr>
          <w:rFonts w:hint="default" w:ascii="仿宋_GB2312" w:eastAsia="仿宋_GB2312"/>
          <w:sz w:val="32"/>
        </w:rPr>
      </w:pPr>
    </w:p>
    <w:p w14:paraId="57318F15">
      <w:pPr>
        <w:spacing w:line="540" w:lineRule="exact"/>
        <w:jc w:val="center"/>
        <w:rPr>
          <w:rFonts w:hint="eastAsia" w:ascii="宋体" w:hAnsi="宋体"/>
          <w:b/>
          <w:sz w:val="36"/>
          <w:szCs w:val="36"/>
        </w:rPr>
      </w:pPr>
      <w:r>
        <w:rPr>
          <w:rFonts w:hint="eastAsia" w:ascii="宋体" w:hAnsi="宋体"/>
          <w:b/>
          <w:sz w:val="36"/>
          <w:szCs w:val="36"/>
        </w:rPr>
        <w:t>第二部分</w:t>
      </w:r>
      <w:r>
        <w:rPr>
          <w:rFonts w:hint="eastAsia" w:ascii="宋体" w:hAnsi="宋体"/>
          <w:b/>
          <w:sz w:val="36"/>
          <w:szCs w:val="36"/>
          <w:lang w:val="en-US" w:eastAsia="zh-CN"/>
        </w:rPr>
        <w:t xml:space="preserve"> </w:t>
      </w:r>
      <w:r>
        <w:rPr>
          <w:rFonts w:ascii="宋体" w:hAnsi="宋体"/>
          <w:b/>
          <w:sz w:val="36"/>
          <w:szCs w:val="36"/>
        </w:rPr>
        <w:t>沈阳高新区总工会</w:t>
      </w:r>
      <w:r>
        <w:rPr>
          <w:rFonts w:hint="eastAsia" w:ascii="宋体" w:hAnsi="宋体"/>
          <w:b/>
          <w:sz w:val="36"/>
          <w:szCs w:val="36"/>
        </w:rPr>
        <w:t>202</w:t>
      </w:r>
      <w:r>
        <w:rPr>
          <w:rFonts w:hint="eastAsia" w:ascii="宋体" w:hAnsi="宋体"/>
          <w:b/>
          <w:sz w:val="36"/>
          <w:szCs w:val="36"/>
          <w:lang w:val="en-US" w:eastAsia="zh-CN"/>
        </w:rPr>
        <w:t>1</w:t>
      </w:r>
      <w:r>
        <w:rPr>
          <w:rFonts w:hint="eastAsia" w:ascii="宋体" w:hAnsi="宋体"/>
          <w:b/>
          <w:sz w:val="36"/>
          <w:szCs w:val="36"/>
        </w:rPr>
        <w:t>年度决算情况说明</w:t>
      </w:r>
    </w:p>
    <w:p w14:paraId="57220A55">
      <w:pPr>
        <w:pStyle w:val="6"/>
        <w:spacing w:line="560" w:lineRule="exact"/>
        <w:ind w:firstLine="640" w:firstLineChars="200"/>
        <w:rPr>
          <w:rFonts w:hint="default" w:ascii="黑体" w:eastAsia="黑体"/>
          <w:sz w:val="32"/>
        </w:rPr>
      </w:pPr>
    </w:p>
    <w:p w14:paraId="00DD63A5">
      <w:pPr>
        <w:spacing w:line="540" w:lineRule="exact"/>
        <w:ind w:firstLine="627" w:firstLineChars="196"/>
        <w:rPr>
          <w:rFonts w:ascii="黑体" w:eastAsia="黑体"/>
          <w:sz w:val="32"/>
        </w:rPr>
      </w:pPr>
      <w:r>
        <w:rPr>
          <w:rFonts w:ascii="黑体" w:eastAsia="黑体"/>
          <w:sz w:val="32"/>
        </w:rPr>
        <w:t>一、收入支出决算总体情况说明</w:t>
      </w:r>
    </w:p>
    <w:p w14:paraId="49094236">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75.08</w:t>
      </w:r>
      <w:r>
        <w:rPr>
          <w:rFonts w:ascii="楷体_GB2312" w:eastAsia="楷体_GB2312"/>
          <w:b/>
          <w:sz w:val="32"/>
        </w:rPr>
        <w:t>万元，包括：</w:t>
      </w:r>
    </w:p>
    <w:p w14:paraId="2EE8C69A">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75.08</w:t>
      </w:r>
      <w:r>
        <w:rPr>
          <w:rFonts w:ascii="仿宋_GB2312" w:eastAsia="仿宋_GB2312"/>
          <w:sz w:val="32"/>
        </w:rPr>
        <w:t>万元，占收入总计的</w:t>
      </w:r>
      <w:r>
        <w:rPr>
          <w:rFonts w:hint="eastAsia" w:ascii="仿宋_GB2312" w:eastAsia="仿宋_GB2312"/>
          <w:sz w:val="32"/>
          <w:lang w:val="en-US" w:eastAsia="zh-CN"/>
        </w:rPr>
        <w:t>100</w:t>
      </w:r>
      <w:r>
        <w:rPr>
          <w:rFonts w:ascii="仿宋_GB2312" w:eastAsia="仿宋_GB2312"/>
          <w:sz w:val="32"/>
        </w:rPr>
        <w:t>%。其中：一般公共预算财政拨款收入</w:t>
      </w:r>
      <w:r>
        <w:rPr>
          <w:rFonts w:hint="eastAsia" w:ascii="仿宋_GB2312" w:eastAsia="仿宋_GB2312"/>
          <w:sz w:val="32"/>
          <w:lang w:val="en-US" w:eastAsia="zh-CN"/>
        </w:rPr>
        <w:t>75.08</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14:paraId="40CC2490">
      <w:pPr>
        <w:pStyle w:val="6"/>
        <w:spacing w:line="560" w:lineRule="exact"/>
        <w:ind w:firstLine="660"/>
        <w:rPr>
          <w:rFonts w:ascii="仿宋_GB2312" w:eastAsia="仿宋_GB2312"/>
          <w:sz w:val="32"/>
          <w:highlight w:val="none"/>
        </w:rPr>
      </w:pPr>
      <w:r>
        <w:rPr>
          <w:rFonts w:hint="eastAsia" w:ascii="仿宋_GB2312" w:eastAsia="仿宋_GB2312"/>
          <w:sz w:val="32"/>
          <w:lang w:val="en-US" w:eastAsia="zh-CN"/>
        </w:rPr>
        <w:t>2</w:t>
      </w:r>
      <w:r>
        <w:rPr>
          <w:rFonts w:ascii="仿宋_GB2312" w:eastAsia="仿宋_GB2312"/>
          <w:sz w:val="32"/>
        </w:rPr>
        <w:t>.上年结转和结余</w:t>
      </w:r>
      <w:r>
        <w:rPr>
          <w:rFonts w:hint="eastAsia" w:ascii="仿宋_GB2312" w:eastAsia="仿宋_GB2312"/>
          <w:sz w:val="32"/>
          <w:lang w:val="en-US" w:eastAsia="zh-CN"/>
        </w:rPr>
        <w:t>0</w:t>
      </w:r>
      <w:r>
        <w:rPr>
          <w:rFonts w:ascii="仿宋_GB2312" w:eastAsia="仿宋_GB2312"/>
          <w:sz w:val="32"/>
        </w:rPr>
        <w:t>万元，占收入总计</w:t>
      </w:r>
      <w:r>
        <w:rPr>
          <w:rFonts w:ascii="仿宋_GB2312" w:eastAsia="仿宋_GB2312"/>
          <w:sz w:val="32"/>
          <w:highlight w:val="none"/>
        </w:rPr>
        <w:t>的</w:t>
      </w:r>
      <w:r>
        <w:rPr>
          <w:rFonts w:hint="eastAsia" w:ascii="仿宋_GB2312" w:eastAsia="仿宋_GB2312"/>
          <w:sz w:val="32"/>
          <w:highlight w:val="none"/>
          <w:lang w:val="en-US" w:eastAsia="zh-CN"/>
        </w:rPr>
        <w:t>0</w:t>
      </w:r>
      <w:r>
        <w:rPr>
          <w:rFonts w:ascii="仿宋_GB2312" w:eastAsia="仿宋_GB2312"/>
          <w:sz w:val="32"/>
          <w:highlight w:val="none"/>
        </w:rPr>
        <w:t>%。</w:t>
      </w:r>
    </w:p>
    <w:p w14:paraId="22062152">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与上年相比，今年收入增加</w:t>
      </w:r>
      <w:r>
        <w:rPr>
          <w:rFonts w:hint="eastAsia" w:ascii="仿宋_GB2312" w:hAnsi="宋体" w:eastAsia="仿宋_GB2312"/>
          <w:sz w:val="32"/>
          <w:szCs w:val="32"/>
          <w:highlight w:val="none"/>
          <w:lang w:val="en-US" w:eastAsia="zh-CN"/>
        </w:rPr>
        <w:t>14.52</w:t>
      </w:r>
      <w:r>
        <w:rPr>
          <w:rFonts w:hint="eastAsia" w:ascii="仿宋_GB2312" w:hAnsi="宋体" w:eastAsia="仿宋_GB2312"/>
          <w:sz w:val="32"/>
          <w:szCs w:val="32"/>
          <w:highlight w:val="none"/>
        </w:rPr>
        <w:t>万元，增长</w:t>
      </w:r>
      <w:r>
        <w:rPr>
          <w:rFonts w:hint="eastAsia" w:ascii="仿宋_GB2312" w:hAnsi="宋体" w:eastAsia="仿宋_GB2312"/>
          <w:sz w:val="32"/>
          <w:szCs w:val="32"/>
          <w:highlight w:val="none"/>
          <w:lang w:val="en-US" w:eastAsia="zh-CN"/>
        </w:rPr>
        <w:t>23.97</w:t>
      </w:r>
      <w:r>
        <w:rPr>
          <w:rFonts w:hint="eastAsia" w:ascii="仿宋_GB2312" w:hAnsi="宋体" w:eastAsia="仿宋_GB2312"/>
          <w:sz w:val="32"/>
          <w:szCs w:val="32"/>
          <w:highlight w:val="none"/>
        </w:rPr>
        <w:t>%，主要原因：</w:t>
      </w:r>
      <w:r>
        <w:rPr>
          <w:rFonts w:hint="eastAsia" w:ascii="仿宋_GB2312" w:hAnsi="黑体" w:eastAsia="仿宋_GB2312"/>
          <w:sz w:val="32"/>
          <w:szCs w:val="32"/>
          <w:highlight w:val="none"/>
        </w:rPr>
        <w:t>工会经费增加</w:t>
      </w:r>
      <w:r>
        <w:rPr>
          <w:rFonts w:hint="eastAsia" w:ascii="仿宋_GB2312" w:hAnsi="宋体" w:eastAsia="仿宋_GB2312"/>
          <w:sz w:val="32"/>
          <w:szCs w:val="32"/>
          <w:highlight w:val="none"/>
        </w:rPr>
        <w:t>。</w:t>
      </w:r>
    </w:p>
    <w:p w14:paraId="21DFD810">
      <w:pPr>
        <w:spacing w:line="540" w:lineRule="exact"/>
        <w:ind w:firstLine="660"/>
        <w:rPr>
          <w:rFonts w:hint="eastAsia" w:ascii="楷体_GB2312" w:hAnsi="宋体" w:eastAsia="楷体_GB2312"/>
          <w:b/>
          <w:sz w:val="32"/>
          <w:szCs w:val="32"/>
          <w:highlight w:val="none"/>
        </w:rPr>
      </w:pPr>
      <w:r>
        <w:rPr>
          <w:rFonts w:hint="eastAsia" w:ascii="楷体_GB2312" w:hAnsi="宋体" w:eastAsia="楷体_GB2312"/>
          <w:b/>
          <w:sz w:val="32"/>
          <w:szCs w:val="32"/>
          <w:highlight w:val="none"/>
        </w:rPr>
        <w:t>（二）支出总计</w:t>
      </w:r>
      <w:r>
        <w:rPr>
          <w:rFonts w:hint="eastAsia" w:ascii="楷体_GB2312" w:hAnsi="宋体" w:eastAsia="楷体_GB2312"/>
          <w:b/>
          <w:sz w:val="32"/>
          <w:szCs w:val="32"/>
          <w:highlight w:val="none"/>
          <w:lang w:val="en-US" w:eastAsia="zh-CN"/>
        </w:rPr>
        <w:t>75.08</w:t>
      </w:r>
      <w:r>
        <w:rPr>
          <w:rFonts w:hint="eastAsia" w:ascii="楷体_GB2312" w:hAnsi="宋体" w:eastAsia="楷体_GB2312"/>
          <w:b/>
          <w:sz w:val="32"/>
          <w:szCs w:val="32"/>
          <w:highlight w:val="none"/>
        </w:rPr>
        <w:t>万元，包括：</w:t>
      </w:r>
    </w:p>
    <w:p w14:paraId="78F60CFC">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1.基本支出</w:t>
      </w:r>
      <w:r>
        <w:rPr>
          <w:rFonts w:hint="eastAsia" w:ascii="仿宋_GB2312" w:hAnsi="宋体" w:eastAsia="仿宋_GB2312"/>
          <w:sz w:val="32"/>
          <w:szCs w:val="32"/>
          <w:highlight w:val="none"/>
          <w:lang w:val="en-US" w:eastAsia="zh-CN"/>
        </w:rPr>
        <w:t>10.68</w:t>
      </w:r>
      <w:r>
        <w:rPr>
          <w:rFonts w:hint="eastAsia" w:ascii="仿宋_GB2312" w:hAnsi="宋体" w:eastAsia="仿宋_GB2312"/>
          <w:sz w:val="32"/>
          <w:szCs w:val="32"/>
          <w:highlight w:val="none"/>
        </w:rPr>
        <w:t>万元，占支出总计的</w:t>
      </w:r>
      <w:r>
        <w:rPr>
          <w:rFonts w:hint="eastAsia" w:ascii="仿宋_GB2312" w:hAnsi="宋体" w:eastAsia="仿宋_GB2312"/>
          <w:sz w:val="32"/>
          <w:szCs w:val="32"/>
          <w:highlight w:val="none"/>
          <w:lang w:val="en-US" w:eastAsia="zh-CN"/>
        </w:rPr>
        <w:t>14.22</w:t>
      </w:r>
      <w:r>
        <w:rPr>
          <w:rFonts w:hint="eastAsia" w:ascii="仿宋_GB2312" w:hAnsi="宋体" w:eastAsia="仿宋_GB2312"/>
          <w:sz w:val="32"/>
          <w:szCs w:val="32"/>
          <w:highlight w:val="none"/>
        </w:rPr>
        <w:t>%。主要是为保障机构正常运转、完成日常工作任务而发生的各项支出，其中：工资福利支出1.</w:t>
      </w:r>
      <w:r>
        <w:rPr>
          <w:rFonts w:hint="eastAsia" w:ascii="仿宋_GB2312" w:hAnsi="宋体" w:eastAsia="仿宋_GB2312"/>
          <w:sz w:val="32"/>
          <w:szCs w:val="32"/>
          <w:highlight w:val="none"/>
          <w:lang w:val="en-US" w:eastAsia="zh-CN"/>
        </w:rPr>
        <w:t>54</w:t>
      </w:r>
      <w:r>
        <w:rPr>
          <w:rFonts w:hint="eastAsia" w:ascii="仿宋_GB2312" w:hAnsi="宋体" w:eastAsia="仿宋_GB2312"/>
          <w:sz w:val="32"/>
          <w:szCs w:val="32"/>
          <w:highlight w:val="none"/>
        </w:rPr>
        <w:t>万元，对个人和家庭的补助支出</w:t>
      </w:r>
      <w:r>
        <w:rPr>
          <w:rFonts w:hint="eastAsia" w:ascii="仿宋_GB2312" w:hAnsi="宋体" w:eastAsia="仿宋_GB2312"/>
          <w:sz w:val="32"/>
          <w:szCs w:val="32"/>
          <w:highlight w:val="none"/>
          <w:lang w:val="en-US" w:eastAsia="zh-CN"/>
        </w:rPr>
        <w:t>6.37</w:t>
      </w:r>
      <w:r>
        <w:rPr>
          <w:rFonts w:hint="eastAsia" w:ascii="仿宋_GB2312" w:hAnsi="宋体" w:eastAsia="仿宋_GB2312"/>
          <w:sz w:val="32"/>
          <w:szCs w:val="32"/>
          <w:highlight w:val="none"/>
        </w:rPr>
        <w:t>万元，商品和服务支出</w:t>
      </w:r>
      <w:r>
        <w:rPr>
          <w:rFonts w:hint="eastAsia" w:ascii="仿宋_GB2312" w:hAnsi="宋体" w:eastAsia="仿宋_GB2312"/>
          <w:sz w:val="32"/>
          <w:szCs w:val="32"/>
          <w:highlight w:val="none"/>
          <w:lang w:val="en-US" w:eastAsia="zh-CN"/>
        </w:rPr>
        <w:t>2.76</w:t>
      </w:r>
      <w:r>
        <w:rPr>
          <w:rFonts w:hint="eastAsia" w:ascii="仿宋_GB2312" w:hAnsi="宋体" w:eastAsia="仿宋_GB2312"/>
          <w:sz w:val="32"/>
          <w:szCs w:val="32"/>
          <w:highlight w:val="none"/>
        </w:rPr>
        <w:t>万元。</w:t>
      </w:r>
    </w:p>
    <w:p w14:paraId="0E1FD352">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highlight w:val="none"/>
        </w:rPr>
        <w:t>2.项目支出</w:t>
      </w:r>
      <w:r>
        <w:rPr>
          <w:rFonts w:hint="eastAsia" w:ascii="仿宋_GB2312" w:hAnsi="宋体" w:eastAsia="仿宋_GB2312"/>
          <w:sz w:val="32"/>
          <w:szCs w:val="32"/>
          <w:highlight w:val="none"/>
          <w:lang w:val="en-US" w:eastAsia="zh-CN"/>
        </w:rPr>
        <w:t>55</w:t>
      </w:r>
      <w:r>
        <w:rPr>
          <w:rFonts w:hint="eastAsia" w:ascii="仿宋_GB2312" w:hAnsi="宋体" w:eastAsia="仿宋_GB2312"/>
          <w:sz w:val="32"/>
          <w:szCs w:val="32"/>
          <w:highlight w:val="none"/>
        </w:rPr>
        <w:t>万元，占支出总计的</w:t>
      </w:r>
      <w:r>
        <w:rPr>
          <w:rFonts w:hint="eastAsia" w:ascii="仿宋_GB2312" w:hAnsi="宋体" w:eastAsia="仿宋_GB2312"/>
          <w:sz w:val="32"/>
          <w:szCs w:val="32"/>
          <w:highlight w:val="none"/>
          <w:lang w:val="en-US" w:eastAsia="zh-CN"/>
        </w:rPr>
        <w:t>73.25</w:t>
      </w:r>
      <w:r>
        <w:rPr>
          <w:rFonts w:hint="eastAsia" w:ascii="仿宋_GB2312" w:hAnsi="宋体" w:eastAsia="仿宋_GB2312"/>
          <w:sz w:val="32"/>
          <w:szCs w:val="32"/>
          <w:highlight w:val="none"/>
        </w:rPr>
        <w:t>%。主</w:t>
      </w:r>
      <w:r>
        <w:rPr>
          <w:rFonts w:hint="eastAsia" w:ascii="仿宋_GB2312" w:hAnsi="宋体" w:eastAsia="仿宋_GB2312"/>
          <w:sz w:val="32"/>
          <w:szCs w:val="32"/>
        </w:rPr>
        <w:t>要包括工会经费等业务支出。</w:t>
      </w:r>
    </w:p>
    <w:p w14:paraId="22CED7A9">
      <w:pPr>
        <w:pStyle w:val="6"/>
        <w:spacing w:line="560" w:lineRule="exact"/>
        <w:ind w:firstLine="660"/>
        <w:rPr>
          <w:rFonts w:hint="eastAsia" w:ascii="仿宋_GB2312" w:hAnsi="宋体" w:eastAsia="仿宋_GB2312"/>
          <w:sz w:val="32"/>
          <w:szCs w:val="32"/>
        </w:rPr>
      </w:pPr>
      <w:r>
        <w:rPr>
          <w:rFonts w:hint="eastAsia" w:ascii="仿宋_GB2312" w:hAnsi="宋体" w:eastAsia="仿宋_GB2312"/>
          <w:sz w:val="32"/>
          <w:szCs w:val="32"/>
        </w:rPr>
        <w:t>与上年相比，今年支出增加</w:t>
      </w:r>
      <w:r>
        <w:rPr>
          <w:rFonts w:hint="eastAsia" w:ascii="仿宋_GB2312" w:hAnsi="宋体" w:eastAsia="仿宋_GB2312"/>
          <w:sz w:val="32"/>
          <w:szCs w:val="32"/>
          <w:highlight w:val="none"/>
          <w:lang w:val="en-US" w:eastAsia="zh-CN"/>
        </w:rPr>
        <w:t>14.52</w:t>
      </w:r>
      <w:r>
        <w:rPr>
          <w:rFonts w:hint="eastAsia" w:ascii="仿宋_GB2312" w:hAnsi="宋体" w:eastAsia="仿宋_GB2312"/>
          <w:sz w:val="32"/>
          <w:szCs w:val="32"/>
        </w:rPr>
        <w:t>万元，增</w:t>
      </w:r>
      <w:r>
        <w:rPr>
          <w:rFonts w:hint="eastAsia" w:ascii="仿宋_GB2312" w:hAnsi="宋体" w:eastAsia="仿宋_GB2312"/>
          <w:sz w:val="32"/>
          <w:szCs w:val="32"/>
          <w:highlight w:val="none"/>
        </w:rPr>
        <w:t>长</w:t>
      </w:r>
      <w:r>
        <w:rPr>
          <w:rFonts w:hint="eastAsia" w:ascii="仿宋_GB2312" w:hAnsi="宋体" w:eastAsia="仿宋_GB2312"/>
          <w:sz w:val="32"/>
          <w:szCs w:val="32"/>
          <w:highlight w:val="none"/>
          <w:lang w:val="en-US" w:eastAsia="zh-CN"/>
        </w:rPr>
        <w:t>23.97</w:t>
      </w:r>
      <w:r>
        <w:rPr>
          <w:rFonts w:hint="eastAsia" w:ascii="仿宋_GB2312" w:hAnsi="宋体" w:eastAsia="仿宋_GB2312"/>
          <w:sz w:val="32"/>
          <w:szCs w:val="32"/>
          <w:highlight w:val="none"/>
        </w:rPr>
        <w:t>%</w:t>
      </w:r>
      <w:r>
        <w:rPr>
          <w:rFonts w:hint="eastAsia" w:ascii="仿宋_GB2312" w:hAnsi="宋体" w:eastAsia="仿宋_GB2312"/>
          <w:sz w:val="32"/>
          <w:szCs w:val="32"/>
        </w:rPr>
        <w:t>，主要原因：</w:t>
      </w:r>
      <w:r>
        <w:rPr>
          <w:rFonts w:hint="eastAsia" w:ascii="仿宋_GB2312" w:hAnsi="黑体" w:eastAsia="仿宋_GB2312"/>
          <w:sz w:val="32"/>
          <w:szCs w:val="32"/>
        </w:rPr>
        <w:t>工会经费增加</w:t>
      </w:r>
      <w:r>
        <w:rPr>
          <w:rFonts w:hint="eastAsia" w:ascii="仿宋_GB2312" w:hAnsi="宋体" w:eastAsia="仿宋_GB2312"/>
          <w:sz w:val="32"/>
          <w:szCs w:val="32"/>
        </w:rPr>
        <w:t>。</w:t>
      </w:r>
    </w:p>
    <w:p w14:paraId="20BC24E0">
      <w:pPr>
        <w:spacing w:line="540" w:lineRule="exact"/>
        <w:ind w:firstLine="660"/>
        <w:rPr>
          <w:rFonts w:hint="eastAsia" w:ascii="楷体_GB2312" w:hAnsi="宋体" w:eastAsia="楷体_GB2312"/>
          <w:b/>
          <w:sz w:val="32"/>
          <w:szCs w:val="32"/>
        </w:rPr>
      </w:pPr>
      <w:r>
        <w:rPr>
          <w:rFonts w:hint="eastAsia" w:ascii="楷体_GB2312" w:hAnsi="宋体" w:eastAsia="楷体_GB2312"/>
          <w:b/>
          <w:sz w:val="32"/>
          <w:szCs w:val="32"/>
        </w:rPr>
        <w:t>（三）年末结转和结余0万元。</w:t>
      </w:r>
    </w:p>
    <w:p w14:paraId="33EDFD34">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与上年相比，今年结转结余持平，主要原因是上年与本年均无此结余发生。</w:t>
      </w:r>
    </w:p>
    <w:p w14:paraId="506BCCD1">
      <w:pPr>
        <w:pStyle w:val="6"/>
        <w:spacing w:line="560" w:lineRule="exact"/>
        <w:ind w:firstLine="660"/>
        <w:rPr>
          <w:rFonts w:hint="default" w:ascii="黑体" w:eastAsia="黑体"/>
          <w:sz w:val="32"/>
        </w:rPr>
      </w:pPr>
      <w:r>
        <w:rPr>
          <w:rFonts w:ascii="黑体" w:eastAsia="黑体"/>
          <w:sz w:val="32"/>
        </w:rPr>
        <w:t>二、财政拨款收入支出决算情况说明</w:t>
      </w:r>
    </w:p>
    <w:p w14:paraId="537FC8CC">
      <w:pPr>
        <w:spacing w:line="540" w:lineRule="exact"/>
        <w:ind w:firstLine="660"/>
        <w:rPr>
          <w:rFonts w:hint="eastAsia" w:ascii="楷体_GB2312" w:hAnsi="宋体" w:eastAsia="楷体_GB2312"/>
          <w:b/>
          <w:sz w:val="32"/>
          <w:szCs w:val="32"/>
        </w:rPr>
      </w:pPr>
      <w:r>
        <w:rPr>
          <w:rFonts w:hint="eastAsia" w:ascii="楷体_GB2312" w:hAnsi="宋体" w:eastAsia="楷体_GB2312"/>
          <w:b/>
          <w:sz w:val="32"/>
          <w:szCs w:val="32"/>
        </w:rPr>
        <w:t>（一）总体情况。</w:t>
      </w:r>
    </w:p>
    <w:p w14:paraId="61EAAC30">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年度财政拨款支出</w:t>
      </w:r>
      <w:r>
        <w:rPr>
          <w:rFonts w:hint="eastAsia" w:ascii="仿宋_GB2312" w:hAnsi="宋体" w:eastAsia="仿宋_GB2312"/>
          <w:sz w:val="32"/>
          <w:szCs w:val="32"/>
          <w:lang w:val="en-US" w:eastAsia="zh-CN"/>
        </w:rPr>
        <w:t>75.08</w:t>
      </w:r>
      <w:r>
        <w:rPr>
          <w:rFonts w:hint="eastAsia" w:ascii="仿宋_GB2312" w:hAnsi="宋体" w:eastAsia="仿宋_GB2312"/>
          <w:sz w:val="32"/>
          <w:szCs w:val="32"/>
        </w:rPr>
        <w:t>万元，其中：基本支出</w:t>
      </w:r>
      <w:r>
        <w:rPr>
          <w:rFonts w:hint="eastAsia" w:ascii="仿宋_GB2312" w:hAnsi="宋体" w:eastAsia="仿宋_GB2312"/>
          <w:sz w:val="32"/>
          <w:szCs w:val="32"/>
          <w:lang w:val="en-US" w:eastAsia="zh-CN"/>
        </w:rPr>
        <w:t>10.68</w:t>
      </w:r>
      <w:r>
        <w:rPr>
          <w:rFonts w:hint="eastAsia" w:ascii="仿宋_GB2312" w:hAnsi="宋体" w:eastAsia="仿宋_GB2312"/>
          <w:sz w:val="32"/>
          <w:szCs w:val="32"/>
        </w:rPr>
        <w:t>万元，项目支出</w:t>
      </w:r>
      <w:r>
        <w:rPr>
          <w:rFonts w:hint="eastAsia" w:ascii="仿宋_GB2312" w:hAnsi="宋体" w:eastAsia="仿宋_GB2312"/>
          <w:sz w:val="32"/>
          <w:szCs w:val="32"/>
          <w:lang w:val="en-US" w:eastAsia="zh-CN"/>
        </w:rPr>
        <w:t>64.4</w:t>
      </w:r>
      <w:r>
        <w:rPr>
          <w:rFonts w:hint="eastAsia" w:ascii="仿宋_GB2312" w:hAnsi="宋体" w:eastAsia="仿宋_GB2312"/>
          <w:sz w:val="32"/>
          <w:szCs w:val="32"/>
        </w:rPr>
        <w:t>万元。与</w:t>
      </w:r>
      <w:r>
        <w:rPr>
          <w:rFonts w:ascii="仿宋_GB2312" w:hAnsi="宋体" w:eastAsia="仿宋_GB2312"/>
          <w:sz w:val="32"/>
          <w:szCs w:val="32"/>
        </w:rPr>
        <w:t>上年相比，</w:t>
      </w:r>
      <w:r>
        <w:rPr>
          <w:rFonts w:hint="eastAsia" w:ascii="仿宋_GB2312" w:hAnsi="宋体" w:eastAsia="仿宋_GB2312"/>
          <w:sz w:val="32"/>
          <w:szCs w:val="32"/>
        </w:rPr>
        <w:t>财政拨款支出增加</w:t>
      </w:r>
      <w:r>
        <w:rPr>
          <w:rFonts w:hint="eastAsia" w:ascii="仿宋_GB2312" w:hAnsi="宋体" w:eastAsia="仿宋_GB2312"/>
          <w:sz w:val="32"/>
          <w:szCs w:val="32"/>
          <w:highlight w:val="none"/>
          <w:lang w:val="en-US" w:eastAsia="zh-CN"/>
        </w:rPr>
        <w:t>14.52</w:t>
      </w:r>
      <w:r>
        <w:rPr>
          <w:rFonts w:hint="eastAsia" w:ascii="仿宋_GB2312" w:hAnsi="宋体" w:eastAsia="仿宋_GB2312"/>
          <w:sz w:val="32"/>
          <w:szCs w:val="32"/>
        </w:rPr>
        <w:t>万元，增</w:t>
      </w:r>
      <w:r>
        <w:rPr>
          <w:rFonts w:hint="eastAsia" w:ascii="仿宋_GB2312" w:hAnsi="宋体" w:eastAsia="仿宋_GB2312"/>
          <w:sz w:val="32"/>
          <w:szCs w:val="32"/>
          <w:highlight w:val="none"/>
        </w:rPr>
        <w:t>长</w:t>
      </w:r>
      <w:r>
        <w:rPr>
          <w:rFonts w:hint="eastAsia" w:ascii="仿宋_GB2312" w:hAnsi="宋体" w:eastAsia="仿宋_GB2312"/>
          <w:sz w:val="32"/>
          <w:szCs w:val="32"/>
          <w:highlight w:val="none"/>
          <w:lang w:val="en-US" w:eastAsia="zh-CN"/>
        </w:rPr>
        <w:t>23.97</w:t>
      </w:r>
      <w:r>
        <w:rPr>
          <w:rFonts w:hint="eastAsia" w:ascii="仿宋_GB2312" w:hAnsi="宋体" w:eastAsia="仿宋_GB2312"/>
          <w:sz w:val="32"/>
          <w:szCs w:val="32"/>
          <w:highlight w:val="none"/>
        </w:rPr>
        <w:t>%</w:t>
      </w:r>
      <w:r>
        <w:rPr>
          <w:rFonts w:hint="eastAsia" w:ascii="仿宋_GB2312" w:hAnsi="宋体" w:eastAsia="仿宋_GB2312"/>
          <w:sz w:val="32"/>
          <w:szCs w:val="32"/>
        </w:rPr>
        <w:t>，主要原因：</w:t>
      </w:r>
      <w:r>
        <w:rPr>
          <w:rFonts w:hint="eastAsia" w:ascii="仿宋_GB2312" w:hAnsi="黑体" w:eastAsia="仿宋_GB2312"/>
          <w:sz w:val="32"/>
          <w:szCs w:val="32"/>
        </w:rPr>
        <w:t>工会经费增加</w:t>
      </w:r>
      <w:r>
        <w:rPr>
          <w:rFonts w:hint="eastAsia" w:ascii="仿宋_GB2312" w:hAnsi="宋体" w:eastAsia="仿宋_GB2312"/>
          <w:sz w:val="32"/>
          <w:szCs w:val="32"/>
        </w:rPr>
        <w:t>。与年初预算相比，202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年度财政拨款支出完成年初预算的100%，其中：基本支出完成年初预算的100%，项目完成年初预算的100%。</w:t>
      </w:r>
    </w:p>
    <w:p w14:paraId="3E5CFD0F">
      <w:pPr>
        <w:spacing w:line="560" w:lineRule="exact"/>
        <w:ind w:firstLine="660"/>
        <w:outlineLvl w:val="2"/>
        <w:rPr>
          <w:rFonts w:hint="eastAsia" w:ascii="楷体_GB2312" w:hAnsi="宋体" w:eastAsia="楷体_GB2312"/>
          <w:b/>
          <w:sz w:val="32"/>
          <w:szCs w:val="32"/>
        </w:rPr>
      </w:pPr>
      <w:r>
        <w:rPr>
          <w:rFonts w:hint="eastAsia" w:ascii="楷体_GB2312" w:hAnsi="宋体" w:eastAsia="楷体_GB2312"/>
          <w:b/>
          <w:sz w:val="32"/>
          <w:szCs w:val="32"/>
        </w:rPr>
        <w:t>（二）一般公共预算财政拨款支出情况。</w:t>
      </w:r>
    </w:p>
    <w:p w14:paraId="6C348C0B">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年度一般公共预算财政拨款支出</w:t>
      </w:r>
      <w:r>
        <w:rPr>
          <w:rFonts w:hint="eastAsia" w:ascii="仿宋_GB2312" w:hAnsi="宋体" w:eastAsia="仿宋_GB2312"/>
          <w:sz w:val="32"/>
          <w:szCs w:val="32"/>
          <w:lang w:val="en-US" w:eastAsia="zh-CN"/>
        </w:rPr>
        <w:t>75.08</w:t>
      </w:r>
      <w:r>
        <w:rPr>
          <w:rFonts w:hint="eastAsia" w:ascii="仿宋_GB2312" w:hAnsi="宋体" w:eastAsia="仿宋_GB2312"/>
          <w:sz w:val="32"/>
          <w:szCs w:val="32"/>
        </w:rPr>
        <w:t>万元，按支出功能分类科目分，包括：一般公共服务支出</w:t>
      </w:r>
      <w:r>
        <w:rPr>
          <w:rFonts w:hint="eastAsia" w:ascii="仿宋_GB2312" w:hAnsi="宋体" w:eastAsia="仿宋_GB2312"/>
          <w:sz w:val="32"/>
          <w:szCs w:val="32"/>
          <w:lang w:val="en-US" w:eastAsia="zh-CN"/>
        </w:rPr>
        <w:t>68.58</w:t>
      </w:r>
      <w:r>
        <w:rPr>
          <w:rFonts w:hint="eastAsia" w:ascii="仿宋_GB2312" w:hAnsi="宋体" w:eastAsia="仿宋_GB2312"/>
          <w:sz w:val="32"/>
          <w:szCs w:val="32"/>
        </w:rPr>
        <w:t>万元，占比</w:t>
      </w:r>
      <w:r>
        <w:rPr>
          <w:rFonts w:hint="eastAsia" w:ascii="仿宋_GB2312" w:hAnsi="宋体" w:eastAsia="仿宋_GB2312"/>
          <w:sz w:val="32"/>
          <w:szCs w:val="32"/>
          <w:highlight w:val="none"/>
          <w:lang w:val="en-US" w:eastAsia="zh-CN"/>
        </w:rPr>
        <w:t>91.35</w:t>
      </w:r>
      <w:r>
        <w:rPr>
          <w:rFonts w:ascii="仿宋_GB2312" w:hAnsi="宋体" w:eastAsia="仿宋_GB2312"/>
          <w:sz w:val="32"/>
          <w:szCs w:val="32"/>
          <w:highlight w:val="none"/>
        </w:rPr>
        <w:t>%</w:t>
      </w:r>
      <w:r>
        <w:rPr>
          <w:rFonts w:hint="eastAsia" w:ascii="仿宋_GB2312" w:hAnsi="宋体" w:eastAsia="仿宋_GB2312"/>
          <w:sz w:val="32"/>
          <w:szCs w:val="32"/>
          <w:highlight w:val="none"/>
        </w:rPr>
        <w:t>；社会保障和就业支出</w:t>
      </w:r>
      <w:r>
        <w:rPr>
          <w:rFonts w:hint="eastAsia" w:ascii="仿宋_GB2312" w:hAnsi="宋体" w:eastAsia="仿宋_GB2312"/>
          <w:sz w:val="32"/>
          <w:szCs w:val="32"/>
          <w:highlight w:val="none"/>
          <w:lang w:val="en-US" w:eastAsia="zh-CN"/>
        </w:rPr>
        <w:t>6.37</w:t>
      </w:r>
      <w:r>
        <w:rPr>
          <w:rFonts w:hint="eastAsia" w:ascii="仿宋_GB2312" w:hAnsi="宋体" w:eastAsia="仿宋_GB2312"/>
          <w:sz w:val="32"/>
          <w:szCs w:val="32"/>
          <w:highlight w:val="none"/>
        </w:rPr>
        <w:t>万元，占比</w:t>
      </w:r>
      <w:r>
        <w:rPr>
          <w:rFonts w:hint="eastAsia" w:ascii="仿宋_GB2312" w:hAnsi="宋体" w:eastAsia="仿宋_GB2312"/>
          <w:sz w:val="32"/>
          <w:szCs w:val="32"/>
          <w:highlight w:val="none"/>
          <w:lang w:val="en-US" w:eastAsia="zh-CN"/>
        </w:rPr>
        <w:t>8.48</w:t>
      </w:r>
      <w:r>
        <w:rPr>
          <w:rFonts w:hint="eastAsia" w:ascii="仿宋_GB2312" w:hAnsi="宋体" w:eastAsia="仿宋_GB2312"/>
          <w:sz w:val="32"/>
          <w:szCs w:val="32"/>
          <w:highlight w:val="none"/>
        </w:rPr>
        <w:t>%；卫生健康支出0.13万元，占比0.</w:t>
      </w:r>
      <w:r>
        <w:rPr>
          <w:rFonts w:hint="eastAsia" w:ascii="仿宋_GB2312" w:hAnsi="宋体" w:eastAsia="仿宋_GB2312"/>
          <w:sz w:val="32"/>
          <w:szCs w:val="32"/>
          <w:highlight w:val="none"/>
          <w:lang w:val="en-US" w:eastAsia="zh-CN"/>
        </w:rPr>
        <w:t>17</w:t>
      </w:r>
      <w:r>
        <w:rPr>
          <w:rFonts w:hint="eastAsia" w:ascii="仿宋_GB2312" w:hAnsi="宋体" w:eastAsia="仿宋_GB2312"/>
          <w:sz w:val="32"/>
          <w:szCs w:val="32"/>
          <w:highlight w:val="none"/>
        </w:rPr>
        <w:t>%</w:t>
      </w:r>
      <w:r>
        <w:rPr>
          <w:rFonts w:hint="eastAsia" w:ascii="仿宋_GB2312" w:hAnsi="宋体" w:eastAsia="仿宋_GB2312"/>
          <w:sz w:val="32"/>
          <w:szCs w:val="32"/>
        </w:rPr>
        <w:t>。</w:t>
      </w:r>
    </w:p>
    <w:p w14:paraId="18175F17">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hint="eastAsia" w:ascii="仿宋_GB2312" w:hAnsi="宋体" w:eastAsia="仿宋_GB2312"/>
          <w:sz w:val="32"/>
          <w:szCs w:val="32"/>
          <w:lang w:val="en-US" w:eastAsia="zh-CN"/>
        </w:rPr>
        <w:t>68.58</w:t>
      </w:r>
      <w:r>
        <w:rPr>
          <w:rFonts w:ascii="仿宋_GB2312" w:hAnsi="宋体" w:eastAsia="仿宋_GB2312"/>
          <w:sz w:val="32"/>
          <w:szCs w:val="32"/>
        </w:rPr>
        <w:t>万元，具体包括：</w:t>
      </w:r>
    </w:p>
    <w:p w14:paraId="66FF1E0B">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（1）一般公共服务支出（类）财政事务（款）行政运行（项）</w:t>
      </w:r>
      <w:r>
        <w:rPr>
          <w:rFonts w:hint="eastAsia" w:ascii="仿宋_GB2312" w:hAnsi="宋体" w:eastAsia="仿宋_GB2312"/>
          <w:sz w:val="32"/>
          <w:szCs w:val="32"/>
          <w:lang w:val="en-US" w:eastAsia="zh-CN"/>
        </w:rPr>
        <w:t>4.18</w:t>
      </w:r>
      <w:r>
        <w:rPr>
          <w:rFonts w:ascii="仿宋_GB2312" w:hAnsi="宋体" w:eastAsia="仿宋_GB2312"/>
          <w:sz w:val="32"/>
          <w:szCs w:val="32"/>
        </w:rPr>
        <w:t>万元，</w:t>
      </w:r>
      <w:r>
        <w:rPr>
          <w:rFonts w:hint="eastAsia" w:ascii="仿宋_GB2312" w:hAnsi="宋体" w:eastAsia="仿宋_GB2312"/>
          <w:sz w:val="32"/>
          <w:szCs w:val="32"/>
        </w:rPr>
        <w:t>主要是用于工资、津贴等支出，完成年初预算的100%，因各项支出均按预算执行，因此100%完成。</w:t>
      </w:r>
    </w:p>
    <w:p w14:paraId="6DF62E8B">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（2）一般公共服务支出（类）一般群众团体事务（款）</w:t>
      </w:r>
      <w:bookmarkStart w:id="0" w:name="_GoBack"/>
      <w:bookmarkEnd w:id="0"/>
      <w:r>
        <w:rPr>
          <w:rFonts w:hint="eastAsia" w:ascii="仿宋_GB2312" w:hAnsi="宋体" w:eastAsia="仿宋_GB2312"/>
          <w:sz w:val="32"/>
          <w:szCs w:val="32"/>
          <w:lang w:eastAsia="zh-CN"/>
        </w:rPr>
        <w:t>一般行政管理事务</w:t>
      </w:r>
      <w:r>
        <w:rPr>
          <w:rFonts w:hint="eastAsia" w:ascii="仿宋_GB2312" w:hAnsi="宋体" w:eastAsia="仿宋_GB2312"/>
          <w:sz w:val="32"/>
          <w:szCs w:val="32"/>
        </w:rPr>
        <w:t>（项）</w:t>
      </w:r>
      <w:r>
        <w:rPr>
          <w:rFonts w:hint="eastAsia" w:ascii="仿宋_GB2312" w:hAnsi="宋体" w:eastAsia="仿宋_GB2312"/>
          <w:sz w:val="32"/>
          <w:szCs w:val="32"/>
          <w:lang w:val="en-US" w:eastAsia="zh-CN"/>
        </w:rPr>
        <w:t>9.40</w:t>
      </w:r>
      <w:r>
        <w:rPr>
          <w:rFonts w:hint="eastAsia" w:ascii="仿宋_GB2312" w:hAnsi="宋体" w:eastAsia="仿宋_GB2312"/>
          <w:sz w:val="32"/>
          <w:szCs w:val="32"/>
        </w:rPr>
        <w:t>万元，主要用于系统服务、绩效评价服务费等支出，完成年初预算100%，因各项支出均按预算执行，因此100%完成。</w:t>
      </w:r>
    </w:p>
    <w:p w14:paraId="307336C8">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3</w:t>
      </w:r>
      <w:r>
        <w:rPr>
          <w:rFonts w:hint="eastAsia" w:ascii="仿宋_GB2312" w:hAnsi="宋体" w:eastAsia="仿宋_GB2312"/>
          <w:sz w:val="32"/>
          <w:szCs w:val="32"/>
        </w:rPr>
        <w:t>）一般公共服务支出（类）一般群众团体事务（款）工会事务支出</w:t>
      </w:r>
      <w:r>
        <w:rPr>
          <w:rFonts w:hint="eastAsia" w:ascii="仿宋_GB2312" w:hAnsi="宋体" w:eastAsia="仿宋_GB2312"/>
          <w:sz w:val="32"/>
          <w:szCs w:val="32"/>
          <w:lang w:val="en-US" w:eastAsia="zh-CN"/>
        </w:rPr>
        <w:t>68.58</w:t>
      </w:r>
      <w:r>
        <w:rPr>
          <w:rFonts w:hint="eastAsia" w:ascii="仿宋_GB2312" w:hAnsi="宋体" w:eastAsia="仿宋_GB2312"/>
          <w:sz w:val="32"/>
          <w:szCs w:val="32"/>
        </w:rPr>
        <w:t>万元，主要用于工会经费支出，完成预算100%，因各项支出均按预算执行，因此100%完成。</w:t>
      </w:r>
    </w:p>
    <w:p w14:paraId="3EA98E9B">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2.社会保障和就业支出</w:t>
      </w:r>
      <w:r>
        <w:rPr>
          <w:rFonts w:hint="eastAsia" w:ascii="仿宋_GB2312" w:hAnsi="宋体" w:eastAsia="仿宋_GB2312"/>
          <w:sz w:val="32"/>
          <w:szCs w:val="32"/>
          <w:lang w:val="en-US" w:eastAsia="zh-CN"/>
        </w:rPr>
        <w:t>6.37</w:t>
      </w:r>
      <w:r>
        <w:rPr>
          <w:rFonts w:hint="eastAsia" w:ascii="仿宋_GB2312" w:hAnsi="宋体" w:eastAsia="仿宋_GB2312"/>
          <w:sz w:val="32"/>
          <w:szCs w:val="32"/>
        </w:rPr>
        <w:t>万元，具体包括：</w:t>
      </w:r>
    </w:p>
    <w:p w14:paraId="584B0653">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（1）社会保障和就业支出（类）行政事业单位养老支出（款）行政单位离退休（项）</w:t>
      </w:r>
      <w:r>
        <w:rPr>
          <w:rFonts w:hint="eastAsia" w:ascii="仿宋_GB2312" w:hAnsi="宋体" w:eastAsia="仿宋_GB2312"/>
          <w:sz w:val="32"/>
          <w:szCs w:val="32"/>
          <w:lang w:val="en-US" w:eastAsia="zh-CN"/>
        </w:rPr>
        <w:t>6.37</w:t>
      </w:r>
      <w:r>
        <w:rPr>
          <w:rFonts w:hint="eastAsia" w:ascii="仿宋_GB2312" w:hAnsi="宋体" w:eastAsia="仿宋_GB2312"/>
          <w:sz w:val="32"/>
          <w:szCs w:val="32"/>
        </w:rPr>
        <w:t>万元，主要用于退休人员取暖费支出，完成预算100%，因各项支出均按预算执行，因此100%完成。</w:t>
      </w:r>
    </w:p>
    <w:p w14:paraId="19B5F3FE">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3.卫生健康支出0.13万元，具体包括：</w:t>
      </w:r>
    </w:p>
    <w:p w14:paraId="6A67AF20">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1</w:t>
      </w:r>
      <w:r>
        <w:rPr>
          <w:rFonts w:hint="eastAsia" w:ascii="仿宋_GB2312" w:hAnsi="宋体" w:eastAsia="仿宋_GB2312"/>
          <w:sz w:val="32"/>
          <w:szCs w:val="32"/>
        </w:rPr>
        <w:t>）卫生健康支出（类）行政事业单位医疗（款）公务员医疗补助（项）0.13万元，主要用于医疗补助支出，完成预算100%，因各项支出均按预算执行，因此100%完成。</w:t>
      </w:r>
    </w:p>
    <w:p w14:paraId="111F47B5">
      <w:pPr>
        <w:spacing w:line="560" w:lineRule="exact"/>
        <w:ind w:firstLine="660"/>
        <w:outlineLvl w:val="2"/>
        <w:rPr>
          <w:rFonts w:hint="eastAsia" w:ascii="楷体_GB2312" w:hAnsi="宋体" w:eastAsia="楷体_GB2312"/>
          <w:b/>
          <w:sz w:val="32"/>
          <w:szCs w:val="32"/>
        </w:rPr>
      </w:pPr>
      <w:r>
        <w:rPr>
          <w:rFonts w:hint="eastAsia" w:ascii="楷体_GB2312" w:hAnsi="宋体" w:eastAsia="楷体_GB2312"/>
          <w:b/>
          <w:sz w:val="32"/>
          <w:szCs w:val="32"/>
        </w:rPr>
        <w:t>（三）政府性基金预算财政拨款支出情况。</w:t>
      </w:r>
    </w:p>
    <w:p w14:paraId="6E427ACB">
      <w:pPr>
        <w:spacing w:line="560" w:lineRule="exact"/>
        <w:ind w:firstLine="660"/>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年度政府性基金预算财政拨款支出0万元，占比0%，主要因为本年无此业务发生。</w:t>
      </w:r>
    </w:p>
    <w:p w14:paraId="55CEC211">
      <w:pPr>
        <w:numPr>
          <w:ilvl w:val="0"/>
          <w:numId w:val="1"/>
        </w:numPr>
        <w:spacing w:line="540" w:lineRule="exact"/>
        <w:ind w:firstLine="660"/>
        <w:rPr>
          <w:rFonts w:hint="eastAsia" w:ascii="楷体_GB2312" w:hAnsi="宋体" w:eastAsia="楷体_GB2312"/>
          <w:b/>
          <w:sz w:val="32"/>
          <w:szCs w:val="32"/>
        </w:rPr>
      </w:pPr>
      <w:r>
        <w:rPr>
          <w:rFonts w:hint="eastAsia" w:ascii="楷体_GB2312" w:hAnsi="宋体" w:eastAsia="楷体_GB2312"/>
          <w:b/>
          <w:sz w:val="32"/>
          <w:szCs w:val="32"/>
        </w:rPr>
        <w:t>国有资本经营预算财政拨款支出情况。</w:t>
      </w:r>
    </w:p>
    <w:p w14:paraId="31100DDC">
      <w:pPr>
        <w:spacing w:line="560" w:lineRule="exact"/>
        <w:ind w:firstLine="660"/>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年度国有资本经营预算财政拨款支出0万元，占比0%，主要因为本年无此业务发生。</w:t>
      </w:r>
    </w:p>
    <w:p w14:paraId="73361340">
      <w:pPr>
        <w:spacing w:line="540" w:lineRule="exact"/>
        <w:ind w:firstLine="660"/>
        <w:rPr>
          <w:rFonts w:hint="eastAsia" w:ascii="仿宋_GB2312" w:hAnsi="仿宋_GB2312" w:eastAsia="仿宋_GB2312" w:cs="仿宋_GB2312"/>
          <w:b/>
          <w:color w:val="FF0000"/>
          <w:sz w:val="32"/>
          <w:szCs w:val="32"/>
        </w:rPr>
      </w:pPr>
      <w:r>
        <w:rPr>
          <w:rFonts w:hint="eastAsia" w:ascii="黑体" w:hAnsi="黑体" w:eastAsia="黑体"/>
          <w:sz w:val="32"/>
          <w:szCs w:val="32"/>
        </w:rPr>
        <w:t>三、一般公共预算财政拨款“三公”经费支出决算情况</w:t>
      </w:r>
    </w:p>
    <w:p w14:paraId="737A9CBF">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度一般公共预算财政拨款安排的“三公”经费支出0万元，完成年初预算的0%，决算数与年初预算数持平的主要原因是无支出。其中：因公出国（境）费0万元，公务接待费0万元，公务用车购置及运行维护费0万元。</w:t>
      </w:r>
    </w:p>
    <w:p w14:paraId="579857EA">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1.因公出国（境）费0万元，占“三公”经费支出的0%。202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年参加出国（境）团组0个，累计0人次。202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年因公出国（境）费与年初预算数比无变化</w:t>
      </w:r>
      <w:r>
        <w:rPr>
          <w:rFonts w:hint="eastAsia" w:ascii="仿宋_GB2312" w:hAnsi="宋体" w:eastAsia="仿宋_GB2312"/>
          <w:sz w:val="32"/>
          <w:szCs w:val="32"/>
          <w:lang w:eastAsia="zh-CN"/>
        </w:rPr>
        <w:t>，</w:t>
      </w:r>
      <w:r>
        <w:rPr>
          <w:rFonts w:hint="eastAsia" w:ascii="仿宋_GB2312" w:hAnsi="宋体" w:eastAsia="仿宋_GB2312"/>
          <w:sz w:val="32"/>
          <w:szCs w:val="32"/>
        </w:rPr>
        <w:t>主要是</w:t>
      </w:r>
      <w:r>
        <w:rPr>
          <w:rFonts w:hint="eastAsia" w:ascii="仿宋_GB2312" w:hAnsi="仿宋_GB2312" w:eastAsia="仿宋_GB2312" w:cs="仿宋_GB2312"/>
          <w:sz w:val="32"/>
          <w:szCs w:val="32"/>
        </w:rPr>
        <w:t>无此业务发生</w:t>
      </w:r>
      <w:r>
        <w:rPr>
          <w:rFonts w:hint="eastAsia" w:ascii="仿宋_GB2312" w:hAnsi="宋体" w:eastAsia="仿宋_GB2312"/>
          <w:sz w:val="32"/>
          <w:szCs w:val="32"/>
        </w:rPr>
        <w:t>。</w:t>
      </w:r>
    </w:p>
    <w:p w14:paraId="623E4D35">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2.公务接待费0万元，占“三公”经费支出的0%。202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年国内公务接待累计0批次、0人、0万元；其中外事接待累计0批次、0人、0万元。202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年公务接待费与年初预算数比无变化，主要是</w:t>
      </w:r>
      <w:r>
        <w:rPr>
          <w:rFonts w:hint="eastAsia" w:ascii="仿宋_GB2312" w:hAnsi="仿宋_GB2312" w:eastAsia="仿宋_GB2312" w:cs="仿宋_GB2312"/>
          <w:sz w:val="32"/>
          <w:szCs w:val="32"/>
        </w:rPr>
        <w:t>无此业务发生</w:t>
      </w:r>
      <w:r>
        <w:rPr>
          <w:rFonts w:hint="eastAsia" w:ascii="仿宋_GB2312" w:hAnsi="宋体" w:eastAsia="仿宋_GB2312"/>
          <w:sz w:val="32"/>
          <w:szCs w:val="32"/>
        </w:rPr>
        <w:t>。</w:t>
      </w:r>
    </w:p>
    <w:p w14:paraId="053D1A05">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3.</w:t>
      </w:r>
      <w:r>
        <w:rPr>
          <w:rFonts w:hint="eastAsia"/>
        </w:rPr>
        <w:t xml:space="preserve"> </w:t>
      </w:r>
      <w:r>
        <w:rPr>
          <w:rFonts w:hint="eastAsia" w:ascii="仿宋_GB2312" w:hAnsi="宋体" w:eastAsia="仿宋_GB2312"/>
          <w:sz w:val="32"/>
          <w:szCs w:val="32"/>
        </w:rPr>
        <w:t>公务用车购置及</w:t>
      </w:r>
      <w:r>
        <w:rPr>
          <w:rFonts w:ascii="仿宋_GB2312" w:hAnsi="宋体" w:eastAsia="仿宋_GB2312"/>
          <w:sz w:val="32"/>
          <w:szCs w:val="32"/>
        </w:rPr>
        <w:t>运行费</w:t>
      </w:r>
      <w:r>
        <w:rPr>
          <w:rFonts w:hint="eastAsia" w:ascii="仿宋_GB2312" w:hAnsi="宋体" w:eastAsia="仿宋_GB2312"/>
          <w:sz w:val="32"/>
          <w:szCs w:val="32"/>
        </w:rPr>
        <w:t>0万元，占“三公”经费支出的0%，与年初预算数比无变化</w:t>
      </w:r>
      <w:r>
        <w:rPr>
          <w:rFonts w:hint="eastAsia" w:ascii="仿宋_GB2312" w:hAnsi="宋体" w:eastAsia="仿宋_GB2312"/>
          <w:sz w:val="32"/>
          <w:szCs w:val="32"/>
          <w:lang w:eastAsia="zh-CN"/>
        </w:rPr>
        <w:t>，</w:t>
      </w:r>
      <w:r>
        <w:rPr>
          <w:rFonts w:hint="eastAsia" w:ascii="仿宋_GB2312" w:hAnsi="宋体" w:eastAsia="仿宋_GB2312"/>
          <w:sz w:val="32"/>
          <w:szCs w:val="32"/>
        </w:rPr>
        <w:t>主要是</w:t>
      </w:r>
      <w:r>
        <w:rPr>
          <w:rFonts w:hint="eastAsia" w:ascii="仿宋_GB2312" w:hAnsi="仿宋_GB2312" w:eastAsia="仿宋_GB2312" w:cs="仿宋_GB2312"/>
          <w:sz w:val="32"/>
          <w:szCs w:val="32"/>
        </w:rPr>
        <w:t>无此业务发生</w:t>
      </w:r>
      <w:r>
        <w:rPr>
          <w:rFonts w:hint="eastAsia" w:ascii="仿宋_GB2312" w:hAnsi="宋体" w:eastAsia="仿宋_GB2312"/>
          <w:sz w:val="32"/>
          <w:szCs w:val="32"/>
        </w:rPr>
        <w:t>。</w:t>
      </w:r>
    </w:p>
    <w:p w14:paraId="554BF764">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其中：公务用车购置费0万元，当年购置公务用车0辆。公务用车运行维护费0万元，截至年末使用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p>
    <w:p w14:paraId="54F4AF6D">
      <w:pPr>
        <w:spacing w:line="540" w:lineRule="exact"/>
        <w:ind w:firstLine="645"/>
        <w:rPr>
          <w:rFonts w:hint="eastAsia" w:ascii="黑体" w:hAnsi="黑体" w:eastAsia="黑体"/>
          <w:sz w:val="32"/>
          <w:szCs w:val="32"/>
        </w:rPr>
      </w:pPr>
      <w:r>
        <w:rPr>
          <w:rFonts w:hint="eastAsia" w:ascii="黑体" w:hAnsi="黑体" w:eastAsia="黑体"/>
          <w:sz w:val="32"/>
          <w:szCs w:val="32"/>
        </w:rPr>
        <w:t>四、一般公共预算财政拨款基本支出决算情况说明</w:t>
      </w:r>
    </w:p>
    <w:p w14:paraId="282E8BC2">
      <w:pPr>
        <w:spacing w:line="540" w:lineRule="exact"/>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年度一般公共预算财政拨款基本支出</w:t>
      </w:r>
      <w:r>
        <w:rPr>
          <w:rFonts w:hint="eastAsia" w:ascii="仿宋_GB2312" w:hAnsi="宋体" w:eastAsia="仿宋_GB2312"/>
          <w:sz w:val="32"/>
          <w:szCs w:val="32"/>
          <w:lang w:val="en-US" w:eastAsia="zh-CN"/>
        </w:rPr>
        <w:t>10.68</w:t>
      </w:r>
      <w:r>
        <w:rPr>
          <w:rFonts w:hint="eastAsia" w:ascii="仿宋_GB2312" w:hAnsi="宋体" w:eastAsia="仿宋_GB2312"/>
          <w:sz w:val="32"/>
          <w:szCs w:val="32"/>
        </w:rPr>
        <w:t>万元，其中：人员经费</w:t>
      </w:r>
      <w:r>
        <w:rPr>
          <w:rFonts w:hint="eastAsia" w:ascii="仿宋_GB2312" w:hAnsi="宋体" w:eastAsia="仿宋_GB2312"/>
          <w:sz w:val="32"/>
          <w:szCs w:val="32"/>
          <w:lang w:val="en-US" w:eastAsia="zh-CN"/>
        </w:rPr>
        <w:t>7.92</w:t>
      </w:r>
      <w:r>
        <w:rPr>
          <w:rFonts w:hint="eastAsia" w:ascii="仿宋_GB2312" w:hAnsi="宋体" w:eastAsia="仿宋_GB2312"/>
          <w:sz w:val="32"/>
          <w:szCs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hAnsi="宋体" w:eastAsia="仿宋_GB2312"/>
          <w:sz w:val="32"/>
          <w:szCs w:val="32"/>
          <w:lang w:val="en-US" w:eastAsia="zh-CN"/>
        </w:rPr>
        <w:t>2.76</w:t>
      </w:r>
      <w:r>
        <w:rPr>
          <w:rFonts w:hint="eastAsia" w:ascii="仿宋_GB2312" w:hAnsi="宋体" w:eastAsia="仿宋_GB2312"/>
          <w:sz w:val="32"/>
          <w:szCs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14:paraId="2562FBD5">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五、其他重要事项的情况说明</w:t>
      </w:r>
    </w:p>
    <w:p w14:paraId="583D43A8">
      <w:pPr>
        <w:spacing w:line="540" w:lineRule="exact"/>
        <w:ind w:firstLine="643" w:firstLineChars="200"/>
        <w:rPr>
          <w:rFonts w:hint="eastAsia" w:ascii="楷体_GB2312" w:hAnsi="黑体" w:eastAsia="楷体_GB2312"/>
          <w:b/>
          <w:sz w:val="32"/>
          <w:szCs w:val="32"/>
        </w:rPr>
      </w:pPr>
      <w:r>
        <w:rPr>
          <w:rFonts w:hint="eastAsia" w:ascii="楷体_GB2312" w:hAnsi="黑体" w:eastAsia="楷体_GB2312"/>
          <w:b/>
          <w:sz w:val="32"/>
          <w:szCs w:val="32"/>
        </w:rPr>
        <w:t>（一）机关运行经费支出情况。</w:t>
      </w:r>
    </w:p>
    <w:p w14:paraId="3495D459">
      <w:pPr>
        <w:spacing w:line="54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年机关运行经费支出</w:t>
      </w:r>
      <w:r>
        <w:rPr>
          <w:rFonts w:hint="eastAsia" w:ascii="仿宋_GB2312" w:hAnsi="黑体" w:eastAsia="仿宋_GB2312"/>
          <w:sz w:val="32"/>
          <w:szCs w:val="32"/>
          <w:lang w:val="en-US" w:eastAsia="zh-CN"/>
        </w:rPr>
        <w:t>2.76</w:t>
      </w:r>
      <w:r>
        <w:rPr>
          <w:rFonts w:hint="eastAsia" w:ascii="仿宋_GB2312" w:hAnsi="黑体" w:eastAsia="仿宋_GB2312"/>
          <w:sz w:val="32"/>
          <w:szCs w:val="32"/>
        </w:rPr>
        <w:t>万元，比上年</w:t>
      </w:r>
      <w:r>
        <w:rPr>
          <w:rFonts w:hint="eastAsia" w:ascii="仿宋_GB2312" w:hAnsi="黑体" w:eastAsia="仿宋_GB2312"/>
          <w:sz w:val="32"/>
          <w:szCs w:val="32"/>
          <w:lang w:eastAsia="zh-CN"/>
        </w:rPr>
        <w:t>减少</w:t>
      </w:r>
      <w:r>
        <w:rPr>
          <w:rFonts w:hint="eastAsia" w:ascii="仿宋_GB2312" w:hAnsi="黑体" w:eastAsia="仿宋_GB2312"/>
          <w:sz w:val="32"/>
          <w:szCs w:val="32"/>
        </w:rPr>
        <w:t>0.</w:t>
      </w:r>
      <w:r>
        <w:rPr>
          <w:rFonts w:hint="eastAsia" w:ascii="仿宋_GB2312" w:hAnsi="黑体" w:eastAsia="仿宋_GB2312"/>
          <w:sz w:val="32"/>
          <w:szCs w:val="32"/>
          <w:lang w:val="en-US" w:eastAsia="zh-CN"/>
        </w:rPr>
        <w:t>76</w:t>
      </w:r>
      <w:r>
        <w:rPr>
          <w:rFonts w:hint="eastAsia" w:ascii="仿宋_GB2312" w:hAnsi="黑体" w:eastAsia="仿宋_GB2312"/>
          <w:sz w:val="32"/>
          <w:szCs w:val="32"/>
        </w:rPr>
        <w:t>万元，</w:t>
      </w:r>
      <w:r>
        <w:rPr>
          <w:rFonts w:hint="eastAsia" w:ascii="仿宋_GB2312" w:hAnsi="黑体" w:eastAsia="仿宋_GB2312"/>
          <w:sz w:val="32"/>
          <w:szCs w:val="32"/>
          <w:lang w:eastAsia="zh-CN"/>
        </w:rPr>
        <w:t>减少</w:t>
      </w:r>
      <w:r>
        <w:rPr>
          <w:rFonts w:hint="eastAsia" w:ascii="仿宋_GB2312" w:hAnsi="黑体" w:eastAsia="仿宋_GB2312"/>
          <w:sz w:val="32"/>
          <w:szCs w:val="32"/>
          <w:highlight w:val="none"/>
          <w:lang w:val="en-US" w:eastAsia="zh-CN"/>
        </w:rPr>
        <w:t>21.59</w:t>
      </w:r>
      <w:r>
        <w:rPr>
          <w:rFonts w:hint="eastAsia" w:ascii="仿宋_GB2312" w:hAnsi="黑体" w:eastAsia="仿宋_GB2312"/>
          <w:sz w:val="32"/>
          <w:szCs w:val="32"/>
          <w:highlight w:val="none"/>
        </w:rPr>
        <w:t>%</w:t>
      </w:r>
      <w:r>
        <w:rPr>
          <w:rFonts w:hint="eastAsia" w:ascii="仿宋_GB2312" w:hAnsi="黑体" w:eastAsia="仿宋_GB2312"/>
          <w:sz w:val="32"/>
          <w:szCs w:val="32"/>
        </w:rPr>
        <w:t>，主要原因是人员经费增加。</w:t>
      </w:r>
    </w:p>
    <w:p w14:paraId="0F1A9A7A">
      <w:pPr>
        <w:spacing w:line="540" w:lineRule="exact"/>
        <w:ind w:firstLine="643" w:firstLineChars="200"/>
        <w:rPr>
          <w:rFonts w:hint="eastAsia" w:ascii="仿宋_GB2312" w:hAnsi="仿宋_GB2312" w:eastAsia="仿宋_GB2312" w:cs="仿宋_GB2312"/>
          <w:b/>
          <w:sz w:val="32"/>
          <w:szCs w:val="32"/>
        </w:rPr>
      </w:pPr>
      <w:r>
        <w:rPr>
          <w:rFonts w:hint="eastAsia" w:ascii="楷体_GB2312" w:hAnsi="黑体" w:eastAsia="楷体_GB2312"/>
          <w:b/>
          <w:sz w:val="32"/>
          <w:szCs w:val="32"/>
        </w:rPr>
        <w:t>（二）政府采购支出情况。</w:t>
      </w:r>
    </w:p>
    <w:p w14:paraId="220F4BB3">
      <w:pPr>
        <w:spacing w:line="54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年政府采购支出总额0万元，其中：政府采购货物支出0万元，政府采购工程支出0万元，政府采购服务支出0万元。</w:t>
      </w:r>
      <w:r>
        <w:rPr>
          <w:rFonts w:hint="eastAsia" w:ascii="仿宋_GB2312" w:eastAsia="仿宋_GB2312"/>
          <w:sz w:val="32"/>
          <w:szCs w:val="32"/>
        </w:rPr>
        <w:t>授予中小企业合同金额0万元，占政府采购支出总额的0%，其中：授予小微企业合同金额0万元，占政府采购支出总额的0%。</w:t>
      </w:r>
    </w:p>
    <w:p w14:paraId="59FF3B9F">
      <w:pPr>
        <w:spacing w:line="540" w:lineRule="exact"/>
        <w:ind w:firstLine="643" w:firstLineChars="200"/>
        <w:rPr>
          <w:rFonts w:hint="eastAsia" w:ascii="楷体_GB2312" w:hAnsi="黑体" w:eastAsia="楷体_GB2312"/>
          <w:b/>
          <w:sz w:val="32"/>
          <w:szCs w:val="32"/>
        </w:rPr>
      </w:pPr>
      <w:r>
        <w:rPr>
          <w:rFonts w:hint="eastAsia" w:ascii="楷体_GB2312" w:hAnsi="黑体" w:eastAsia="楷体_GB2312"/>
          <w:b/>
          <w:sz w:val="32"/>
          <w:szCs w:val="32"/>
        </w:rPr>
        <w:t>（三）国有资产占用情况。</w:t>
      </w:r>
    </w:p>
    <w:p w14:paraId="59FBA2B0">
      <w:pPr>
        <w:spacing w:line="54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截至202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年12月31日，共有车辆0辆，其中：副省级以上领导干部用车0辆，主要</w:t>
      </w:r>
      <w:r>
        <w:rPr>
          <w:rFonts w:ascii="仿宋_GB2312" w:hAnsi="黑体" w:eastAsia="仿宋_GB2312"/>
          <w:sz w:val="32"/>
          <w:szCs w:val="32"/>
        </w:rPr>
        <w:t>领导干部</w:t>
      </w:r>
      <w:r>
        <w:rPr>
          <w:rFonts w:hint="eastAsia" w:ascii="仿宋_GB2312" w:hAnsi="黑体" w:eastAsia="仿宋_GB2312"/>
          <w:sz w:val="32"/>
          <w:szCs w:val="32"/>
        </w:rPr>
        <w:t>用车0辆，机要通讯用车0辆，应急</w:t>
      </w:r>
      <w:r>
        <w:rPr>
          <w:rFonts w:ascii="仿宋_GB2312" w:hAnsi="黑体" w:eastAsia="仿宋_GB2312"/>
          <w:sz w:val="32"/>
          <w:szCs w:val="32"/>
        </w:rPr>
        <w:t>保障用车</w:t>
      </w:r>
      <w:r>
        <w:rPr>
          <w:rFonts w:hint="eastAsia" w:ascii="仿宋_GB2312" w:hAnsi="黑体" w:eastAsia="仿宋_GB2312"/>
          <w:sz w:val="32"/>
          <w:szCs w:val="32"/>
        </w:rPr>
        <w:t>0</w:t>
      </w:r>
      <w:r>
        <w:rPr>
          <w:rFonts w:ascii="仿宋_GB2312" w:hAnsi="黑体" w:eastAsia="仿宋_GB2312"/>
          <w:sz w:val="32"/>
          <w:szCs w:val="32"/>
        </w:rPr>
        <w:t>辆，</w:t>
      </w:r>
      <w:r>
        <w:rPr>
          <w:rFonts w:hint="eastAsia" w:ascii="仿宋_GB2312" w:hAnsi="黑体" w:eastAsia="仿宋_GB2312"/>
          <w:sz w:val="32"/>
          <w:szCs w:val="32"/>
        </w:rPr>
        <w:t>执法执勤</w:t>
      </w:r>
      <w:r>
        <w:rPr>
          <w:rFonts w:ascii="仿宋_GB2312" w:hAnsi="黑体" w:eastAsia="仿宋_GB2312"/>
          <w:sz w:val="32"/>
          <w:szCs w:val="32"/>
        </w:rPr>
        <w:t>用车</w:t>
      </w:r>
      <w:r>
        <w:rPr>
          <w:rFonts w:hint="eastAsia" w:ascii="仿宋_GB2312" w:hAnsi="黑体" w:eastAsia="仿宋_GB2312"/>
          <w:sz w:val="32"/>
          <w:szCs w:val="32"/>
        </w:rPr>
        <w:t>0辆</w:t>
      </w:r>
      <w:r>
        <w:rPr>
          <w:rFonts w:ascii="仿宋_GB2312" w:hAnsi="黑体" w:eastAsia="仿宋_GB2312"/>
          <w:sz w:val="32"/>
          <w:szCs w:val="32"/>
        </w:rPr>
        <w:t>，</w:t>
      </w:r>
      <w:r>
        <w:rPr>
          <w:rFonts w:hint="eastAsia" w:ascii="仿宋_GB2312" w:hAnsi="黑体" w:eastAsia="仿宋_GB2312"/>
          <w:sz w:val="32"/>
          <w:szCs w:val="32"/>
        </w:rPr>
        <w:t>特种专业技术用车0辆，离退休</w:t>
      </w:r>
      <w:r>
        <w:rPr>
          <w:rFonts w:ascii="仿宋_GB2312" w:hAnsi="黑体" w:eastAsia="仿宋_GB2312"/>
          <w:sz w:val="32"/>
          <w:szCs w:val="32"/>
        </w:rPr>
        <w:t>干部用车</w:t>
      </w:r>
      <w:r>
        <w:rPr>
          <w:rFonts w:hint="eastAsia" w:ascii="仿宋_GB2312" w:hAnsi="黑体" w:eastAsia="仿宋_GB2312"/>
          <w:sz w:val="32"/>
          <w:szCs w:val="32"/>
        </w:rPr>
        <w:t>0辆</w:t>
      </w:r>
      <w:r>
        <w:rPr>
          <w:rFonts w:ascii="仿宋_GB2312" w:hAnsi="黑体" w:eastAsia="仿宋_GB2312"/>
          <w:sz w:val="32"/>
          <w:szCs w:val="32"/>
        </w:rPr>
        <w:t>，</w:t>
      </w:r>
      <w:r>
        <w:rPr>
          <w:rFonts w:hint="eastAsia" w:ascii="仿宋_GB2312" w:hAnsi="黑体" w:eastAsia="仿宋_GB2312"/>
          <w:sz w:val="32"/>
          <w:szCs w:val="32"/>
        </w:rPr>
        <w:t>其他用车0辆，其他用车主要是无；单位价值50万元以上通用设备0台（套），单价100万元以上专用设备0台（套）。</w:t>
      </w:r>
    </w:p>
    <w:p w14:paraId="523641E6">
      <w:pPr>
        <w:widowControl/>
        <w:numPr>
          <w:ilvl w:val="0"/>
          <w:numId w:val="2"/>
        </w:numPr>
        <w:spacing w:line="540" w:lineRule="exact"/>
        <w:ind w:firstLine="643" w:firstLineChars="200"/>
        <w:jc w:val="left"/>
        <w:rPr>
          <w:rFonts w:ascii="楷体_GB2312" w:hAnsi="宋体" w:eastAsia="楷体_GB2312" w:cs="楷体_GB2312"/>
          <w:b/>
          <w:sz w:val="32"/>
          <w:szCs w:val="32"/>
          <w:lang w:bidi="ar"/>
        </w:rPr>
      </w:pPr>
      <w:r>
        <w:rPr>
          <w:rFonts w:ascii="楷体_GB2312" w:hAnsi="宋体" w:eastAsia="楷体_GB2312" w:cs="楷体_GB2312"/>
          <w:b/>
          <w:sz w:val="32"/>
          <w:szCs w:val="32"/>
          <w:lang w:bidi="ar"/>
        </w:rPr>
        <w:t>预算绩效管理工作开展情况。</w:t>
      </w:r>
    </w:p>
    <w:p w14:paraId="3F63BC64">
      <w:pPr>
        <w:widowControl/>
        <w:spacing w:line="540" w:lineRule="exact"/>
        <w:ind w:firstLine="640" w:firstLineChars="200"/>
        <w:jc w:val="left"/>
        <w:rPr>
          <w:rFonts w:hint="eastAsia" w:ascii="仿宋_GB2312" w:eastAsia="仿宋_GB2312"/>
          <w:bCs/>
          <w:color w:val="000000"/>
          <w:sz w:val="32"/>
          <w:szCs w:val="32"/>
          <w:lang w:val="en-US" w:eastAsia="zh-CN"/>
        </w:rPr>
      </w:pPr>
      <w:r>
        <w:rPr>
          <w:rFonts w:hint="eastAsia" w:ascii="仿宋_GB2312" w:eastAsia="仿宋_GB2312"/>
          <w:bCs/>
          <w:sz w:val="32"/>
          <w:szCs w:val="32"/>
        </w:rPr>
        <w:t>本部门202</w:t>
      </w:r>
      <w:r>
        <w:rPr>
          <w:rFonts w:hint="eastAsia" w:ascii="仿宋_GB2312" w:eastAsia="仿宋_GB2312"/>
          <w:bCs/>
          <w:sz w:val="32"/>
          <w:szCs w:val="32"/>
          <w:lang w:val="en-US" w:eastAsia="zh-CN"/>
        </w:rPr>
        <w:t>1</w:t>
      </w:r>
      <w:r>
        <w:rPr>
          <w:rFonts w:hint="eastAsia" w:ascii="仿宋_GB2312" w:eastAsia="仿宋_GB2312"/>
          <w:bCs/>
          <w:sz w:val="32"/>
          <w:szCs w:val="32"/>
        </w:rPr>
        <w:t>年不涉及民生项目和重点支出项目，</w:t>
      </w:r>
      <w:r>
        <w:rPr>
          <w:rFonts w:hint="eastAsia" w:ascii="仿宋_GB2312" w:eastAsia="仿宋_GB2312"/>
          <w:bCs/>
          <w:color w:val="000000"/>
          <w:sz w:val="32"/>
          <w:szCs w:val="32"/>
        </w:rPr>
        <w:t>因此本单位无绩效自评及部门评价。</w:t>
      </w:r>
      <w:r>
        <w:rPr>
          <w:rFonts w:hint="eastAsia" w:ascii="仿宋_GB2312" w:eastAsia="仿宋_GB2312"/>
          <w:bCs/>
          <w:color w:val="000000"/>
          <w:sz w:val="32"/>
          <w:szCs w:val="32"/>
          <w:lang w:val="en-US" w:eastAsia="zh-CN"/>
        </w:rPr>
        <w:t xml:space="preserve"> </w:t>
      </w:r>
    </w:p>
    <w:p w14:paraId="476C61F8">
      <w:pPr>
        <w:widowControl/>
        <w:spacing w:line="540" w:lineRule="exact"/>
        <w:ind w:firstLine="640" w:firstLineChars="200"/>
        <w:jc w:val="left"/>
        <w:rPr>
          <w:rFonts w:hint="default" w:ascii="仿宋_GB2312" w:eastAsia="仿宋_GB2312"/>
          <w:bCs/>
          <w:color w:val="000000"/>
          <w:sz w:val="32"/>
          <w:szCs w:val="32"/>
          <w:lang w:val="en-US" w:eastAsia="zh-CN"/>
        </w:rPr>
      </w:pPr>
    </w:p>
    <w:p w14:paraId="0E961775">
      <w:pPr>
        <w:spacing w:line="540" w:lineRule="exact"/>
        <w:jc w:val="center"/>
        <w:rPr>
          <w:rFonts w:ascii="宋体" w:hAnsi="宋体"/>
          <w:b/>
          <w:sz w:val="36"/>
          <w:szCs w:val="36"/>
        </w:rPr>
      </w:pPr>
      <w:r>
        <w:rPr>
          <w:rFonts w:hint="eastAsia" w:ascii="宋体" w:hAnsi="宋体"/>
          <w:b/>
          <w:sz w:val="36"/>
          <w:szCs w:val="36"/>
        </w:rPr>
        <w:t>第三部分名词解释</w:t>
      </w:r>
    </w:p>
    <w:p w14:paraId="626BBBA9">
      <w:pPr>
        <w:pStyle w:val="9"/>
        <w:numPr>
          <w:ilvl w:val="0"/>
          <w:numId w:val="0"/>
        </w:numPr>
        <w:bidi w:val="0"/>
        <w:jc w:val="both"/>
        <w:rPr>
          <w:rFonts w:hint="eastAsia" w:ascii="黑体" w:hAnsi="宋体" w:eastAsia="黑体" w:cstheme="minorBidi"/>
          <w:kern w:val="2"/>
          <w:sz w:val="32"/>
          <w:szCs w:val="22"/>
          <w:lang w:val="en-US" w:eastAsia="zh-CN" w:bidi="ar-SA"/>
        </w:rPr>
      </w:pPr>
    </w:p>
    <w:p w14:paraId="65F54A74">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指单位从同级财政部门取得的财政预算资金。</w:t>
      </w:r>
    </w:p>
    <w:p w14:paraId="4E5E47DF">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2.上级补助收入：</w:t>
      </w:r>
      <w:r>
        <w:rPr>
          <w:rFonts w:hint="eastAsia" w:ascii="仿宋_GB2312" w:eastAsia="仿宋_GB2312"/>
          <w:sz w:val="32"/>
          <w:szCs w:val="32"/>
        </w:rPr>
        <w:t>指单位从主管部门和上级单位取得的非财政性补助收入。</w:t>
      </w:r>
    </w:p>
    <w:p w14:paraId="5EACF907">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3.事业收入：</w:t>
      </w:r>
      <w:r>
        <w:rPr>
          <w:rFonts w:hint="eastAsia" w:ascii="仿宋_GB2312" w:eastAsia="仿宋_GB2312"/>
          <w:sz w:val="32"/>
          <w:szCs w:val="32"/>
        </w:rPr>
        <w:t>指事业单位开展专业业务活动及辅助活动所取得的收入。</w:t>
      </w:r>
    </w:p>
    <w:p w14:paraId="30098C03">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4.经营收入：</w:t>
      </w:r>
      <w:r>
        <w:rPr>
          <w:rFonts w:hint="eastAsia" w:ascii="仿宋_GB2312" w:eastAsia="仿宋_GB2312"/>
          <w:sz w:val="32"/>
          <w:szCs w:val="32"/>
        </w:rPr>
        <w:t>指事业单位在专业业务活动及辅助活动之外开展非独立核算经营活动取得的收入。</w:t>
      </w:r>
    </w:p>
    <w:p w14:paraId="2EC2AA15">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5.附属单位上缴收入：</w:t>
      </w:r>
      <w:r>
        <w:rPr>
          <w:rFonts w:hint="eastAsia" w:ascii="仿宋_GB2312" w:eastAsia="仿宋_GB2312"/>
          <w:sz w:val="32"/>
          <w:szCs w:val="32"/>
        </w:rPr>
        <w:t>指单位附属的独立核算单位按照规定上缴的收入。</w:t>
      </w:r>
    </w:p>
    <w:p w14:paraId="772D36FD">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6.其他收入：</w:t>
      </w:r>
      <w:r>
        <w:rPr>
          <w:rFonts w:hint="eastAsia" w:ascii="仿宋_GB2312" w:eastAsia="仿宋_GB2312"/>
          <w:sz w:val="32"/>
          <w:szCs w:val="32"/>
        </w:rPr>
        <w:t>指除上述“财政拨款收入”、</w:t>
      </w:r>
      <w:r>
        <w:rPr>
          <w:rFonts w:hint="eastAsia" w:ascii="仿宋_GB2312" w:eastAsia="仿宋_GB2312"/>
          <w:b/>
          <w:sz w:val="32"/>
          <w:szCs w:val="32"/>
        </w:rPr>
        <w:t xml:space="preserve"> </w:t>
      </w:r>
      <w:r>
        <w:rPr>
          <w:rFonts w:hint="eastAsia" w:ascii="仿宋_GB2312" w:eastAsia="仿宋_GB2312"/>
          <w:sz w:val="32"/>
          <w:szCs w:val="32"/>
        </w:rPr>
        <w:t>“上级补助收入”、“事业收入”、“经营收入”、“附属单位上缴收入”等以外的收入。</w:t>
      </w:r>
    </w:p>
    <w:p w14:paraId="4BFDE919">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7.用事业基金弥补收支差额：</w:t>
      </w:r>
      <w:r>
        <w:rPr>
          <w:rFonts w:hint="eastAsia" w:ascii="仿宋_GB2312" w:eastAsia="仿宋_GB2312"/>
          <w:sz w:val="32"/>
          <w:szCs w:val="32"/>
        </w:rPr>
        <w:t>指事业单位在当年的“财政拨款收入”、“财政拨款结转和结余资金”、“上级补助收入”、“事业收入”、“经营收入”、“附属单位上缴收入”、“其他收入”不足以安排当年支出情况下，使用以前年度积累的事业基金（事业单位当年收支相抵后按国家规定提取、用于弥补以后年度收支差额的基金）弥补本年度收支缺口的资金。</w:t>
      </w:r>
    </w:p>
    <w:p w14:paraId="418CE4EC">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8.上年结转和结余：</w:t>
      </w:r>
      <w:r>
        <w:rPr>
          <w:rFonts w:hint="eastAsia" w:ascii="仿宋_GB2312" w:eastAsia="仿宋_GB2312"/>
          <w:sz w:val="32"/>
          <w:szCs w:val="32"/>
        </w:rPr>
        <w:t>指以前年度尚未完成、结转到本年按有关规定继续使用的资金。</w:t>
      </w:r>
    </w:p>
    <w:p w14:paraId="60044F3D">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9.基本支出：</w:t>
      </w:r>
      <w:r>
        <w:rPr>
          <w:rFonts w:hint="eastAsia" w:ascii="仿宋_GB2312" w:eastAsia="仿宋_GB2312"/>
          <w:sz w:val="32"/>
          <w:szCs w:val="32"/>
        </w:rPr>
        <w:t>指保障机构正常运转、完成日常工作任务而发生的人员支出和公用支出。</w:t>
      </w:r>
    </w:p>
    <w:p w14:paraId="7B389854">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10.项目支出：</w:t>
      </w:r>
      <w:r>
        <w:rPr>
          <w:rFonts w:hint="eastAsia" w:ascii="仿宋_GB2312" w:eastAsia="仿宋_GB2312"/>
          <w:sz w:val="32"/>
          <w:szCs w:val="32"/>
        </w:rPr>
        <w:t>指在基本支出之外为完成特定行政任务和事业发展目标所发生的支出。</w:t>
      </w:r>
    </w:p>
    <w:p w14:paraId="7E654715">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11.上缴上级支出：</w:t>
      </w:r>
      <w:r>
        <w:rPr>
          <w:rFonts w:hint="eastAsia" w:ascii="仿宋_GB2312" w:eastAsia="仿宋_GB2312"/>
          <w:sz w:val="32"/>
          <w:szCs w:val="32"/>
        </w:rPr>
        <w:t>指事业单位按照财政部门和主管部门的规定上缴上级单位的支出。</w:t>
      </w:r>
    </w:p>
    <w:p w14:paraId="0512FD1E">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12.经营支出：</w:t>
      </w:r>
      <w:r>
        <w:rPr>
          <w:rFonts w:hint="eastAsia" w:ascii="仿宋_GB2312" w:eastAsia="仿宋_GB2312"/>
          <w:sz w:val="32"/>
          <w:szCs w:val="32"/>
        </w:rPr>
        <w:t>指事业单位在专业活动及辅助活动之外开展非独立核算经营活动发生的支出。</w:t>
      </w:r>
    </w:p>
    <w:p w14:paraId="0AEEBD5E">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rPr>
        <w:t>13.对附属单位补助支出：</w:t>
      </w:r>
      <w:r>
        <w:rPr>
          <w:rFonts w:hint="eastAsia" w:ascii="仿宋_GB2312" w:eastAsia="仿宋_GB2312"/>
          <w:sz w:val="32"/>
          <w:szCs w:val="32"/>
        </w:rPr>
        <w:t>指事业单位用财政补助收入之外的收入对附属单位补助发生的支出。</w:t>
      </w:r>
    </w:p>
    <w:p w14:paraId="5B4B3CEC">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14.“三公”经费：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14:paraId="34ED4690">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15.一般公共服务（类）财政事务（款）行政运行（项）：</w:t>
      </w:r>
      <w:r>
        <w:rPr>
          <w:rFonts w:hint="eastAsia" w:ascii="仿宋_GB2312" w:eastAsia="仿宋_GB2312"/>
          <w:sz w:val="32"/>
          <w:szCs w:val="32"/>
        </w:rPr>
        <w:t>反映行政单位（包括实行公务员管理的事业单位）的基本支出。</w:t>
      </w:r>
    </w:p>
    <w:p w14:paraId="7A9D5E64">
      <w:pPr>
        <w:spacing w:line="540" w:lineRule="exact"/>
        <w:ind w:firstLine="643" w:firstLineChars="200"/>
        <w:rPr>
          <w:rFonts w:hint="eastAsia" w:ascii="仿宋_GB2312" w:eastAsia="仿宋_GB2312"/>
          <w:sz w:val="32"/>
          <w:szCs w:val="32"/>
        </w:rPr>
      </w:pPr>
      <w:r>
        <w:rPr>
          <w:rFonts w:hint="eastAsia" w:ascii="仿宋_GB2312" w:eastAsia="仿宋_GB2312"/>
          <w:b/>
          <w:sz w:val="32"/>
        </w:rPr>
        <w:t>16.</w:t>
      </w:r>
      <w:r>
        <w:rPr>
          <w:rFonts w:ascii="仿宋_GB2312" w:eastAsia="仿宋_GB2312"/>
          <w:b/>
          <w:sz w:val="32"/>
        </w:rPr>
        <w:t>机关运行经费：</w:t>
      </w:r>
      <w:r>
        <w:rPr>
          <w:rFonts w:ascii="仿宋_GB2312" w:eastAsia="仿宋_GB2312"/>
          <w:sz w:val="32"/>
        </w:rPr>
        <w:t>为保障行政单位（含参照公务员法管理的事业单位）运行用于购买货物和服务的各项资金，包括办公及印刷费、邮电费、差旅费、会议费、福利费、日常维护费、专用材料及一般设备购置费，办公用房水电费、办公用房取暖费、办公用房物业管理费、公务用车运行维护费以及其他费用。</w:t>
      </w:r>
    </w:p>
    <w:p w14:paraId="6A687DAE">
      <w:pPr>
        <w:spacing w:line="540" w:lineRule="exact"/>
        <w:ind w:firstLine="643" w:firstLineChars="200"/>
        <w:rPr>
          <w:rFonts w:hint="eastAsia" w:ascii="仿宋_GB2312" w:eastAsia="仿宋_GB2312"/>
          <w:b/>
          <w:sz w:val="32"/>
          <w:szCs w:val="32"/>
        </w:rPr>
      </w:pPr>
    </w:p>
    <w:p w14:paraId="51D5CAF5">
      <w:pPr>
        <w:pStyle w:val="6"/>
        <w:spacing w:line="560" w:lineRule="exact"/>
        <w:ind w:firstLine="640"/>
        <w:rPr>
          <w:rFonts w:hint="default" w:ascii="仿宋_GB2312" w:eastAsia="仿宋_GB2312"/>
          <w:i/>
          <w:sz w:val="32"/>
          <w:u w:val="single"/>
        </w:rPr>
      </w:pPr>
    </w:p>
    <w:p w14:paraId="5D62E80F">
      <w:pPr>
        <w:pStyle w:val="6"/>
        <w:spacing w:line="560" w:lineRule="atLeast"/>
        <w:jc w:val="left"/>
        <w:rPr>
          <w:rFonts w:hint="default" w:ascii="仿宋_GB2312" w:hAnsi="仿宋_GB2312" w:eastAsia="仿宋_GB2312" w:cs="仿宋_GB2312"/>
          <w:b/>
          <w:sz w:val="52"/>
          <w:szCs w:val="52"/>
        </w:rPr>
      </w:pPr>
    </w:p>
    <w:p w14:paraId="64BE702E">
      <w:pPr>
        <w:pStyle w:val="6"/>
        <w:spacing w:line="560" w:lineRule="atLeast"/>
        <w:jc w:val="left"/>
        <w:rPr>
          <w:rFonts w:hint="default" w:ascii="仿宋_GB2312" w:hAnsi="仿宋_GB2312" w:eastAsia="仿宋_GB2312" w:cs="仿宋_GB2312"/>
          <w:b/>
          <w:sz w:val="52"/>
          <w:szCs w:val="52"/>
        </w:rPr>
      </w:pPr>
    </w:p>
    <w:p w14:paraId="268F3CFD">
      <w:pPr>
        <w:pStyle w:val="6"/>
        <w:spacing w:line="560" w:lineRule="atLeast"/>
        <w:jc w:val="left"/>
        <w:rPr>
          <w:rFonts w:hint="default" w:ascii="仿宋_GB2312" w:hAnsi="仿宋_GB2312" w:eastAsia="仿宋_GB2312" w:cs="仿宋_GB2312"/>
          <w:b/>
          <w:sz w:val="52"/>
          <w:szCs w:val="52"/>
        </w:rPr>
      </w:pPr>
    </w:p>
    <w:p w14:paraId="6E7A66FB">
      <w:pPr>
        <w:spacing w:line="540" w:lineRule="exact"/>
        <w:jc w:val="center"/>
        <w:rPr>
          <w:rFonts w:hint="eastAsia" w:ascii="宋体" w:hAnsi="宋体"/>
          <w:b/>
          <w:sz w:val="52"/>
          <w:szCs w:val="52"/>
        </w:rPr>
      </w:pPr>
    </w:p>
    <w:p w14:paraId="1EDA4311">
      <w:pPr>
        <w:spacing w:line="540" w:lineRule="exact"/>
        <w:jc w:val="center"/>
        <w:rPr>
          <w:rFonts w:hint="eastAsia" w:ascii="宋体" w:hAnsi="宋体"/>
          <w:b/>
          <w:sz w:val="52"/>
          <w:szCs w:val="52"/>
        </w:rPr>
      </w:pPr>
    </w:p>
    <w:p w14:paraId="09A965F8">
      <w:pPr>
        <w:spacing w:line="540" w:lineRule="exact"/>
        <w:jc w:val="center"/>
        <w:rPr>
          <w:rFonts w:hint="eastAsia" w:ascii="宋体" w:hAnsi="宋体"/>
          <w:b/>
          <w:sz w:val="52"/>
          <w:szCs w:val="52"/>
        </w:rPr>
      </w:pPr>
    </w:p>
    <w:p w14:paraId="126E76AD">
      <w:pPr>
        <w:spacing w:line="540" w:lineRule="exact"/>
        <w:jc w:val="center"/>
        <w:rPr>
          <w:rFonts w:hint="eastAsia" w:ascii="宋体" w:hAnsi="宋体"/>
          <w:b/>
          <w:sz w:val="52"/>
          <w:szCs w:val="52"/>
        </w:rPr>
      </w:pPr>
    </w:p>
    <w:p w14:paraId="41DC6F18">
      <w:pPr>
        <w:spacing w:line="540" w:lineRule="exact"/>
        <w:jc w:val="center"/>
        <w:rPr>
          <w:rFonts w:hint="eastAsia" w:ascii="宋体" w:hAnsi="宋体"/>
          <w:b/>
          <w:sz w:val="52"/>
          <w:szCs w:val="52"/>
        </w:rPr>
      </w:pPr>
    </w:p>
    <w:p w14:paraId="40E6A831">
      <w:pPr>
        <w:spacing w:line="540" w:lineRule="exact"/>
        <w:jc w:val="center"/>
        <w:rPr>
          <w:rFonts w:hint="eastAsia" w:ascii="宋体" w:hAnsi="宋体"/>
          <w:b/>
          <w:sz w:val="52"/>
          <w:szCs w:val="52"/>
        </w:rPr>
      </w:pPr>
    </w:p>
    <w:p w14:paraId="21CA6355">
      <w:pPr>
        <w:spacing w:line="540" w:lineRule="exact"/>
        <w:jc w:val="center"/>
        <w:rPr>
          <w:rFonts w:hint="eastAsia" w:ascii="宋体" w:hAnsi="宋体"/>
          <w:b/>
          <w:sz w:val="52"/>
          <w:szCs w:val="52"/>
        </w:rPr>
      </w:pPr>
    </w:p>
    <w:p w14:paraId="32800C47">
      <w:pPr>
        <w:spacing w:line="540" w:lineRule="exact"/>
        <w:jc w:val="center"/>
        <w:rPr>
          <w:rFonts w:hint="eastAsia" w:ascii="宋体" w:hAnsi="宋体"/>
          <w:b/>
          <w:sz w:val="52"/>
          <w:szCs w:val="52"/>
        </w:rPr>
      </w:pPr>
    </w:p>
    <w:p w14:paraId="4E2EEF47">
      <w:pPr>
        <w:spacing w:line="540" w:lineRule="exact"/>
        <w:jc w:val="center"/>
        <w:rPr>
          <w:rFonts w:hint="eastAsia" w:ascii="宋体" w:hAnsi="宋体"/>
          <w:b/>
          <w:sz w:val="52"/>
          <w:szCs w:val="52"/>
        </w:rPr>
      </w:pPr>
    </w:p>
    <w:p w14:paraId="47B64AAB">
      <w:pPr>
        <w:spacing w:line="540" w:lineRule="exact"/>
        <w:jc w:val="center"/>
        <w:rPr>
          <w:rFonts w:hint="eastAsia" w:ascii="仿宋_GB2312" w:eastAsia="仿宋_GB2312"/>
          <w:sz w:val="52"/>
          <w:szCs w:val="52"/>
        </w:rPr>
      </w:pPr>
      <w:r>
        <w:rPr>
          <w:rFonts w:hint="eastAsia" w:ascii="宋体" w:hAnsi="宋体"/>
          <w:b/>
          <w:sz w:val="52"/>
          <w:szCs w:val="52"/>
        </w:rPr>
        <w:t>第四部分</w:t>
      </w:r>
      <w:r>
        <w:rPr>
          <w:rFonts w:hint="eastAsia" w:ascii="宋体" w:hAnsi="宋体"/>
          <w:b/>
          <w:sz w:val="52"/>
          <w:szCs w:val="52"/>
          <w:lang w:val="en-US" w:eastAsia="zh-CN"/>
        </w:rPr>
        <w:t xml:space="preserve"> </w:t>
      </w:r>
      <w:r>
        <w:rPr>
          <w:rFonts w:ascii="宋体" w:hAnsi="宋体"/>
          <w:b/>
          <w:sz w:val="52"/>
          <w:szCs w:val="52"/>
        </w:rPr>
        <w:t>沈阳高新区总工会</w:t>
      </w:r>
      <w:r>
        <w:rPr>
          <w:rFonts w:hint="eastAsia" w:ascii="宋体" w:hAnsi="宋体"/>
          <w:b/>
          <w:sz w:val="52"/>
          <w:szCs w:val="52"/>
        </w:rPr>
        <w:t>202</w:t>
      </w:r>
      <w:r>
        <w:rPr>
          <w:rFonts w:hint="eastAsia" w:ascii="宋体" w:hAnsi="宋体"/>
          <w:b/>
          <w:sz w:val="52"/>
          <w:szCs w:val="52"/>
          <w:lang w:val="en-US" w:eastAsia="zh-CN"/>
        </w:rPr>
        <w:t>1</w:t>
      </w:r>
      <w:r>
        <w:rPr>
          <w:rFonts w:hint="eastAsia" w:ascii="宋体" w:hAnsi="宋体"/>
          <w:b/>
          <w:sz w:val="52"/>
          <w:szCs w:val="52"/>
        </w:rPr>
        <w:t>年度决算表</w:t>
      </w:r>
    </w:p>
    <w:p w14:paraId="12349480">
      <w:pPr>
        <w:pStyle w:val="6"/>
        <w:spacing w:line="560" w:lineRule="atLeast"/>
        <w:jc w:val="center"/>
        <w:rPr>
          <w:rFonts w:hint="default"/>
          <w:b/>
          <w:sz w:val="36"/>
        </w:rPr>
      </w:pPr>
    </w:p>
    <w:p w14:paraId="78F8B8B3">
      <w:pPr>
        <w:rPr>
          <w:rFonts w:hint="default" w:ascii="仿宋_GB2312" w:hAnsi="宋体" w:eastAsia="仿宋_GB2312"/>
          <w:kern w:val="0"/>
          <w:sz w:val="32"/>
        </w:rPr>
      </w:pPr>
    </w:p>
    <w:p w14:paraId="113C695D">
      <w:pPr>
        <w:rPr>
          <w:rFonts w:hint="default" w:ascii="仿宋_GB2312" w:hAnsi="宋体" w:eastAsia="仿宋_GB2312"/>
          <w:kern w:val="0"/>
          <w:sz w:val="32"/>
        </w:rPr>
      </w:pPr>
    </w:p>
    <w:p w14:paraId="4230FE99">
      <w:pPr>
        <w:rPr>
          <w:rFonts w:hint="default" w:ascii="仿宋_GB2312" w:hAnsi="宋体" w:eastAsia="仿宋_GB2312"/>
          <w:kern w:val="0"/>
          <w:sz w:val="32"/>
        </w:rPr>
      </w:pPr>
    </w:p>
    <w:p w14:paraId="717D9223">
      <w:pPr>
        <w:rPr>
          <w:rFonts w:hint="default" w:ascii="仿宋_GB2312" w:hAnsi="宋体" w:eastAsia="仿宋_GB2312"/>
          <w:kern w:val="0"/>
          <w:sz w:val="32"/>
        </w:rPr>
      </w:pPr>
    </w:p>
    <w:p w14:paraId="1F7C6026">
      <w:pPr>
        <w:rPr>
          <w:rFonts w:hint="default" w:ascii="仿宋_GB2312" w:hAnsi="宋体" w:eastAsia="仿宋_GB2312"/>
          <w:kern w:val="0"/>
          <w:sz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A34D8">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E33BC">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DFC168"/>
    <w:multiLevelType w:val="singleLevel"/>
    <w:tmpl w:val="48DFC168"/>
    <w:lvl w:ilvl="0" w:tentative="0">
      <w:start w:val="4"/>
      <w:numFmt w:val="chineseCounting"/>
      <w:suff w:val="nothing"/>
      <w:lvlText w:val="（%1）"/>
      <w:lvlJc w:val="left"/>
      <w:rPr>
        <w:rFonts w:hint="eastAsia"/>
      </w:rPr>
    </w:lvl>
  </w:abstractNum>
  <w:abstractNum w:abstractNumId="1">
    <w:nsid w:val="5D5889DE"/>
    <w:multiLevelType w:val="singleLevel"/>
    <w:tmpl w:val="5D5889DE"/>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30C49"/>
    <w:rsid w:val="00342E31"/>
    <w:rsid w:val="0038444A"/>
    <w:rsid w:val="00387684"/>
    <w:rsid w:val="0044142C"/>
    <w:rsid w:val="004633EB"/>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CB2811"/>
    <w:rsid w:val="00DC3915"/>
    <w:rsid w:val="00E4305D"/>
    <w:rsid w:val="00F16B2B"/>
    <w:rsid w:val="00F67249"/>
    <w:rsid w:val="00F724E9"/>
    <w:rsid w:val="098847AB"/>
    <w:rsid w:val="09C4782E"/>
    <w:rsid w:val="0ECB7368"/>
    <w:rsid w:val="11612EA5"/>
    <w:rsid w:val="1C635C29"/>
    <w:rsid w:val="20BA07F5"/>
    <w:rsid w:val="2E4F6256"/>
    <w:rsid w:val="36230505"/>
    <w:rsid w:val="4E3C0E4C"/>
    <w:rsid w:val="542E07B0"/>
    <w:rsid w:val="54F6469B"/>
    <w:rsid w:val="5B697371"/>
    <w:rsid w:val="673C6F2C"/>
    <w:rsid w:val="724179B2"/>
    <w:rsid w:val="7C95536E"/>
    <w:rsid w:val="7D024843"/>
    <w:rsid w:val="EE7FDA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3980</Words>
  <Characters>4314</Characters>
  <Lines>45</Lines>
  <Paragraphs>12</Paragraphs>
  <TotalTime>2</TotalTime>
  <ScaleCrop>false</ScaleCrop>
  <LinksUpToDate>false</LinksUpToDate>
  <CharactersWithSpaces>4343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2023-05-15T15:53:00Z</dcterms:created>
  <dc:creator>国库处-王艳秋</dc:creator>
  <cp:lastModifiedBy>杨洋</cp:lastModifiedBy>
  <cp:lastPrinted>2022-09-19T18:34:00Z</cp:lastPrinted>
  <dcterms:modified xsi:type="dcterms:W3CDTF">2025-03-14T06:17:45Z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9C872CB057B74C43AB101636CEB4559F_13</vt:lpwstr>
  </property>
  <property fmtid="{D5CDD505-2E9C-101B-9397-08002B2CF9AE}" pid="4" name="KSOTemplateDocerSaveRecord">
    <vt:lpwstr>eyJoZGlkIjoiNzZiZTQ3ZmI1OTFmODUzNzgwMGRlNDBmMWZiZDQzMjEiLCJ1c2VySWQiOiIyMzQ0MjI2NjQifQ==</vt:lpwstr>
  </property>
</Properties>
</file>