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4579F">
      <w:pPr>
        <w:pStyle w:val="6"/>
        <w:rPr>
          <w:rFonts w:hint="default" w:ascii="黑体" w:eastAsia="黑体"/>
          <w:sz w:val="32"/>
        </w:rPr>
      </w:pPr>
      <w:r>
        <w:rPr>
          <w:rFonts w:ascii="黑体" w:eastAsia="黑体"/>
          <w:sz w:val="32"/>
        </w:rPr>
        <w:t>附件2</w:t>
      </w:r>
    </w:p>
    <w:p w14:paraId="439EB99B">
      <w:pPr>
        <w:pStyle w:val="6"/>
        <w:rPr>
          <w:rFonts w:hint="default"/>
          <w:b/>
          <w:sz w:val="44"/>
        </w:rPr>
      </w:pPr>
    </w:p>
    <w:p w14:paraId="3062EA48">
      <w:pPr>
        <w:pStyle w:val="6"/>
        <w:rPr>
          <w:rFonts w:hint="default"/>
          <w:b/>
          <w:sz w:val="44"/>
        </w:rPr>
      </w:pPr>
    </w:p>
    <w:p w14:paraId="343F6704">
      <w:pPr>
        <w:pStyle w:val="6"/>
        <w:rPr>
          <w:rFonts w:hint="default"/>
          <w:b/>
          <w:sz w:val="44"/>
        </w:rPr>
      </w:pPr>
    </w:p>
    <w:p w14:paraId="5F8DC838">
      <w:pPr>
        <w:pStyle w:val="6"/>
        <w:rPr>
          <w:rFonts w:hint="default"/>
          <w:b/>
          <w:sz w:val="44"/>
        </w:rPr>
      </w:pPr>
    </w:p>
    <w:p w14:paraId="41D8DD75">
      <w:pPr>
        <w:pStyle w:val="6"/>
        <w:rPr>
          <w:rFonts w:hint="default"/>
          <w:b/>
          <w:sz w:val="44"/>
        </w:rPr>
      </w:pPr>
    </w:p>
    <w:p w14:paraId="477FDD4E">
      <w:pPr>
        <w:pStyle w:val="6"/>
        <w:rPr>
          <w:rFonts w:hint="default"/>
          <w:b/>
          <w:sz w:val="44"/>
        </w:rPr>
      </w:pPr>
    </w:p>
    <w:p w14:paraId="50572F64">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val="en-US" w:eastAsia="zh-CN"/>
        </w:rPr>
        <w:t>团区委</w:t>
      </w: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14:paraId="187F822C">
      <w:pPr>
        <w:pStyle w:val="6"/>
        <w:jc w:val="center"/>
        <w:rPr>
          <w:rFonts w:hint="default" w:ascii="仿宋_GB2312" w:eastAsia="仿宋_GB2312"/>
          <w:b/>
          <w:sz w:val="52"/>
        </w:rPr>
      </w:pPr>
    </w:p>
    <w:p w14:paraId="3B899E38">
      <w:pPr>
        <w:pStyle w:val="6"/>
        <w:jc w:val="center"/>
        <w:rPr>
          <w:rFonts w:hint="default" w:ascii="仿宋_GB2312" w:eastAsia="仿宋_GB2312"/>
          <w:b/>
          <w:sz w:val="52"/>
        </w:rPr>
      </w:pPr>
    </w:p>
    <w:p w14:paraId="078D68C2">
      <w:pPr>
        <w:pStyle w:val="6"/>
        <w:jc w:val="center"/>
        <w:rPr>
          <w:rFonts w:hint="default" w:ascii="Times New Roman" w:eastAsia="Times New Roman"/>
          <w:b/>
          <w:sz w:val="44"/>
          <w:u w:val="single"/>
        </w:rPr>
      </w:pPr>
    </w:p>
    <w:p w14:paraId="6912C216">
      <w:pPr>
        <w:pStyle w:val="6"/>
        <w:jc w:val="center"/>
        <w:rPr>
          <w:rFonts w:hint="default" w:ascii="Times New Roman" w:eastAsia="Times New Roman"/>
          <w:b/>
          <w:sz w:val="44"/>
          <w:u w:val="single"/>
        </w:rPr>
      </w:pPr>
    </w:p>
    <w:p w14:paraId="6DC7A9C8">
      <w:pPr>
        <w:pStyle w:val="6"/>
        <w:jc w:val="center"/>
        <w:rPr>
          <w:rFonts w:hint="default" w:ascii="Times New Roman" w:eastAsia="Times New Roman"/>
          <w:b/>
          <w:sz w:val="44"/>
          <w:u w:val="single"/>
        </w:rPr>
      </w:pPr>
    </w:p>
    <w:p w14:paraId="6DC2B9BC">
      <w:pPr>
        <w:pStyle w:val="6"/>
        <w:jc w:val="center"/>
        <w:rPr>
          <w:rFonts w:hint="default" w:ascii="Times New Roman" w:eastAsia="Times New Roman"/>
          <w:b/>
          <w:sz w:val="44"/>
          <w:u w:val="single"/>
        </w:rPr>
      </w:pPr>
    </w:p>
    <w:p w14:paraId="0DF09D1C">
      <w:pPr>
        <w:pStyle w:val="6"/>
        <w:jc w:val="center"/>
        <w:rPr>
          <w:rFonts w:hint="default" w:ascii="Times New Roman" w:eastAsia="Times New Roman"/>
          <w:b/>
          <w:sz w:val="44"/>
          <w:u w:val="single"/>
        </w:rPr>
      </w:pPr>
    </w:p>
    <w:p w14:paraId="4AD45977">
      <w:pPr>
        <w:pStyle w:val="6"/>
        <w:jc w:val="center"/>
        <w:rPr>
          <w:rFonts w:hint="default" w:ascii="Times New Roman" w:eastAsia="Times New Roman"/>
          <w:b/>
          <w:sz w:val="44"/>
          <w:u w:val="single"/>
        </w:rPr>
      </w:pPr>
    </w:p>
    <w:p w14:paraId="0C89D52D">
      <w:pPr>
        <w:pStyle w:val="6"/>
        <w:jc w:val="center"/>
        <w:rPr>
          <w:rFonts w:hint="default" w:ascii="Times New Roman" w:eastAsia="Times New Roman"/>
          <w:b/>
          <w:sz w:val="44"/>
          <w:u w:val="single"/>
        </w:rPr>
      </w:pPr>
    </w:p>
    <w:p w14:paraId="74C3483F">
      <w:pPr>
        <w:pStyle w:val="6"/>
        <w:jc w:val="center"/>
        <w:rPr>
          <w:rFonts w:hint="default" w:ascii="Times New Roman" w:eastAsia="Times New Roman"/>
          <w:b/>
          <w:sz w:val="44"/>
          <w:u w:val="single"/>
        </w:rPr>
      </w:pPr>
    </w:p>
    <w:p w14:paraId="7C16B52D">
      <w:pPr>
        <w:pStyle w:val="6"/>
        <w:jc w:val="center"/>
        <w:rPr>
          <w:rFonts w:hint="default" w:ascii="Times New Roman" w:eastAsia="Times New Roman"/>
          <w:b/>
          <w:sz w:val="44"/>
          <w:u w:val="single"/>
        </w:rPr>
      </w:pPr>
    </w:p>
    <w:p w14:paraId="7176FEB5">
      <w:pPr>
        <w:pStyle w:val="6"/>
        <w:jc w:val="center"/>
        <w:rPr>
          <w:rFonts w:hint="default" w:ascii="Times New Roman" w:eastAsia="Times New Roman"/>
          <w:b/>
          <w:sz w:val="44"/>
          <w:u w:val="single"/>
        </w:rPr>
      </w:pPr>
    </w:p>
    <w:p w14:paraId="46989103">
      <w:pPr>
        <w:pStyle w:val="6"/>
        <w:jc w:val="center"/>
        <w:rPr>
          <w:rFonts w:hint="default" w:ascii="Times New Roman" w:eastAsia="Times New Roman"/>
          <w:b/>
          <w:sz w:val="44"/>
          <w:u w:val="single"/>
        </w:rPr>
      </w:pPr>
    </w:p>
    <w:p w14:paraId="00DAE7C8">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14:paraId="37FCA25C">
      <w:pPr>
        <w:pStyle w:val="6"/>
        <w:spacing w:line="560" w:lineRule="exact"/>
        <w:rPr>
          <w:rFonts w:hint="default" w:ascii="Times New Roman" w:eastAsia="Times New Roman"/>
          <w:b/>
          <w:sz w:val="44"/>
          <w:u w:val="single"/>
        </w:rPr>
      </w:pPr>
    </w:p>
    <w:p w14:paraId="42FD43D9">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val="en-US" w:eastAsia="zh-CN"/>
        </w:rPr>
        <w:t>团区委</w:t>
      </w:r>
      <w:r>
        <w:rPr>
          <w:rFonts w:ascii="黑体" w:eastAsia="黑体"/>
          <w:sz w:val="32"/>
        </w:rPr>
        <w:t>概况</w:t>
      </w:r>
    </w:p>
    <w:p w14:paraId="6128D567">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14:paraId="6F5312C8">
      <w:pPr>
        <w:pStyle w:val="6"/>
        <w:spacing w:line="560" w:lineRule="exact"/>
        <w:rPr>
          <w:rFonts w:hint="default" w:ascii="仿宋_GB2312" w:eastAsia="仿宋_GB2312"/>
          <w:sz w:val="32"/>
        </w:rPr>
      </w:pPr>
      <w:r>
        <w:rPr>
          <w:rFonts w:ascii="仿宋_GB2312" w:eastAsia="仿宋_GB2312"/>
          <w:sz w:val="32"/>
        </w:rPr>
        <w:t>二、决算单位构成</w:t>
      </w:r>
    </w:p>
    <w:p w14:paraId="35C6C637">
      <w:pPr>
        <w:pStyle w:val="6"/>
        <w:spacing w:line="560" w:lineRule="exact"/>
        <w:rPr>
          <w:rFonts w:ascii="黑体" w:eastAsia="黑体"/>
          <w:sz w:val="32"/>
        </w:rPr>
      </w:pPr>
      <w:r>
        <w:rPr>
          <w:rFonts w:ascii="黑体" w:eastAsia="黑体"/>
          <w:sz w:val="32"/>
        </w:rPr>
        <w:t xml:space="preserve">第二部分    </w:t>
      </w:r>
      <w:r>
        <w:rPr>
          <w:rFonts w:hint="eastAsia" w:ascii="黑体" w:eastAsia="黑体"/>
          <w:sz w:val="32"/>
          <w:lang w:val="en-US" w:eastAsia="zh-CN"/>
        </w:rPr>
        <w:t>团区委</w:t>
      </w:r>
      <w:r>
        <w:rPr>
          <w:rFonts w:ascii="黑体" w:eastAsia="黑体"/>
          <w:sz w:val="32"/>
        </w:rPr>
        <w:t>2021年决算情况说明</w:t>
      </w:r>
    </w:p>
    <w:p w14:paraId="5B98CC53">
      <w:pPr>
        <w:pStyle w:val="6"/>
        <w:spacing w:line="560" w:lineRule="exact"/>
        <w:rPr>
          <w:rFonts w:hint="default" w:ascii="仿宋_GB2312" w:eastAsia="仿宋_GB2312"/>
          <w:sz w:val="32"/>
        </w:rPr>
      </w:pPr>
      <w:r>
        <w:rPr>
          <w:rFonts w:ascii="仿宋_GB2312" w:eastAsia="仿宋_GB2312"/>
          <w:sz w:val="32"/>
        </w:rPr>
        <w:t>一、收入支出决算总体情况说明</w:t>
      </w:r>
    </w:p>
    <w:p w14:paraId="54FB537C">
      <w:pPr>
        <w:pStyle w:val="6"/>
        <w:spacing w:line="560" w:lineRule="exact"/>
        <w:rPr>
          <w:rFonts w:hint="default" w:ascii="仿宋_GB2312" w:eastAsia="仿宋_GB2312"/>
          <w:sz w:val="32"/>
        </w:rPr>
      </w:pPr>
      <w:r>
        <w:rPr>
          <w:rFonts w:ascii="仿宋_GB2312" w:eastAsia="仿宋_GB2312"/>
          <w:sz w:val="32"/>
        </w:rPr>
        <w:t>二、财政拨款收入支出决算情况说明</w:t>
      </w:r>
    </w:p>
    <w:p w14:paraId="0EC82AF8">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14:paraId="753991A4">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14:paraId="2E056593">
      <w:pPr>
        <w:pStyle w:val="6"/>
        <w:spacing w:line="560" w:lineRule="exact"/>
        <w:rPr>
          <w:rFonts w:hint="default" w:ascii="黑体" w:eastAsia="黑体"/>
          <w:sz w:val="32"/>
        </w:rPr>
      </w:pPr>
      <w:r>
        <w:rPr>
          <w:rFonts w:ascii="仿宋_GB2312" w:eastAsia="仿宋_GB2312"/>
          <w:sz w:val="32"/>
        </w:rPr>
        <w:t>五、其他重要事项的情况说明</w:t>
      </w:r>
    </w:p>
    <w:p w14:paraId="512B1989">
      <w:pPr>
        <w:pStyle w:val="6"/>
        <w:spacing w:line="560" w:lineRule="exact"/>
        <w:rPr>
          <w:rFonts w:hint="default" w:ascii="黑体" w:eastAsia="黑体"/>
          <w:sz w:val="32"/>
        </w:rPr>
      </w:pPr>
      <w:r>
        <w:rPr>
          <w:rFonts w:ascii="黑体" w:eastAsia="黑体"/>
          <w:sz w:val="32"/>
        </w:rPr>
        <w:t>第三部分    名词解释</w:t>
      </w:r>
    </w:p>
    <w:p w14:paraId="72BA99FD">
      <w:pPr>
        <w:pStyle w:val="6"/>
        <w:spacing w:line="560" w:lineRule="exact"/>
        <w:rPr>
          <w:rFonts w:hint="eastAsia" w:ascii="黑体" w:hAnsi="黑体" w:eastAsia="黑体"/>
          <w:b/>
          <w:bCs/>
          <w:color w:val="FF0000"/>
          <w:sz w:val="32"/>
          <w:szCs w:val="32"/>
          <w:lang w:val="en-US" w:eastAsia="zh-CN"/>
        </w:rPr>
      </w:pPr>
      <w:r>
        <w:rPr>
          <w:rFonts w:ascii="黑体" w:eastAsia="黑体"/>
          <w:sz w:val="32"/>
        </w:rPr>
        <w:t xml:space="preserve">第四部分    </w:t>
      </w:r>
      <w:r>
        <w:rPr>
          <w:rFonts w:hint="eastAsia" w:ascii="黑体" w:eastAsia="黑体"/>
          <w:sz w:val="32"/>
          <w:lang w:val="en-US" w:eastAsia="zh-CN"/>
        </w:rPr>
        <w:t>团区委</w:t>
      </w:r>
      <w:r>
        <w:rPr>
          <w:rFonts w:ascii="黑体" w:eastAsia="黑体"/>
          <w:sz w:val="32"/>
        </w:rPr>
        <w:t>2021年决算报表</w:t>
      </w:r>
      <w:r>
        <w:rPr>
          <w:rFonts w:hint="eastAsia" w:ascii="黑体" w:hAnsi="黑体" w:eastAsia="黑体"/>
          <w:b/>
          <w:bCs/>
          <w:color w:val="FF0000"/>
          <w:sz w:val="32"/>
          <w:szCs w:val="32"/>
          <w:lang w:val="en-US" w:eastAsia="zh-CN"/>
        </w:rPr>
        <w:t xml:space="preserve"> </w:t>
      </w:r>
    </w:p>
    <w:p w14:paraId="394E5439">
      <w:pPr>
        <w:pStyle w:val="6"/>
        <w:spacing w:line="560" w:lineRule="exact"/>
        <w:rPr>
          <w:rFonts w:hint="default" w:ascii="仿宋_GB2312" w:eastAsia="仿宋_GB2312"/>
          <w:sz w:val="32"/>
        </w:rPr>
      </w:pPr>
      <w:r>
        <w:rPr>
          <w:rFonts w:ascii="仿宋_GB2312" w:eastAsia="仿宋_GB2312"/>
          <w:sz w:val="32"/>
        </w:rPr>
        <w:t>一、2021年度收入支出决算总表</w:t>
      </w:r>
    </w:p>
    <w:p w14:paraId="065DD22A">
      <w:pPr>
        <w:pStyle w:val="6"/>
        <w:spacing w:line="560" w:lineRule="exact"/>
        <w:rPr>
          <w:rFonts w:hint="default" w:ascii="仿宋_GB2312" w:eastAsia="仿宋_GB2312"/>
          <w:sz w:val="32"/>
        </w:rPr>
      </w:pPr>
      <w:r>
        <w:rPr>
          <w:rFonts w:ascii="仿宋_GB2312" w:eastAsia="仿宋_GB2312"/>
          <w:sz w:val="32"/>
        </w:rPr>
        <w:t>二、2021年度收入决算表</w:t>
      </w:r>
    </w:p>
    <w:p w14:paraId="7CD8CDA9">
      <w:pPr>
        <w:pStyle w:val="6"/>
        <w:spacing w:line="560" w:lineRule="exact"/>
        <w:rPr>
          <w:rFonts w:hint="default" w:ascii="仿宋_GB2312" w:eastAsia="仿宋_GB2312"/>
          <w:sz w:val="32"/>
        </w:rPr>
      </w:pPr>
      <w:r>
        <w:rPr>
          <w:rFonts w:ascii="仿宋_GB2312" w:eastAsia="仿宋_GB2312"/>
          <w:sz w:val="32"/>
        </w:rPr>
        <w:t>三、2021年度支出决算表</w:t>
      </w:r>
    </w:p>
    <w:p w14:paraId="798202FE">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14:paraId="5062842E">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14:paraId="7A30CB83">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14:paraId="6A92BD58">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14:paraId="1099062C">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14:paraId="29038AFE">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14:paraId="55FF07D7">
      <w:pPr>
        <w:pStyle w:val="6"/>
        <w:spacing w:line="560" w:lineRule="exact"/>
        <w:jc w:val="center"/>
        <w:rPr>
          <w:rFonts w:hint="default"/>
          <w:b/>
          <w:sz w:val="36"/>
        </w:rPr>
      </w:pPr>
    </w:p>
    <w:p w14:paraId="1F944F85">
      <w:pPr>
        <w:pStyle w:val="6"/>
        <w:spacing w:line="560" w:lineRule="exact"/>
        <w:jc w:val="center"/>
        <w:rPr>
          <w:rFonts w:hint="default"/>
          <w:b/>
          <w:sz w:val="36"/>
        </w:rPr>
      </w:pPr>
      <w:r>
        <w:rPr>
          <w:b/>
          <w:sz w:val="36"/>
        </w:rPr>
        <w:t xml:space="preserve">第一部分 </w:t>
      </w:r>
      <w:r>
        <w:rPr>
          <w:rFonts w:hint="eastAsia"/>
          <w:b/>
          <w:sz w:val="36"/>
          <w:lang w:val="en-US" w:eastAsia="zh-CN"/>
        </w:rPr>
        <w:t>团区委</w:t>
      </w:r>
      <w:r>
        <w:rPr>
          <w:b/>
          <w:sz w:val="36"/>
        </w:rPr>
        <w:t>部门概况</w:t>
      </w:r>
    </w:p>
    <w:p w14:paraId="6D3BA775">
      <w:pPr>
        <w:pStyle w:val="6"/>
        <w:spacing w:line="560" w:lineRule="exact"/>
        <w:ind w:firstLine="640"/>
        <w:rPr>
          <w:rFonts w:hint="default" w:ascii="黑体" w:eastAsia="黑体"/>
          <w:sz w:val="32"/>
        </w:rPr>
      </w:pPr>
    </w:p>
    <w:p w14:paraId="74F1047D">
      <w:pPr>
        <w:pStyle w:val="6"/>
        <w:spacing w:line="560" w:lineRule="exact"/>
        <w:ind w:firstLine="640"/>
        <w:rPr>
          <w:rFonts w:hint="default" w:ascii="黑体" w:eastAsia="黑体"/>
          <w:sz w:val="32"/>
        </w:rPr>
      </w:pPr>
      <w:r>
        <w:rPr>
          <w:rFonts w:ascii="黑体" w:eastAsia="黑体"/>
          <w:sz w:val="32"/>
        </w:rPr>
        <w:t>一、主要职责</w:t>
      </w:r>
    </w:p>
    <w:p w14:paraId="594E0A26">
      <w:pPr>
        <w:pStyle w:val="6"/>
        <w:spacing w:line="560" w:lineRule="atLeast"/>
        <w:ind w:firstLine="640"/>
        <w:rPr>
          <w:rFonts w:hint="eastAsia" w:ascii="黑体" w:eastAsia="黑体"/>
          <w:sz w:val="32"/>
          <w:szCs w:val="32"/>
        </w:rPr>
      </w:pPr>
      <w:r>
        <w:rPr>
          <w:rFonts w:hint="eastAsia" w:ascii="仿宋_GB2312" w:eastAsia="仿宋_GB2312"/>
          <w:sz w:val="32"/>
          <w:szCs w:val="32"/>
          <w:lang w:eastAsia="zh-CN"/>
        </w:rPr>
        <w:t>中国共产主义青年团是中国共产党领导的先进青年的群团组织</w:t>
      </w:r>
      <w:r>
        <w:rPr>
          <w:rFonts w:hint="eastAsia" w:ascii="仿宋_GB2312" w:eastAsia="仿宋_GB2312"/>
          <w:sz w:val="32"/>
          <w:szCs w:val="32"/>
        </w:rPr>
        <w:t>，是广大青年在实践中学习共产主义的学校，是党的助手和后备军，是党联系青年的纽带和桥梁，是国家政权的重要社会支柱之一。</w:t>
      </w:r>
    </w:p>
    <w:p w14:paraId="00EF48C9">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（一）领导全区共青团工作、少先队和区青联工作。</w:t>
      </w:r>
    </w:p>
    <w:p w14:paraId="77CD4B5D">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（二）落实全区青少年发展规划和青少年工作方针、政策，促进青少年活动阵地、青少年服务机构建设。</w:t>
      </w:r>
    </w:p>
    <w:p w14:paraId="65FDC5F8">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（三）会同有关部门做好未成年人保护工作；协助区委、区政府处理、协调与青少年利益相关的事物。</w:t>
      </w:r>
    </w:p>
    <w:p w14:paraId="774C6C8D">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（四）调查青年思想动态和青年工作情况；研究青少年运动、青少年工作理论和思想教育问题，提出相应的政策，开展各种活动。</w:t>
      </w:r>
    </w:p>
    <w:p w14:paraId="2ADC9A61">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（五）协助政府教育部门做好中、小学学生的教育管理工作，维护全区学校稳定和社会安定团结。</w:t>
      </w:r>
    </w:p>
    <w:p w14:paraId="391C43B9">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（六）组织和带领全区青年在社会主义物质文明、政治文明精神文明和生态文明建设中发挥生力军和突击队作用。</w:t>
      </w:r>
    </w:p>
    <w:p w14:paraId="7A998C0D">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（七）负责全区青年统战工作，承担全区青少年外事和区内外青少年友好交流工作。</w:t>
      </w:r>
    </w:p>
    <w:p w14:paraId="4966313C">
      <w:pPr>
        <w:pStyle w:val="6"/>
        <w:spacing w:line="560" w:lineRule="atLeast"/>
        <w:ind w:firstLine="640"/>
        <w:rPr>
          <w:rFonts w:hint="eastAsia" w:ascii="仿宋_GB2312" w:eastAsia="仿宋_GB2312"/>
          <w:sz w:val="32"/>
          <w:szCs w:val="32"/>
        </w:rPr>
      </w:pPr>
      <w:r>
        <w:rPr>
          <w:rFonts w:hint="eastAsia" w:ascii="仿宋_GB2312" w:eastAsia="仿宋_GB2312"/>
          <w:sz w:val="32"/>
          <w:szCs w:val="32"/>
        </w:rPr>
        <w:t>（八）承办区委、区政府交办的其他事项。</w:t>
      </w:r>
    </w:p>
    <w:p w14:paraId="4A264D75">
      <w:pPr>
        <w:pStyle w:val="6"/>
        <w:spacing w:line="560" w:lineRule="exact"/>
        <w:ind w:firstLine="640"/>
        <w:rPr>
          <w:rFonts w:hint="default" w:ascii="黑体" w:eastAsia="黑体"/>
          <w:sz w:val="32"/>
        </w:rPr>
      </w:pPr>
      <w:r>
        <w:rPr>
          <w:rFonts w:ascii="黑体" w:eastAsia="黑体"/>
          <w:sz w:val="32"/>
        </w:rPr>
        <w:t>二、决算单位构成</w:t>
      </w:r>
    </w:p>
    <w:p w14:paraId="51919427">
      <w:pPr>
        <w:pStyle w:val="6"/>
        <w:spacing w:line="560" w:lineRule="atLeast"/>
        <w:ind w:firstLine="640"/>
        <w:rPr>
          <w:rFonts w:hint="default"/>
          <w:b/>
          <w:sz w:val="36"/>
        </w:rPr>
      </w:pPr>
      <w:r>
        <w:rPr>
          <w:rFonts w:hint="eastAsia" w:ascii="仿宋_GB2312" w:eastAsia="仿宋_GB2312"/>
          <w:b w:val="0"/>
          <w:bCs w:val="0"/>
          <w:sz w:val="32"/>
          <w:szCs w:val="32"/>
        </w:rPr>
        <w:t>纳入浑南团区委局</w:t>
      </w:r>
      <w:r>
        <w:rPr>
          <w:rFonts w:hint="eastAsia" w:ascii="仿宋_GB2312" w:eastAsia="仿宋_GB2312"/>
          <w:b w:val="0"/>
          <w:bCs w:val="0"/>
          <w:sz w:val="32"/>
          <w:szCs w:val="32"/>
          <w:lang w:eastAsia="zh-CN"/>
        </w:rPr>
        <w:t>20</w:t>
      </w:r>
      <w:r>
        <w:rPr>
          <w:rFonts w:hint="eastAsia" w:ascii="仿宋_GB2312" w:eastAsia="仿宋_GB2312"/>
          <w:b w:val="0"/>
          <w:bCs w:val="0"/>
          <w:sz w:val="32"/>
          <w:szCs w:val="32"/>
          <w:lang w:val="en-US" w:eastAsia="zh-CN"/>
        </w:rPr>
        <w:t>21</w:t>
      </w:r>
      <w:r>
        <w:rPr>
          <w:rFonts w:hint="eastAsia" w:ascii="仿宋_GB2312" w:eastAsia="仿宋_GB2312"/>
          <w:b w:val="0"/>
          <w:bCs w:val="0"/>
          <w:sz w:val="32"/>
          <w:szCs w:val="32"/>
        </w:rPr>
        <w:t>年决算编制范围的</w:t>
      </w:r>
      <w:r>
        <w:rPr>
          <w:rFonts w:hint="eastAsia" w:ascii="仿宋_GB2312" w:eastAsia="仿宋_GB2312"/>
          <w:b w:val="0"/>
          <w:bCs w:val="0"/>
          <w:sz w:val="32"/>
          <w:szCs w:val="32"/>
          <w:lang w:eastAsia="zh-CN"/>
        </w:rPr>
        <w:t>一</w:t>
      </w:r>
      <w:r>
        <w:rPr>
          <w:rFonts w:hint="eastAsia" w:ascii="仿宋_GB2312" w:eastAsia="仿宋_GB2312"/>
          <w:b w:val="0"/>
          <w:bCs w:val="0"/>
          <w:sz w:val="32"/>
          <w:szCs w:val="32"/>
        </w:rPr>
        <w:t>级预算单位包括：浑南团区委局</w:t>
      </w:r>
      <w:r>
        <w:rPr>
          <w:rFonts w:hint="eastAsia" w:ascii="仿宋_GB2312" w:eastAsia="仿宋_GB2312"/>
          <w:b w:val="0"/>
          <w:bCs w:val="0"/>
          <w:sz w:val="32"/>
          <w:szCs w:val="32"/>
          <w:lang w:eastAsia="zh-CN"/>
        </w:rPr>
        <w:t>本级。</w:t>
      </w:r>
      <w:r>
        <w:rPr>
          <w:rFonts w:hint="eastAsia" w:ascii="仿宋_GB2312" w:eastAsia="仿宋_GB2312"/>
          <w:b w:val="0"/>
          <w:bCs w:val="0"/>
          <w:sz w:val="32"/>
          <w:szCs w:val="32"/>
        </w:rPr>
        <w:t>本单位无下设机构</w:t>
      </w:r>
    </w:p>
    <w:p w14:paraId="08023C55">
      <w:pPr>
        <w:pStyle w:val="6"/>
        <w:spacing w:line="560" w:lineRule="exact"/>
        <w:jc w:val="center"/>
        <w:rPr>
          <w:rFonts w:hint="default"/>
          <w:b/>
          <w:sz w:val="36"/>
        </w:rPr>
      </w:pPr>
    </w:p>
    <w:p w14:paraId="0F70B4A1">
      <w:pPr>
        <w:pStyle w:val="6"/>
        <w:spacing w:line="560" w:lineRule="exact"/>
        <w:jc w:val="center"/>
        <w:rPr>
          <w:rFonts w:hint="default"/>
          <w:b/>
          <w:sz w:val="36"/>
        </w:rPr>
      </w:pPr>
      <w:r>
        <w:rPr>
          <w:b/>
          <w:sz w:val="36"/>
        </w:rPr>
        <w:t xml:space="preserve">第二部分 </w:t>
      </w:r>
      <w:r>
        <w:rPr>
          <w:rFonts w:hint="eastAsia"/>
          <w:b/>
          <w:sz w:val="36"/>
          <w:lang w:val="en-US" w:eastAsia="zh-CN"/>
        </w:rPr>
        <w:t>团区委</w:t>
      </w:r>
      <w:r>
        <w:rPr>
          <w:b/>
          <w:sz w:val="36"/>
        </w:rPr>
        <w:t>2021年决算情况说明</w:t>
      </w:r>
    </w:p>
    <w:p w14:paraId="7A2715DD">
      <w:pPr>
        <w:pStyle w:val="6"/>
        <w:spacing w:line="560" w:lineRule="exact"/>
        <w:ind w:firstLine="640" w:firstLineChars="200"/>
        <w:rPr>
          <w:rFonts w:hint="default" w:ascii="黑体" w:eastAsia="黑体"/>
          <w:sz w:val="32"/>
        </w:rPr>
      </w:pPr>
    </w:p>
    <w:p w14:paraId="160EBE25">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14:paraId="0E0D4DF7">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124.15</w:t>
      </w:r>
      <w:r>
        <w:rPr>
          <w:rFonts w:ascii="楷体_GB2312" w:eastAsia="楷体_GB2312"/>
          <w:b/>
          <w:sz w:val="32"/>
        </w:rPr>
        <w:t>万元，包括：</w:t>
      </w:r>
    </w:p>
    <w:p w14:paraId="7DC43EF9">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124.15</w:t>
      </w:r>
      <w:r>
        <w:rPr>
          <w:rFonts w:ascii="仿宋_GB2312" w:eastAsia="仿宋_GB2312"/>
          <w:sz w:val="32"/>
        </w:rPr>
        <w:t>万元，占收入总计的</w:t>
      </w:r>
      <w:r>
        <w:rPr>
          <w:rFonts w:hint="eastAsia" w:ascii="仿宋_GB2312" w:eastAsia="仿宋_GB2312"/>
          <w:sz w:val="32"/>
          <w:lang w:val="en-US" w:eastAsia="zh-CN"/>
        </w:rPr>
        <w:t>100</w:t>
      </w:r>
      <w:r>
        <w:rPr>
          <w:rFonts w:ascii="仿宋_GB2312" w:eastAsia="仿宋_GB2312"/>
          <w:sz w:val="32"/>
        </w:rPr>
        <w:t>%。其中：一般公共预算财政拨款收入</w:t>
      </w:r>
      <w:r>
        <w:rPr>
          <w:rFonts w:hint="eastAsia" w:ascii="仿宋_GB2312" w:eastAsia="仿宋_GB2312"/>
          <w:sz w:val="32"/>
          <w:lang w:val="en-US" w:eastAsia="zh-CN"/>
        </w:rPr>
        <w:t>124.15</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14:paraId="27CCFFC4">
      <w:pPr>
        <w:pStyle w:val="6"/>
        <w:spacing w:line="560" w:lineRule="exact"/>
        <w:ind w:firstLine="660"/>
        <w:rPr>
          <w:rFonts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w:t>
      </w:r>
      <w:r>
        <w:rPr>
          <w:rFonts w:hint="eastAsia" w:ascii="仿宋_GB2312" w:eastAsia="仿宋_GB2312"/>
          <w:sz w:val="32"/>
          <w:lang w:val="en-US" w:eastAsia="zh-CN"/>
        </w:rPr>
        <w:t>0</w:t>
      </w:r>
      <w:r>
        <w:rPr>
          <w:rFonts w:ascii="仿宋_GB2312" w:eastAsia="仿宋_GB2312"/>
          <w:sz w:val="32"/>
        </w:rPr>
        <w:t>万元，占收入总计的</w:t>
      </w:r>
      <w:r>
        <w:rPr>
          <w:rFonts w:hint="eastAsia" w:ascii="仿宋_GB2312" w:eastAsia="仿宋_GB2312"/>
          <w:sz w:val="32"/>
          <w:lang w:val="en-US" w:eastAsia="zh-CN"/>
        </w:rPr>
        <w:t>0</w:t>
      </w:r>
      <w:r>
        <w:rPr>
          <w:rFonts w:ascii="仿宋_GB2312" w:eastAsia="仿宋_GB2312"/>
          <w:sz w:val="32"/>
        </w:rPr>
        <w:t>%。</w:t>
      </w:r>
    </w:p>
    <w:p w14:paraId="6567F9C3">
      <w:pPr>
        <w:pStyle w:val="6"/>
        <w:spacing w:line="560" w:lineRule="exact"/>
        <w:ind w:firstLine="660"/>
        <w:rPr>
          <w:rFonts w:ascii="仿宋_GB2312" w:eastAsia="仿宋_GB2312"/>
          <w:sz w:val="32"/>
        </w:rPr>
      </w:pPr>
      <w:r>
        <w:rPr>
          <w:rFonts w:ascii="仿宋_GB2312" w:eastAsia="仿宋_GB2312"/>
          <w:sz w:val="32"/>
        </w:rPr>
        <w:t>与上年相比，今年收入减少</w:t>
      </w:r>
      <w:r>
        <w:rPr>
          <w:rFonts w:hint="eastAsia" w:ascii="仿宋_GB2312" w:eastAsia="仿宋_GB2312"/>
          <w:sz w:val="32"/>
          <w:lang w:val="en-US" w:eastAsia="zh-CN"/>
        </w:rPr>
        <w:t>91.8</w:t>
      </w:r>
      <w:r>
        <w:rPr>
          <w:rFonts w:ascii="仿宋_GB2312" w:eastAsia="仿宋_GB2312"/>
          <w:sz w:val="32"/>
        </w:rPr>
        <w:t>万元，降低</w:t>
      </w:r>
      <w:r>
        <w:rPr>
          <w:rFonts w:hint="eastAsia" w:ascii="仿宋_GB2312" w:eastAsia="仿宋_GB2312"/>
          <w:sz w:val="32"/>
          <w:lang w:val="en-US" w:eastAsia="zh-CN"/>
        </w:rPr>
        <w:t>42.5</w:t>
      </w:r>
      <w:r>
        <w:rPr>
          <w:rFonts w:ascii="仿宋_GB2312" w:eastAsia="仿宋_GB2312"/>
          <w:sz w:val="32"/>
        </w:rPr>
        <w:t>%，主要原因：</w:t>
      </w:r>
      <w:r>
        <w:rPr>
          <w:rFonts w:ascii="黑体" w:eastAsia="黑体"/>
          <w:sz w:val="32"/>
        </w:rPr>
        <w:t>一是</w:t>
      </w:r>
      <w:r>
        <w:rPr>
          <w:rFonts w:hint="eastAsia" w:ascii="仿宋_GB2312" w:eastAsia="仿宋_GB2312"/>
          <w:sz w:val="32"/>
          <w:lang w:val="en-US" w:eastAsia="zh-CN"/>
        </w:rPr>
        <w:t>缩减财政支出</w:t>
      </w:r>
      <w:r>
        <w:rPr>
          <w:rFonts w:ascii="仿宋_GB2312" w:eastAsia="仿宋_GB2312"/>
          <w:sz w:val="32"/>
        </w:rPr>
        <w:t>；</w:t>
      </w:r>
      <w:r>
        <w:rPr>
          <w:rFonts w:ascii="黑体" w:eastAsia="黑体"/>
          <w:sz w:val="32"/>
        </w:rPr>
        <w:t>二是</w:t>
      </w:r>
      <w:r>
        <w:rPr>
          <w:rFonts w:hint="eastAsia" w:ascii="仿宋_GB2312" w:eastAsia="仿宋_GB2312"/>
          <w:sz w:val="32"/>
          <w:lang w:val="en-US" w:eastAsia="zh-CN"/>
        </w:rPr>
        <w:t>人员减少</w:t>
      </w:r>
      <w:r>
        <w:rPr>
          <w:rFonts w:ascii="仿宋_GB2312" w:eastAsia="仿宋_GB2312"/>
          <w:sz w:val="32"/>
        </w:rPr>
        <w:t>。</w:t>
      </w:r>
    </w:p>
    <w:p w14:paraId="382CA408">
      <w:pPr>
        <w:pStyle w:val="6"/>
        <w:numPr>
          <w:ilvl w:val="0"/>
          <w:numId w:val="1"/>
        </w:numPr>
        <w:spacing w:line="560" w:lineRule="exact"/>
        <w:ind w:firstLine="660"/>
        <w:rPr>
          <w:rFonts w:ascii="楷体_GB2312" w:eastAsia="楷体_GB2312"/>
          <w:b/>
          <w:sz w:val="32"/>
        </w:rPr>
      </w:pPr>
      <w:r>
        <w:rPr>
          <w:rFonts w:ascii="楷体_GB2312" w:eastAsia="楷体_GB2312"/>
          <w:b/>
          <w:sz w:val="32"/>
        </w:rPr>
        <w:t>支出总计</w:t>
      </w:r>
      <w:r>
        <w:rPr>
          <w:rFonts w:hint="eastAsia" w:ascii="楷体_GB2312" w:eastAsia="楷体_GB2312"/>
          <w:b/>
          <w:sz w:val="32"/>
          <w:lang w:val="en-US" w:eastAsia="zh-CN"/>
        </w:rPr>
        <w:t>124.15</w:t>
      </w:r>
      <w:r>
        <w:rPr>
          <w:rFonts w:ascii="楷体_GB2312" w:eastAsia="楷体_GB2312"/>
          <w:b/>
          <w:sz w:val="32"/>
        </w:rPr>
        <w:t>万元，包括：</w:t>
      </w:r>
    </w:p>
    <w:p w14:paraId="47A0AAE4">
      <w:pPr>
        <w:pStyle w:val="6"/>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rPr>
      </w:pPr>
      <w:r>
        <w:rPr>
          <w:rFonts w:ascii="仿宋_GB2312" w:eastAsia="仿宋_GB2312"/>
          <w:sz w:val="32"/>
        </w:rPr>
        <w:t>1.基本支出</w:t>
      </w:r>
      <w:r>
        <w:rPr>
          <w:rFonts w:hint="eastAsia" w:ascii="仿宋_GB2312" w:eastAsia="仿宋_GB2312"/>
          <w:sz w:val="32"/>
          <w:lang w:val="en-US" w:eastAsia="zh-CN"/>
        </w:rPr>
        <w:t>79.67</w:t>
      </w:r>
      <w:r>
        <w:rPr>
          <w:rFonts w:ascii="仿宋_GB2312" w:eastAsia="仿宋_GB2312"/>
          <w:sz w:val="32"/>
        </w:rPr>
        <w:t>万元，占支出总计的</w:t>
      </w:r>
      <w:r>
        <w:rPr>
          <w:rFonts w:hint="eastAsia" w:ascii="仿宋_GB2312" w:eastAsia="仿宋_GB2312"/>
          <w:sz w:val="32"/>
          <w:lang w:val="en-US" w:eastAsia="zh-CN"/>
        </w:rPr>
        <w:t>64.17</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68.89</w:t>
      </w:r>
      <w:r>
        <w:rPr>
          <w:rFonts w:ascii="仿宋_GB2312" w:eastAsia="仿宋_GB2312"/>
          <w:sz w:val="32"/>
        </w:rPr>
        <w:t>万元，对个人和家庭的补助支出</w:t>
      </w:r>
      <w:r>
        <w:rPr>
          <w:rFonts w:hint="eastAsia" w:ascii="仿宋_GB2312" w:eastAsia="仿宋_GB2312"/>
          <w:sz w:val="32"/>
          <w:lang w:val="en-US" w:eastAsia="zh-CN"/>
        </w:rPr>
        <w:t>0.42</w:t>
      </w:r>
      <w:r>
        <w:rPr>
          <w:rFonts w:ascii="仿宋_GB2312" w:eastAsia="仿宋_GB2312"/>
          <w:sz w:val="32"/>
        </w:rPr>
        <w:t>万元，商品和服务支出</w:t>
      </w:r>
      <w:r>
        <w:rPr>
          <w:rFonts w:hint="eastAsia" w:ascii="仿宋_GB2312" w:eastAsia="仿宋_GB2312"/>
          <w:sz w:val="32"/>
          <w:lang w:val="en-US" w:eastAsia="zh-CN"/>
        </w:rPr>
        <w:t>10.36</w:t>
      </w:r>
      <w:r>
        <w:rPr>
          <w:rFonts w:ascii="仿宋_GB2312" w:eastAsia="仿宋_GB2312"/>
          <w:sz w:val="32"/>
        </w:rPr>
        <w:t>万元。</w:t>
      </w:r>
    </w:p>
    <w:p w14:paraId="006A936E">
      <w:pPr>
        <w:pStyle w:val="6"/>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44.48</w:t>
      </w:r>
      <w:r>
        <w:rPr>
          <w:rFonts w:ascii="仿宋_GB2312" w:eastAsia="仿宋_GB2312"/>
          <w:sz w:val="32"/>
        </w:rPr>
        <w:t>万元，占支出总计的</w:t>
      </w:r>
      <w:r>
        <w:rPr>
          <w:rFonts w:hint="eastAsia" w:ascii="仿宋_GB2312" w:eastAsia="仿宋_GB2312"/>
          <w:sz w:val="32"/>
          <w:lang w:val="en-US" w:eastAsia="zh-CN"/>
        </w:rPr>
        <w:t>35.83</w:t>
      </w:r>
      <w:r>
        <w:rPr>
          <w:rFonts w:ascii="仿宋_GB2312" w:eastAsia="仿宋_GB2312"/>
          <w:sz w:val="32"/>
        </w:rPr>
        <w:t>%。主要包括</w:t>
      </w:r>
      <w:r>
        <w:rPr>
          <w:rFonts w:hint="eastAsia" w:ascii="仿宋_GB2312" w:hAnsi="宋体" w:eastAsia="仿宋_GB2312"/>
          <w:sz w:val="32"/>
          <w:szCs w:val="32"/>
          <w:lang w:eastAsia="zh-CN"/>
        </w:rPr>
        <w:t>商品和服务支出和</w:t>
      </w:r>
      <w:r>
        <w:rPr>
          <w:rFonts w:ascii="仿宋_GB2312" w:eastAsia="仿宋_GB2312"/>
          <w:sz w:val="32"/>
        </w:rPr>
        <w:t>一般行政管理事务</w:t>
      </w:r>
      <w:r>
        <w:rPr>
          <w:rFonts w:hint="eastAsia" w:ascii="仿宋_GB2312" w:hAnsi="宋体" w:eastAsia="仿宋_GB2312"/>
          <w:sz w:val="32"/>
          <w:szCs w:val="32"/>
          <w:lang w:eastAsia="zh-CN"/>
        </w:rPr>
        <w:t>支出等</w:t>
      </w:r>
      <w:r>
        <w:rPr>
          <w:rFonts w:ascii="仿宋_GB2312" w:eastAsia="仿宋_GB2312"/>
          <w:sz w:val="32"/>
        </w:rPr>
        <w:t>。</w:t>
      </w:r>
    </w:p>
    <w:p w14:paraId="4C8882A4">
      <w:pPr>
        <w:pStyle w:val="6"/>
        <w:spacing w:line="560" w:lineRule="exact"/>
        <w:ind w:firstLine="660"/>
        <w:rPr>
          <w:rFonts w:hint="eastAsia" w:ascii="仿宋_GB2312" w:eastAsia="仿宋_GB2312"/>
          <w:sz w:val="32"/>
          <w:lang w:val="en-US" w:eastAsia="zh-CN"/>
        </w:rPr>
      </w:pPr>
      <w:r>
        <w:rPr>
          <w:rFonts w:ascii="仿宋_GB2312" w:eastAsia="仿宋_GB2312"/>
          <w:sz w:val="32"/>
        </w:rPr>
        <w:t>与上年相比，今年支出减少</w:t>
      </w:r>
      <w:r>
        <w:rPr>
          <w:rFonts w:hint="eastAsia" w:ascii="仿宋_GB2312" w:eastAsia="仿宋_GB2312"/>
          <w:sz w:val="32"/>
          <w:lang w:val="en-US" w:eastAsia="zh-CN"/>
        </w:rPr>
        <w:t>91.8</w:t>
      </w:r>
      <w:r>
        <w:rPr>
          <w:rFonts w:ascii="仿宋_GB2312" w:eastAsia="仿宋_GB2312"/>
          <w:sz w:val="32"/>
        </w:rPr>
        <w:t>万元，降低</w:t>
      </w:r>
      <w:r>
        <w:rPr>
          <w:rFonts w:hint="eastAsia" w:ascii="仿宋_GB2312" w:eastAsia="仿宋_GB2312"/>
          <w:sz w:val="32"/>
          <w:lang w:val="en-US" w:eastAsia="zh-CN"/>
        </w:rPr>
        <w:t>42.5</w:t>
      </w:r>
      <w:r>
        <w:rPr>
          <w:rFonts w:ascii="仿宋_GB2312" w:eastAsia="仿宋_GB2312"/>
          <w:sz w:val="32"/>
        </w:rPr>
        <w:t>%，主要原因：</w:t>
      </w:r>
      <w:r>
        <w:rPr>
          <w:rFonts w:hint="eastAsia" w:ascii="仿宋_GB2312" w:eastAsia="仿宋_GB2312"/>
          <w:sz w:val="32"/>
          <w:lang w:val="en-US" w:eastAsia="zh-CN"/>
        </w:rPr>
        <w:t>一是缩减支出；二是受疫情影响，未开展常规活动。</w:t>
      </w:r>
    </w:p>
    <w:p w14:paraId="3FE78E87">
      <w:pPr>
        <w:pStyle w:val="6"/>
        <w:spacing w:line="560" w:lineRule="exact"/>
        <w:ind w:firstLine="660"/>
        <w:rPr>
          <w:rFonts w:hint="default" w:ascii="仿宋_GB2312" w:eastAsia="仿宋_GB2312"/>
          <w:sz w:val="32"/>
          <w:lang w:val="en-US" w:eastAsia="zh-CN"/>
        </w:rPr>
      </w:pPr>
      <w:bookmarkStart w:id="0" w:name="_GoBack"/>
      <w:bookmarkEnd w:id="0"/>
    </w:p>
    <w:p w14:paraId="54AE489B">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0</w:t>
      </w:r>
      <w:r>
        <w:rPr>
          <w:rFonts w:ascii="楷体_GB2312" w:eastAsia="楷体_GB2312"/>
          <w:b/>
          <w:sz w:val="32"/>
        </w:rPr>
        <w:t>万元</w:t>
      </w:r>
    </w:p>
    <w:p w14:paraId="32EF9089">
      <w:pPr>
        <w:pStyle w:val="6"/>
        <w:spacing w:line="560" w:lineRule="atLeast"/>
        <w:ind w:firstLine="660"/>
        <w:rPr>
          <w:rFonts w:hint="eastAsia" w:ascii="仿宋_GB2312" w:eastAsia="仿宋_GB2312"/>
          <w:color w:val="auto"/>
          <w:sz w:val="32"/>
          <w:szCs w:val="32"/>
          <w:lang w:eastAsia="zh-CN"/>
        </w:rPr>
      </w:pPr>
      <w:r>
        <w:rPr>
          <w:rFonts w:hint="eastAsia" w:ascii="仿宋_GB2312" w:eastAsia="仿宋_GB2312"/>
          <w:sz w:val="32"/>
          <w:szCs w:val="32"/>
        </w:rPr>
        <w:t>年末无结转和结余</w:t>
      </w:r>
      <w:r>
        <w:rPr>
          <w:rFonts w:hint="eastAsia" w:ascii="仿宋_GB2312" w:eastAsia="仿宋_GB2312"/>
          <w:sz w:val="32"/>
          <w:szCs w:val="32"/>
          <w:lang w:eastAsia="zh-CN"/>
        </w:rPr>
        <w:t>，与上年持平。</w:t>
      </w:r>
    </w:p>
    <w:p w14:paraId="3A938218">
      <w:pPr>
        <w:pStyle w:val="6"/>
        <w:numPr>
          <w:ilvl w:val="0"/>
          <w:numId w:val="2"/>
        </w:numPr>
        <w:spacing w:line="560" w:lineRule="exact"/>
        <w:ind w:firstLine="660"/>
        <w:rPr>
          <w:rFonts w:ascii="黑体" w:eastAsia="黑体"/>
          <w:sz w:val="32"/>
        </w:rPr>
      </w:pPr>
      <w:r>
        <w:rPr>
          <w:rFonts w:ascii="黑体" w:eastAsia="黑体"/>
          <w:sz w:val="32"/>
        </w:rPr>
        <w:t>财政拨款收入支出决算情况说明</w:t>
      </w:r>
    </w:p>
    <w:p w14:paraId="2B0FB56E">
      <w:pPr>
        <w:pStyle w:val="6"/>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楷体_GB2312" w:eastAsia="楷体_GB2312"/>
          <w:b/>
          <w:sz w:val="32"/>
        </w:rPr>
      </w:pPr>
      <w:r>
        <w:rPr>
          <w:rFonts w:ascii="楷体_GB2312" w:eastAsia="楷体_GB2312"/>
          <w:b/>
          <w:sz w:val="32"/>
        </w:rPr>
        <w:t>（一）总体情况</w:t>
      </w:r>
    </w:p>
    <w:p w14:paraId="481257FC">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124.15</w:t>
      </w:r>
      <w:r>
        <w:rPr>
          <w:rFonts w:ascii="仿宋_GB2312" w:eastAsia="仿宋_GB2312"/>
          <w:sz w:val="32"/>
        </w:rPr>
        <w:t>万元，其中：基本支出</w:t>
      </w:r>
      <w:r>
        <w:rPr>
          <w:rFonts w:hint="eastAsia" w:ascii="仿宋_GB2312" w:eastAsia="仿宋_GB2312"/>
          <w:sz w:val="32"/>
          <w:lang w:val="en-US" w:eastAsia="zh-CN"/>
        </w:rPr>
        <w:t>79.67</w:t>
      </w:r>
      <w:r>
        <w:rPr>
          <w:rFonts w:ascii="仿宋_GB2312" w:eastAsia="仿宋_GB2312"/>
          <w:sz w:val="32"/>
        </w:rPr>
        <w:t>万元，项目支出</w:t>
      </w:r>
      <w:r>
        <w:rPr>
          <w:rFonts w:hint="eastAsia" w:ascii="仿宋_GB2312" w:eastAsia="仿宋_GB2312"/>
          <w:sz w:val="32"/>
          <w:lang w:val="en-US" w:eastAsia="zh-CN"/>
        </w:rPr>
        <w:t>44.48</w:t>
      </w:r>
      <w:r>
        <w:rPr>
          <w:rFonts w:ascii="仿宋_GB2312" w:eastAsia="仿宋_GB2312"/>
          <w:sz w:val="32"/>
        </w:rPr>
        <w:t>万元。与上年相比，财政拨款减少</w:t>
      </w:r>
      <w:r>
        <w:rPr>
          <w:rFonts w:hint="eastAsia" w:ascii="仿宋_GB2312" w:eastAsia="仿宋_GB2312"/>
          <w:sz w:val="32"/>
          <w:lang w:val="en-US" w:eastAsia="zh-CN"/>
        </w:rPr>
        <w:t>91.8</w:t>
      </w:r>
      <w:r>
        <w:rPr>
          <w:rFonts w:ascii="仿宋_GB2312" w:eastAsia="仿宋_GB2312"/>
          <w:sz w:val="32"/>
        </w:rPr>
        <w:t>万元，</w:t>
      </w:r>
      <w:r>
        <w:rPr>
          <w:rFonts w:hint="eastAsia" w:ascii="仿宋_GB2312" w:eastAsia="仿宋_GB2312"/>
          <w:sz w:val="32"/>
          <w:lang w:val="en-US" w:eastAsia="zh-CN"/>
        </w:rPr>
        <w:t>降低42.5</w:t>
      </w:r>
      <w:r>
        <w:rPr>
          <w:rFonts w:ascii="仿宋_GB2312" w:eastAsia="仿宋_GB2312"/>
          <w:sz w:val="32"/>
        </w:rPr>
        <w:t>%，主要原因：</w:t>
      </w:r>
      <w:r>
        <w:rPr>
          <w:rFonts w:hint="eastAsia" w:ascii="仿宋_GB2312" w:eastAsia="仿宋_GB2312"/>
          <w:sz w:val="32"/>
          <w:lang w:val="en-US" w:eastAsia="zh-CN"/>
        </w:rPr>
        <w:t>一是缩减支出；二是受疫情影响，未开展常规活动。</w:t>
      </w:r>
      <w:r>
        <w:rPr>
          <w:rFonts w:ascii="仿宋_GB2312" w:eastAsia="仿宋_GB2312"/>
          <w:sz w:val="32"/>
        </w:rPr>
        <w:t>与年初预算相比，2021年度财政拨款支出完成年初预算的</w:t>
      </w:r>
      <w:r>
        <w:rPr>
          <w:rFonts w:hint="eastAsia" w:ascii="仿宋_GB2312" w:eastAsia="仿宋_GB2312"/>
          <w:sz w:val="32"/>
          <w:lang w:val="en-US" w:eastAsia="zh-CN"/>
        </w:rPr>
        <w:t>100</w:t>
      </w:r>
      <w:r>
        <w:rPr>
          <w:rFonts w:ascii="仿宋_GB2312" w:eastAsia="仿宋_GB2312"/>
          <w:sz w:val="32"/>
        </w:rPr>
        <w:t>%，其中：基本支出完成年初预算的</w:t>
      </w:r>
      <w:r>
        <w:rPr>
          <w:rFonts w:hint="eastAsia" w:ascii="仿宋_GB2312" w:eastAsia="仿宋_GB2312"/>
          <w:sz w:val="32"/>
          <w:lang w:val="en-US" w:eastAsia="zh-CN"/>
        </w:rPr>
        <w:t>100</w:t>
      </w:r>
      <w:r>
        <w:rPr>
          <w:rFonts w:ascii="仿宋_GB2312" w:eastAsia="仿宋_GB2312"/>
          <w:sz w:val="32"/>
        </w:rPr>
        <w:t>%，项目支出完成年初预算的</w:t>
      </w:r>
      <w:r>
        <w:rPr>
          <w:rFonts w:hint="eastAsia" w:ascii="仿宋_GB2312" w:eastAsia="仿宋_GB2312"/>
          <w:sz w:val="32"/>
          <w:lang w:val="en-US" w:eastAsia="zh-CN"/>
        </w:rPr>
        <w:t>100</w:t>
      </w:r>
      <w:r>
        <w:rPr>
          <w:rFonts w:ascii="仿宋_GB2312" w:eastAsia="仿宋_GB2312"/>
          <w:sz w:val="32"/>
        </w:rPr>
        <w:t>%。</w:t>
      </w:r>
    </w:p>
    <w:p w14:paraId="4C505261">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14:paraId="70535AD8">
      <w:pPr>
        <w:spacing w:line="560" w:lineRule="exact"/>
        <w:ind w:firstLine="660"/>
        <w:rPr>
          <w:rFonts w:hint="default" w:ascii="仿宋_GB2312" w:hAnsi="宋体" w:eastAsia="仿宋_GB2312"/>
          <w:sz w:val="32"/>
          <w:szCs w:val="32"/>
          <w:lang w:val="en-US" w:eastAsia="zh-CN"/>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124.15</w:t>
      </w:r>
      <w:r>
        <w:rPr>
          <w:rFonts w:ascii="仿宋_GB2312" w:hAnsi="宋体" w:eastAsia="仿宋_GB2312"/>
          <w:sz w:val="32"/>
          <w:szCs w:val="32"/>
        </w:rPr>
        <w:t>万元，按支出功能分类科目分，包括：一般公共服务支出</w:t>
      </w:r>
      <w:r>
        <w:rPr>
          <w:rFonts w:hint="eastAsia" w:ascii="仿宋_GB2312" w:hAnsi="宋体" w:eastAsia="仿宋_GB2312"/>
          <w:sz w:val="32"/>
          <w:szCs w:val="32"/>
          <w:lang w:val="en-US" w:eastAsia="zh-CN"/>
        </w:rPr>
        <w:t>93.41</w:t>
      </w:r>
      <w:r>
        <w:rPr>
          <w:rFonts w:ascii="仿宋_GB2312" w:hAnsi="宋体" w:eastAsia="仿宋_GB2312"/>
          <w:sz w:val="32"/>
          <w:szCs w:val="32"/>
        </w:rPr>
        <w:t>万元，占</w:t>
      </w:r>
      <w:r>
        <w:rPr>
          <w:rFonts w:hint="eastAsia" w:ascii="仿宋_GB2312" w:hAnsi="宋体" w:eastAsia="仿宋_GB2312"/>
          <w:sz w:val="32"/>
          <w:szCs w:val="32"/>
          <w:lang w:val="en-US" w:eastAsia="zh-CN"/>
        </w:rPr>
        <w:t>75.24</w:t>
      </w:r>
      <w:r>
        <w:rPr>
          <w:rFonts w:ascii="仿宋_GB2312" w:hAnsi="宋体" w:eastAsia="仿宋_GB2312"/>
          <w:sz w:val="32"/>
          <w:szCs w:val="32"/>
        </w:rPr>
        <w:t>%；</w:t>
      </w:r>
      <w:r>
        <w:rPr>
          <w:rFonts w:hint="eastAsia" w:ascii="仿宋_GB2312" w:hAnsi="宋体" w:eastAsia="仿宋_GB2312"/>
          <w:sz w:val="32"/>
          <w:szCs w:val="32"/>
          <w:lang w:val="en-US" w:eastAsia="zh-CN"/>
        </w:rPr>
        <w:t>教育支出0.17万元，占比0.14%；社会保障和就业支出6.34万元，占比5.11%；卫生健康支出3.32万元，占比2.67%；住房保障支出18.2万元，占比14.66%；灾害防治及应急管理支出2.71万元，占比2.18%。</w:t>
      </w:r>
    </w:p>
    <w:p w14:paraId="3C67D27E">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hint="eastAsia" w:ascii="仿宋_GB2312" w:hAnsi="宋体" w:eastAsia="仿宋_GB2312"/>
          <w:sz w:val="32"/>
          <w:szCs w:val="32"/>
          <w:lang w:val="en-US" w:eastAsia="zh-CN"/>
        </w:rPr>
        <w:t>93.41</w:t>
      </w:r>
      <w:r>
        <w:rPr>
          <w:rFonts w:ascii="仿宋_GB2312" w:hAnsi="宋体" w:eastAsia="仿宋_GB2312"/>
          <w:sz w:val="32"/>
          <w:szCs w:val="32"/>
        </w:rPr>
        <w:t>万元，具体包括：</w:t>
      </w:r>
    </w:p>
    <w:p w14:paraId="2C02584B">
      <w:pPr>
        <w:spacing w:line="560" w:lineRule="exact"/>
        <w:ind w:firstLine="660"/>
        <w:rPr>
          <w:rFonts w:hint="eastAsia" w:ascii="仿宋_GB2312" w:hAnsi="宋体" w:eastAsia="仿宋_GB2312"/>
          <w:sz w:val="32"/>
          <w:szCs w:val="32"/>
          <w:lang w:eastAsia="zh-CN"/>
        </w:rPr>
      </w:pPr>
      <w:r>
        <w:rPr>
          <w:rFonts w:ascii="仿宋_GB2312" w:hAnsi="宋体" w:eastAsia="仿宋_GB2312"/>
          <w:sz w:val="32"/>
          <w:szCs w:val="32"/>
        </w:rPr>
        <w:t>（1）一般公共服务支出（类）财政事务（款）行政运行（项）</w:t>
      </w:r>
      <w:r>
        <w:rPr>
          <w:rFonts w:hint="eastAsia" w:ascii="仿宋_GB2312" w:hAnsi="宋体" w:eastAsia="仿宋_GB2312"/>
          <w:sz w:val="32"/>
          <w:szCs w:val="32"/>
          <w:lang w:val="en-US" w:eastAsia="zh-CN"/>
        </w:rPr>
        <w:t>51.81</w:t>
      </w:r>
      <w:r>
        <w:rPr>
          <w:rFonts w:ascii="仿宋_GB2312" w:hAnsi="宋体" w:eastAsia="仿宋_GB2312"/>
          <w:sz w:val="32"/>
          <w:szCs w:val="32"/>
        </w:rPr>
        <w:t>万元，</w:t>
      </w:r>
      <w:r>
        <w:rPr>
          <w:rFonts w:hint="eastAsia" w:ascii="仿宋_GB2312" w:hAnsi="宋体" w:eastAsia="仿宋_GB2312"/>
          <w:sz w:val="32"/>
          <w:szCs w:val="32"/>
        </w:rPr>
        <w:t>主要是</w:t>
      </w:r>
      <w:r>
        <w:rPr>
          <w:rFonts w:hint="eastAsia" w:ascii="仿宋_GB2312" w:eastAsia="仿宋_GB2312"/>
          <w:sz w:val="32"/>
          <w:szCs w:val="32"/>
        </w:rPr>
        <w:t>在职人员工资保险、公积金、退休人员工资等</w:t>
      </w:r>
      <w:r>
        <w:rPr>
          <w:rFonts w:hint="eastAsia" w:ascii="仿宋_GB2312" w:hAnsi="宋体" w:eastAsia="仿宋_GB2312"/>
          <w:sz w:val="32"/>
          <w:szCs w:val="32"/>
        </w:rPr>
        <w:t>支出，完成年初预算的</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hint="eastAsia" w:ascii="仿宋_GB2312" w:eastAsia="仿宋_GB2312"/>
          <w:sz w:val="32"/>
          <w:szCs w:val="32"/>
          <w:lang w:val="en-US" w:eastAsia="zh-CN"/>
        </w:rPr>
        <w:t>，决算数等于年初预算数的原因是完全按照预算执行</w:t>
      </w:r>
      <w:r>
        <w:rPr>
          <w:rFonts w:hint="eastAsia" w:ascii="仿宋_GB2312" w:hAnsi="宋体" w:eastAsia="仿宋_GB2312"/>
          <w:sz w:val="32"/>
          <w:szCs w:val="32"/>
          <w:lang w:eastAsia="zh-CN"/>
        </w:rPr>
        <w:t>。</w:t>
      </w:r>
    </w:p>
    <w:p w14:paraId="78DF1BA5">
      <w:pPr>
        <w:spacing w:line="560" w:lineRule="exact"/>
        <w:ind w:firstLine="660"/>
        <w:rPr>
          <w:rFonts w:hint="default" w:ascii="仿宋_GB2312" w:hAnsi="宋体" w:eastAsia="仿宋_GB2312"/>
          <w:sz w:val="32"/>
          <w:szCs w:val="32"/>
        </w:rPr>
      </w:pPr>
      <w:r>
        <w:rPr>
          <w:rFonts w:ascii="仿宋_GB2312" w:hAnsi="宋体" w:eastAsia="仿宋_GB2312"/>
          <w:sz w:val="32"/>
          <w:szCs w:val="32"/>
        </w:rPr>
        <w:t>（2）</w:t>
      </w:r>
      <w:r>
        <w:rPr>
          <w:rFonts w:hint="eastAsia" w:ascii="仿宋_GB2312" w:eastAsia="仿宋_GB2312"/>
          <w:b w:val="0"/>
          <w:bCs/>
          <w:color w:val="auto"/>
          <w:sz w:val="32"/>
          <w:szCs w:val="32"/>
        </w:rPr>
        <w:t>一般行政管理事务</w:t>
      </w:r>
      <w:r>
        <w:rPr>
          <w:rFonts w:hint="eastAsia" w:ascii="仿宋_GB2312" w:eastAsia="仿宋_GB2312"/>
          <w:b w:val="0"/>
          <w:bCs/>
          <w:color w:val="auto"/>
          <w:sz w:val="32"/>
          <w:szCs w:val="32"/>
          <w:lang w:val="en-US" w:eastAsia="zh-CN"/>
        </w:rPr>
        <w:t>41.6</w:t>
      </w:r>
      <w:r>
        <w:rPr>
          <w:rFonts w:hint="eastAsia" w:ascii="仿宋_GB2312" w:eastAsia="仿宋_GB2312"/>
          <w:b w:val="0"/>
          <w:bCs/>
          <w:color w:val="auto"/>
          <w:sz w:val="32"/>
          <w:szCs w:val="32"/>
        </w:rPr>
        <w:t>万元，主要用于项目、商品和服务等支出，完成年初预算的100%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eastAsia="仿宋_GB2312"/>
          <w:b w:val="0"/>
          <w:bCs/>
          <w:color w:val="auto"/>
          <w:sz w:val="32"/>
          <w:szCs w:val="32"/>
        </w:rPr>
        <w:t>。</w:t>
      </w:r>
    </w:p>
    <w:p w14:paraId="5DDE7D95">
      <w:pPr>
        <w:spacing w:line="560" w:lineRule="exact"/>
        <w:ind w:firstLine="660"/>
        <w:rPr>
          <w:rFonts w:hint="eastAsia" w:ascii="仿宋_GB2312" w:hAnsi="宋体" w:eastAsia="仿宋_GB2312"/>
          <w:sz w:val="32"/>
          <w:szCs w:val="32"/>
          <w:lang w:val="en-US" w:eastAsia="zh-CN"/>
        </w:rPr>
      </w:pPr>
      <w:r>
        <w:rPr>
          <w:rFonts w:ascii="仿宋_GB2312" w:hAnsi="宋体" w:eastAsia="仿宋_GB2312"/>
          <w:sz w:val="32"/>
          <w:szCs w:val="32"/>
        </w:rPr>
        <w:t>2.</w:t>
      </w:r>
      <w:r>
        <w:rPr>
          <w:rFonts w:hint="eastAsia" w:ascii="仿宋_GB2312" w:hAnsi="宋体" w:eastAsia="仿宋_GB2312"/>
          <w:sz w:val="32"/>
          <w:szCs w:val="32"/>
          <w:lang w:val="en-US" w:eastAsia="zh-CN"/>
        </w:rPr>
        <w:t>教育支出0.17万元，具体包括：</w:t>
      </w:r>
    </w:p>
    <w:p w14:paraId="36690F25">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团干部培训0.17万元，完成年初预算的100%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hAnsi="宋体" w:eastAsia="仿宋_GB2312"/>
          <w:sz w:val="32"/>
          <w:szCs w:val="32"/>
          <w:lang w:val="en-US" w:eastAsia="zh-CN"/>
        </w:rPr>
        <w:t>。</w:t>
      </w:r>
    </w:p>
    <w:p w14:paraId="4B70D739">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3.社会保障和就业支出6.34万元，具体包括：</w:t>
      </w:r>
    </w:p>
    <w:p w14:paraId="156236DD">
      <w:pPr>
        <w:pStyle w:val="6"/>
        <w:keepNext w:val="0"/>
        <w:keepLines w:val="0"/>
        <w:pageBreakBefore w:val="0"/>
        <w:widowControl/>
        <w:numPr>
          <w:ilvl w:val="0"/>
          <w:numId w:val="0"/>
        </w:numPr>
        <w:kinsoku/>
        <w:wordWrap/>
        <w:overflowPunct/>
        <w:topLinePunct w:val="0"/>
        <w:autoSpaceDE/>
        <w:autoSpaceDN/>
        <w:bidi w:val="0"/>
        <w:adjustRightInd/>
        <w:snapToGrid/>
        <w:spacing w:line="560" w:lineRule="atLeast"/>
        <w:ind w:firstLine="640" w:firstLineChars="200"/>
        <w:textAlignment w:val="auto"/>
        <w:rPr>
          <w:rFonts w:hint="eastAsia" w:ascii="仿宋_GB2312" w:eastAsia="仿宋_GB2312"/>
          <w:b w:val="0"/>
          <w:bCs/>
          <w:color w:val="auto"/>
          <w:sz w:val="32"/>
          <w:szCs w:val="32"/>
        </w:rPr>
      </w:pPr>
      <w:r>
        <w:rPr>
          <w:rFonts w:hint="eastAsia" w:ascii="仿宋_GB2312" w:eastAsia="仿宋_GB2312"/>
          <w:sz w:val="32"/>
          <w:szCs w:val="32"/>
        </w:rPr>
        <w:t>主要用于机关事业单位基本养老保险缴费支出</w:t>
      </w:r>
      <w:r>
        <w:rPr>
          <w:rFonts w:hint="eastAsia" w:ascii="仿宋_GB2312" w:eastAsia="仿宋_GB2312"/>
          <w:sz w:val="32"/>
          <w:szCs w:val="32"/>
          <w:lang w:val="en-US" w:eastAsia="zh-CN"/>
        </w:rPr>
        <w:t>6.34万元</w:t>
      </w:r>
      <w:r>
        <w:rPr>
          <w:rFonts w:hint="eastAsia" w:ascii="仿宋_GB2312" w:eastAsia="仿宋_GB2312"/>
          <w:sz w:val="32"/>
          <w:szCs w:val="32"/>
        </w:rPr>
        <w:t>，</w:t>
      </w:r>
      <w:r>
        <w:rPr>
          <w:rFonts w:hint="eastAsia" w:ascii="仿宋_GB2312" w:eastAsia="仿宋_GB2312"/>
          <w:b w:val="0"/>
          <w:bCs/>
          <w:color w:val="auto"/>
          <w:sz w:val="32"/>
          <w:szCs w:val="32"/>
        </w:rPr>
        <w:t>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eastAsia="仿宋_GB2312"/>
          <w:b w:val="0"/>
          <w:bCs/>
          <w:color w:val="auto"/>
          <w:sz w:val="32"/>
          <w:szCs w:val="32"/>
        </w:rPr>
        <w:t>。</w:t>
      </w:r>
    </w:p>
    <w:p w14:paraId="4A2A65A8">
      <w:pPr>
        <w:numPr>
          <w:ilvl w:val="0"/>
          <w:numId w:val="0"/>
        </w:numPr>
        <w:spacing w:line="560" w:lineRule="exact"/>
        <w:ind w:left="660" w:leftChars="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4.卫生健康支出3.32万元，具体包括：</w:t>
      </w:r>
    </w:p>
    <w:p w14:paraId="5E60F5E2">
      <w:pPr>
        <w:pStyle w:val="6"/>
        <w:keepNext w:val="0"/>
        <w:keepLines w:val="0"/>
        <w:pageBreakBefore w:val="0"/>
        <w:widowControl/>
        <w:numPr>
          <w:ilvl w:val="0"/>
          <w:numId w:val="0"/>
        </w:numPr>
        <w:kinsoku/>
        <w:wordWrap/>
        <w:overflowPunct/>
        <w:topLinePunct w:val="0"/>
        <w:autoSpaceDE/>
        <w:autoSpaceDN/>
        <w:bidi w:val="0"/>
        <w:adjustRightInd/>
        <w:snapToGrid/>
        <w:spacing w:line="560" w:lineRule="atLeast"/>
        <w:ind w:firstLine="640" w:firstLineChars="200"/>
        <w:textAlignment w:val="auto"/>
        <w:rPr>
          <w:rFonts w:hint="default" w:ascii="仿宋_GB2312" w:eastAsia="仿宋_GB2312"/>
          <w:b w:val="0"/>
          <w:bCs/>
          <w:color w:val="auto"/>
          <w:sz w:val="32"/>
          <w:szCs w:val="32"/>
          <w:lang w:val="en-US" w:eastAsia="zh-CN"/>
        </w:rPr>
      </w:pPr>
      <w:r>
        <w:rPr>
          <w:rFonts w:hint="eastAsia" w:ascii="仿宋_GB2312" w:eastAsia="仿宋_GB2312"/>
          <w:b w:val="0"/>
          <w:bCs/>
          <w:color w:val="auto"/>
          <w:sz w:val="32"/>
          <w:szCs w:val="32"/>
          <w:lang w:val="en-US" w:eastAsia="zh-CN"/>
        </w:rPr>
        <w:t>在职人员医保支出3.32万元，完成年初预算的100%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eastAsia="仿宋_GB2312"/>
          <w:b w:val="0"/>
          <w:bCs/>
          <w:color w:val="auto"/>
          <w:sz w:val="32"/>
          <w:szCs w:val="32"/>
          <w:lang w:val="en-US" w:eastAsia="zh-CN"/>
        </w:rPr>
        <w:t>。</w:t>
      </w:r>
    </w:p>
    <w:p w14:paraId="6812359F">
      <w:pPr>
        <w:numPr>
          <w:ilvl w:val="0"/>
          <w:numId w:val="0"/>
        </w:numPr>
        <w:spacing w:line="560" w:lineRule="exact"/>
        <w:ind w:left="660" w:leftChars="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5.住房保障支出18.2万元，具体包括：</w:t>
      </w:r>
    </w:p>
    <w:p w14:paraId="193B8EC1">
      <w:pPr>
        <w:pStyle w:val="6"/>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eastAsia" w:ascii="仿宋_GB2312" w:eastAsia="仿宋_GB2312"/>
          <w:b w:val="0"/>
          <w:bCs w:val="0"/>
          <w:color w:val="auto"/>
          <w:sz w:val="32"/>
          <w:szCs w:val="32"/>
        </w:rPr>
      </w:pPr>
      <w:r>
        <w:rPr>
          <w:rFonts w:hint="eastAsia" w:ascii="仿宋_GB2312" w:eastAsia="仿宋_GB2312"/>
          <w:b w:val="0"/>
          <w:bCs w:val="0"/>
          <w:color w:val="auto"/>
          <w:sz w:val="32"/>
          <w:szCs w:val="32"/>
          <w:lang w:eastAsia="zh-CN"/>
        </w:rPr>
        <w:t>在职</w:t>
      </w:r>
      <w:r>
        <w:rPr>
          <w:rFonts w:hint="eastAsia" w:ascii="仿宋_GB2312" w:eastAsia="仿宋_GB2312"/>
          <w:b w:val="0"/>
          <w:bCs w:val="0"/>
          <w:color w:val="auto"/>
          <w:sz w:val="32"/>
          <w:szCs w:val="32"/>
        </w:rPr>
        <w:t>工作人员住房公积金缴纳支出</w:t>
      </w:r>
      <w:r>
        <w:rPr>
          <w:rFonts w:hint="eastAsia" w:ascii="仿宋_GB2312" w:eastAsia="仿宋_GB2312"/>
          <w:b w:val="0"/>
          <w:bCs w:val="0"/>
          <w:color w:val="auto"/>
          <w:sz w:val="32"/>
          <w:szCs w:val="32"/>
          <w:lang w:val="en-US" w:eastAsia="zh-CN"/>
        </w:rPr>
        <w:t>18.2万元</w:t>
      </w:r>
      <w:r>
        <w:rPr>
          <w:rFonts w:hint="eastAsia" w:ascii="仿宋_GB2312" w:eastAsia="仿宋_GB2312"/>
          <w:b w:val="0"/>
          <w:bCs w:val="0"/>
          <w:color w:val="auto"/>
          <w:sz w:val="32"/>
          <w:szCs w:val="32"/>
        </w:rPr>
        <w:t>，完成年初预算的100%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eastAsia="仿宋_GB2312"/>
          <w:b w:val="0"/>
          <w:bCs w:val="0"/>
          <w:color w:val="auto"/>
          <w:sz w:val="32"/>
          <w:szCs w:val="32"/>
        </w:rPr>
        <w:t>。</w:t>
      </w:r>
    </w:p>
    <w:p w14:paraId="0A0E2EDA">
      <w:pPr>
        <w:pStyle w:val="6"/>
        <w:keepNext w:val="0"/>
        <w:keepLines w:val="0"/>
        <w:pageBreakBefore w:val="0"/>
        <w:numPr>
          <w:ilvl w:val="0"/>
          <w:numId w:val="0"/>
        </w:numPr>
        <w:kinsoku/>
        <w:wordWrap/>
        <w:overflowPunct/>
        <w:topLinePunct w:val="0"/>
        <w:autoSpaceDE/>
        <w:autoSpaceDN/>
        <w:bidi w:val="0"/>
        <w:adjustRightInd/>
        <w:snapToGrid/>
        <w:spacing w:line="560" w:lineRule="atLeast"/>
        <w:ind w:firstLine="640" w:firstLineChars="200"/>
        <w:textAlignment w:val="auto"/>
        <w:rPr>
          <w:rFonts w:hint="eastAsia" w:ascii="仿宋_GB2312" w:eastAsia="仿宋_GB2312"/>
          <w:b w:val="0"/>
          <w:bCs w:val="0"/>
          <w:color w:val="auto"/>
          <w:sz w:val="32"/>
          <w:szCs w:val="32"/>
          <w:lang w:val="en-US" w:eastAsia="zh-CN"/>
        </w:rPr>
      </w:pPr>
      <w:r>
        <w:rPr>
          <w:rFonts w:hint="eastAsia" w:ascii="仿宋_GB2312" w:hAnsi="宋体" w:eastAsia="仿宋_GB2312"/>
          <w:sz w:val="32"/>
          <w:szCs w:val="32"/>
          <w:lang w:val="en-US" w:eastAsia="zh-CN"/>
        </w:rPr>
        <w:t>6.</w:t>
      </w:r>
      <w:r>
        <w:rPr>
          <w:rFonts w:hint="eastAsia" w:ascii="仿宋_GB2312" w:eastAsia="仿宋_GB2312"/>
          <w:b w:val="0"/>
          <w:bCs w:val="0"/>
          <w:color w:val="auto"/>
          <w:sz w:val="32"/>
          <w:szCs w:val="32"/>
          <w:lang w:val="en-US" w:eastAsia="zh-CN"/>
        </w:rPr>
        <w:t>灾害防治及应急管理支出2.71万元，具体包括：</w:t>
      </w:r>
    </w:p>
    <w:p w14:paraId="7C867EED">
      <w:pPr>
        <w:pStyle w:val="6"/>
        <w:keepNext w:val="0"/>
        <w:keepLines w:val="0"/>
        <w:pageBreakBefore w:val="0"/>
        <w:kinsoku/>
        <w:wordWrap/>
        <w:overflowPunct/>
        <w:topLinePunct w:val="0"/>
        <w:autoSpaceDE/>
        <w:autoSpaceDN/>
        <w:bidi w:val="0"/>
        <w:adjustRightInd/>
        <w:snapToGrid/>
        <w:spacing w:line="560" w:lineRule="atLeast"/>
        <w:ind w:firstLine="640" w:firstLineChars="200"/>
        <w:textAlignment w:val="auto"/>
        <w:rPr>
          <w:rFonts w:hint="default" w:ascii="仿宋_GB2312" w:hAnsi="宋体" w:eastAsia="仿宋_GB2312"/>
          <w:sz w:val="32"/>
          <w:szCs w:val="32"/>
          <w:lang w:val="en-US" w:eastAsia="zh-CN"/>
        </w:rPr>
      </w:pPr>
      <w:r>
        <w:rPr>
          <w:rFonts w:hint="eastAsia" w:ascii="仿宋_GB2312" w:eastAsia="仿宋_GB2312"/>
          <w:sz w:val="32"/>
          <w:szCs w:val="32"/>
          <w:lang w:eastAsia="zh-CN"/>
        </w:rPr>
        <w:t>用于灾害防治及应急管理相关事务支出</w:t>
      </w:r>
      <w:r>
        <w:rPr>
          <w:rFonts w:hint="eastAsia" w:ascii="仿宋_GB2312" w:eastAsia="仿宋_GB2312"/>
          <w:sz w:val="32"/>
          <w:szCs w:val="32"/>
          <w:lang w:val="en-US" w:eastAsia="zh-CN"/>
        </w:rPr>
        <w:t>2.71万元，</w:t>
      </w:r>
      <w:r>
        <w:rPr>
          <w:rFonts w:hint="eastAsia" w:ascii="仿宋_GB2312" w:eastAsia="仿宋_GB2312"/>
          <w:b w:val="0"/>
          <w:bCs w:val="0"/>
          <w:color w:val="auto"/>
          <w:sz w:val="32"/>
          <w:szCs w:val="32"/>
        </w:rPr>
        <w:t>完成年初预算的100%</w:t>
      </w:r>
      <w:r>
        <w:rPr>
          <w:rFonts w:hint="eastAsia" w:ascii="仿宋_GB2312" w:eastAsia="仿宋_GB2312"/>
          <w:sz w:val="32"/>
          <w:szCs w:val="32"/>
          <w:lang w:val="en-US" w:eastAsia="zh-CN"/>
        </w:rPr>
        <w:t>，决算数等于年初预算数的原因是完全按照预算执行</w:t>
      </w:r>
      <w:r>
        <w:rPr>
          <w:rFonts w:hint="eastAsia" w:ascii="仿宋_GB2312" w:eastAsia="仿宋_GB2312"/>
          <w:b w:val="0"/>
          <w:bCs w:val="0"/>
          <w:color w:val="auto"/>
          <w:sz w:val="32"/>
          <w:szCs w:val="32"/>
        </w:rPr>
        <w:t>。</w:t>
      </w:r>
    </w:p>
    <w:p w14:paraId="49FA1AB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outlineLvl w:val="2"/>
        <w:rPr>
          <w:rFonts w:hint="eastAsia" w:ascii="黑体" w:hAnsi="黑体" w:eastAsia="黑体" w:cs="黑体"/>
          <w:b/>
          <w:color w:val="FF0000"/>
          <w:sz w:val="32"/>
          <w:szCs w:val="32"/>
          <w:lang w:val="en-US" w:eastAsia="zh-CN"/>
        </w:rPr>
      </w:pPr>
      <w:r>
        <w:rPr>
          <w:rFonts w:ascii="楷体_GB2312" w:hAnsi="宋体" w:eastAsia="楷体_GB2312"/>
          <w:b/>
          <w:sz w:val="32"/>
          <w:szCs w:val="32"/>
        </w:rPr>
        <w:t>（三）政府性基金预算财政拨款支出情况。</w:t>
      </w:r>
    </w:p>
    <w:p w14:paraId="1B17CD07">
      <w:pPr>
        <w:spacing w:line="560" w:lineRule="exact"/>
        <w:ind w:firstLine="660"/>
        <w:rPr>
          <w:rFonts w:hint="default" w:ascii="仿宋_GB2312" w:hAnsi="宋体" w:eastAsia="仿宋_GB2312"/>
          <w:sz w:val="32"/>
          <w:szCs w:val="32"/>
        </w:rPr>
      </w:pPr>
      <w:r>
        <w:rPr>
          <w:rFonts w:hint="eastAsia" w:ascii="仿宋_GB2312" w:hAnsi="宋体" w:eastAsia="仿宋_GB2312"/>
          <w:sz w:val="32"/>
          <w:szCs w:val="32"/>
          <w:lang w:val="en-US" w:eastAsia="zh-CN"/>
        </w:rPr>
        <w:t>本年未发生此项资金。</w:t>
      </w:r>
    </w:p>
    <w:p w14:paraId="27660BBB">
      <w:pPr>
        <w:numPr>
          <w:ilvl w:val="0"/>
          <w:numId w:val="0"/>
        </w:numPr>
        <w:spacing w:line="560" w:lineRule="exact"/>
        <w:ind w:left="660" w:leftChars="0"/>
        <w:rPr>
          <w:rFonts w:ascii="楷体_GB2312" w:hAnsi="宋体" w:eastAsia="楷体_GB2312"/>
          <w:b/>
          <w:sz w:val="32"/>
          <w:szCs w:val="32"/>
        </w:rPr>
      </w:pPr>
      <w:r>
        <w:rPr>
          <w:rFonts w:hint="eastAsia" w:ascii="楷体_GB2312" w:hAnsi="宋体" w:eastAsia="楷体_GB2312"/>
          <w:b/>
          <w:sz w:val="32"/>
          <w:szCs w:val="32"/>
          <w:lang w:eastAsia="zh-CN"/>
        </w:rPr>
        <w:t>（</w:t>
      </w:r>
      <w:r>
        <w:rPr>
          <w:rFonts w:hint="eastAsia" w:ascii="楷体_GB2312" w:hAnsi="宋体" w:eastAsia="楷体_GB2312"/>
          <w:b/>
          <w:sz w:val="32"/>
          <w:szCs w:val="32"/>
          <w:lang w:val="en-US" w:eastAsia="zh-CN"/>
        </w:rPr>
        <w:t>四</w:t>
      </w:r>
      <w:r>
        <w:rPr>
          <w:rFonts w:hint="eastAsia" w:ascii="楷体_GB2312" w:hAnsi="宋体" w:eastAsia="楷体_GB2312"/>
          <w:b/>
          <w:sz w:val="32"/>
          <w:szCs w:val="32"/>
          <w:lang w:eastAsia="zh-CN"/>
        </w:rPr>
        <w:t>）</w:t>
      </w:r>
      <w:r>
        <w:rPr>
          <w:rFonts w:ascii="楷体_GB2312" w:hAnsi="宋体" w:eastAsia="楷体_GB2312"/>
          <w:b/>
          <w:sz w:val="32"/>
          <w:szCs w:val="32"/>
        </w:rPr>
        <w:t>国有资本经营预算财政拨款支出情况。</w:t>
      </w:r>
    </w:p>
    <w:p w14:paraId="1C532DB0">
      <w:pPr>
        <w:numPr>
          <w:ilvl w:val="0"/>
          <w:numId w:val="0"/>
        </w:numPr>
        <w:spacing w:line="560" w:lineRule="exact"/>
        <w:ind w:left="660" w:leftChars="0"/>
        <w:rPr>
          <w:rFonts w:hint="default" w:ascii="仿宋_GB2312" w:hAnsi="宋体" w:eastAsia="仿宋_GB2312"/>
          <w:sz w:val="32"/>
          <w:szCs w:val="32"/>
        </w:rPr>
      </w:pPr>
      <w:r>
        <w:rPr>
          <w:rFonts w:hint="eastAsia" w:ascii="仿宋_GB2312" w:hAnsi="宋体" w:eastAsia="仿宋_GB2312"/>
          <w:sz w:val="32"/>
          <w:szCs w:val="32"/>
          <w:lang w:val="en-US" w:eastAsia="zh-CN"/>
        </w:rPr>
        <w:t>本年未发生此项资金。</w:t>
      </w:r>
    </w:p>
    <w:p w14:paraId="01E5DC15">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14:paraId="5CCE1962">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14:paraId="3E25FD49">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年因公出国（境）费比上年减少0万元，下降0%，主要是20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均无出国任务。</w:t>
      </w:r>
    </w:p>
    <w:p w14:paraId="2DE6DF2E">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公务接待费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hint="eastAsia" w:ascii="仿宋_GB2312" w:eastAsia="仿宋_GB2312"/>
          <w:sz w:val="32"/>
          <w:lang w:val="en-US" w:eastAsia="zh-CN"/>
        </w:rPr>
        <w:t>公务招待</w:t>
      </w:r>
      <w:r>
        <w:rPr>
          <w:rFonts w:hint="eastAsia" w:ascii="仿宋_GB2312" w:eastAsia="仿宋_GB2312"/>
          <w:sz w:val="32"/>
        </w:rPr>
        <w:t>。</w:t>
      </w:r>
    </w:p>
    <w:p w14:paraId="09E373C4">
      <w:pPr>
        <w:pStyle w:val="6"/>
        <w:spacing w:line="560" w:lineRule="exact"/>
        <w:ind w:firstLine="640" w:firstLineChars="200"/>
        <w:rPr>
          <w:rFonts w:hint="eastAsia"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公务用车购置及运行费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ascii="仿宋_GB2312" w:eastAsia="仿宋_GB2312"/>
          <w:sz w:val="32"/>
        </w:rPr>
        <w:t>公务用车购置</w:t>
      </w:r>
      <w:r>
        <w:rPr>
          <w:rFonts w:hint="eastAsia" w:ascii="仿宋_GB2312" w:eastAsia="仿宋_GB2312"/>
          <w:sz w:val="32"/>
        </w:rPr>
        <w:t>。</w:t>
      </w:r>
    </w:p>
    <w:p w14:paraId="00DC571B">
      <w:pPr>
        <w:spacing w:line="540" w:lineRule="exact"/>
        <w:ind w:firstLine="645"/>
        <w:rPr>
          <w:rFonts w:hint="eastAsia" w:ascii="仿宋_GB2312" w:eastAsia="仿宋_GB2312"/>
          <w:sz w:val="32"/>
          <w:lang w:eastAsia="zh-CN"/>
        </w:rPr>
      </w:pPr>
      <w:r>
        <w:rPr>
          <w:rFonts w:hint="eastAsia" w:ascii="仿宋_GB2312" w:hAnsi="宋体" w:eastAsia="仿宋_GB2312"/>
          <w:sz w:val="32"/>
          <w:szCs w:val="32"/>
        </w:rPr>
        <w:t>其中：公务用车购置费0万元，当年购置公务用车0辆。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14:paraId="1535EB85">
      <w:pPr>
        <w:pStyle w:val="6"/>
        <w:autoSpaceDN w:val="0"/>
        <w:spacing w:line="560" w:lineRule="exact"/>
        <w:ind w:firstLine="640"/>
        <w:rPr>
          <w:rFonts w:hint="default" w:ascii="仿宋_GB2312" w:eastAsia="仿宋_GB2312"/>
          <w:sz w:val="32"/>
          <w:lang w:val="en-US" w:eastAsia="zh-CN"/>
        </w:rPr>
      </w:pPr>
      <w:r>
        <w:rPr>
          <w:rFonts w:hint="eastAsia" w:ascii="仿宋_GB2312" w:hAnsi="宋体" w:eastAsia="仿宋_GB2312"/>
          <w:sz w:val="32"/>
          <w:szCs w:val="32"/>
        </w:rPr>
        <w:t>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lang w:val="en-US" w:eastAsia="zh-CN"/>
        </w:rPr>
        <w:t>。</w:t>
      </w:r>
    </w:p>
    <w:p w14:paraId="60FE9DD6">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14:paraId="7965E7E4">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79.67</w:t>
      </w:r>
      <w:r>
        <w:rPr>
          <w:rFonts w:ascii="仿宋_GB2312" w:eastAsia="仿宋_GB2312"/>
          <w:sz w:val="32"/>
        </w:rPr>
        <w:t>万元，其中：人员经费</w:t>
      </w:r>
      <w:r>
        <w:rPr>
          <w:rFonts w:hint="eastAsia" w:ascii="仿宋_GB2312" w:eastAsia="仿宋_GB2312"/>
          <w:sz w:val="32"/>
          <w:lang w:val="en-US" w:eastAsia="zh-CN"/>
        </w:rPr>
        <w:t>69.32</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10.35</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14:paraId="10FFE6D5">
      <w:pPr>
        <w:pStyle w:val="6"/>
        <w:spacing w:line="560" w:lineRule="exact"/>
        <w:ind w:firstLine="640"/>
        <w:rPr>
          <w:rFonts w:hint="default" w:ascii="黑体" w:eastAsia="黑体"/>
          <w:sz w:val="32"/>
        </w:rPr>
      </w:pPr>
      <w:r>
        <w:rPr>
          <w:rFonts w:ascii="黑体" w:eastAsia="黑体"/>
          <w:sz w:val="32"/>
        </w:rPr>
        <w:t>五、其他重要事项的情况说明</w:t>
      </w:r>
    </w:p>
    <w:p w14:paraId="1CB61066">
      <w:pPr>
        <w:pStyle w:val="6"/>
        <w:spacing w:line="560" w:lineRule="exact"/>
        <w:ind w:firstLine="640"/>
        <w:rPr>
          <w:rFonts w:ascii="楷体_GB2312" w:eastAsia="楷体_GB2312"/>
          <w:b/>
          <w:sz w:val="32"/>
        </w:rPr>
      </w:pPr>
      <w:r>
        <w:rPr>
          <w:rFonts w:ascii="楷体_GB2312" w:eastAsia="楷体_GB2312"/>
          <w:b/>
          <w:sz w:val="32"/>
        </w:rPr>
        <w:t>（一）机关运行经费支出情况。</w:t>
      </w:r>
    </w:p>
    <w:p w14:paraId="78B59E31">
      <w:pPr>
        <w:spacing w:line="560" w:lineRule="exact"/>
        <w:ind w:firstLine="640" w:firstLineChars="200"/>
        <w:rPr>
          <w:rFonts w:hint="default" w:ascii="仿宋_GB2312" w:eastAsia="仿宋_GB2312"/>
          <w:sz w:val="32"/>
        </w:rPr>
      </w:pPr>
      <w:r>
        <w:rPr>
          <w:rFonts w:ascii="仿宋_GB2312" w:eastAsia="仿宋_GB2312"/>
          <w:sz w:val="32"/>
        </w:rPr>
        <w:t>2021年度机关运行经费支出</w:t>
      </w:r>
      <w:r>
        <w:rPr>
          <w:rFonts w:hint="eastAsia" w:ascii="仿宋_GB2312" w:eastAsia="仿宋_GB2312"/>
          <w:sz w:val="32"/>
          <w:lang w:val="en-US" w:eastAsia="zh-CN"/>
        </w:rPr>
        <w:t>10.35</w:t>
      </w:r>
      <w:r>
        <w:rPr>
          <w:rFonts w:ascii="仿宋_GB2312" w:eastAsia="仿宋_GB2312"/>
          <w:sz w:val="32"/>
        </w:rPr>
        <w:t>万元，比上年决算数减少</w:t>
      </w:r>
      <w:r>
        <w:rPr>
          <w:rFonts w:hint="eastAsia" w:ascii="仿宋_GB2312" w:eastAsia="仿宋_GB2312"/>
          <w:sz w:val="32"/>
          <w:lang w:val="en-US" w:eastAsia="zh-CN"/>
        </w:rPr>
        <w:t>4.53</w:t>
      </w:r>
      <w:r>
        <w:rPr>
          <w:rFonts w:ascii="仿宋_GB2312" w:eastAsia="仿宋_GB2312"/>
          <w:sz w:val="32"/>
        </w:rPr>
        <w:t>万元，降低</w:t>
      </w:r>
      <w:r>
        <w:rPr>
          <w:rFonts w:hint="eastAsia" w:ascii="仿宋_GB2312" w:eastAsia="仿宋_GB2312"/>
          <w:sz w:val="32"/>
          <w:lang w:val="en-US" w:eastAsia="zh-CN"/>
        </w:rPr>
        <w:t>30.4</w:t>
      </w:r>
      <w:r>
        <w:rPr>
          <w:rFonts w:ascii="仿宋_GB2312" w:eastAsia="仿宋_GB2312"/>
          <w:sz w:val="32"/>
        </w:rPr>
        <w:t>%，</w:t>
      </w:r>
      <w:r>
        <w:rPr>
          <w:rFonts w:hint="eastAsia" w:ascii="仿宋_GB2312" w:hAnsi="黑体" w:eastAsia="仿宋_GB2312"/>
          <w:sz w:val="32"/>
          <w:szCs w:val="32"/>
        </w:rPr>
        <w:t>主要原因</w:t>
      </w:r>
      <w:r>
        <w:rPr>
          <w:rFonts w:hint="eastAsia" w:ascii="仿宋_GB2312" w:hAnsi="黑体" w:eastAsia="仿宋_GB2312"/>
          <w:sz w:val="32"/>
          <w:szCs w:val="32"/>
          <w:lang w:eastAsia="zh-CN"/>
        </w:rPr>
        <w:t>未进行大件办公用品更换及购置，在日常办公中节约办公用品使用，减少经费开支。</w:t>
      </w:r>
    </w:p>
    <w:p w14:paraId="6F7069AC">
      <w:pPr>
        <w:pStyle w:val="6"/>
        <w:spacing w:line="560" w:lineRule="exact"/>
        <w:ind w:firstLine="640"/>
        <w:rPr>
          <w:rFonts w:ascii="楷体_GB2312" w:eastAsia="楷体_GB2312"/>
          <w:b/>
          <w:sz w:val="32"/>
        </w:rPr>
      </w:pPr>
      <w:r>
        <w:rPr>
          <w:rFonts w:ascii="楷体_GB2312" w:eastAsia="楷体_GB2312"/>
          <w:b/>
          <w:sz w:val="32"/>
        </w:rPr>
        <w:t>（二）政府采购支出情况。</w:t>
      </w:r>
    </w:p>
    <w:p w14:paraId="5B750921">
      <w:pPr>
        <w:pStyle w:val="6"/>
        <w:spacing w:line="560" w:lineRule="exact"/>
        <w:ind w:firstLine="64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14:paraId="664BC99A">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14:paraId="17305513">
      <w:pPr>
        <w:pStyle w:val="6"/>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w:t>
      </w:r>
      <w:r>
        <w:rPr>
          <w:rFonts w:hint="eastAsia" w:ascii="仿宋_GB2312" w:eastAsia="仿宋_GB2312"/>
          <w:sz w:val="32"/>
          <w:lang w:eastAsia="zh-CN"/>
        </w:rPr>
        <w:t>；</w:t>
      </w:r>
      <w:r>
        <w:rPr>
          <w:rFonts w:ascii="仿宋_GB2312" w:eastAsia="仿宋_GB2312"/>
          <w:sz w:val="32"/>
        </w:rPr>
        <w:t>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14:paraId="35AD1962">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14:paraId="7B44A2C8">
      <w:pPr>
        <w:pStyle w:val="6"/>
        <w:spacing w:line="560" w:lineRule="atLeast"/>
        <w:ind w:firstLine="645"/>
        <w:rPr>
          <w:rFonts w:hint="eastAsia" w:ascii="仿宋_GB2312" w:eastAsia="仿宋_GB2312"/>
          <w:color w:val="auto"/>
          <w:sz w:val="32"/>
          <w:szCs w:val="32"/>
          <w:lang w:eastAsia="zh-CN"/>
        </w:rPr>
      </w:pPr>
      <w:r>
        <w:rPr>
          <w:rFonts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21</w:t>
      </w:r>
      <w:r>
        <w:rPr>
          <w:rFonts w:ascii="仿宋_GB2312" w:hAnsi="仿宋_GB2312" w:eastAsia="仿宋_GB2312" w:cs="仿宋_GB2312"/>
          <w:color w:val="auto"/>
          <w:sz w:val="32"/>
          <w:szCs w:val="32"/>
        </w:rPr>
        <w:t>年</w:t>
      </w:r>
      <w:r>
        <w:rPr>
          <w:rFonts w:hint="eastAsia" w:ascii="仿宋_GB2312" w:hAnsi="黑体" w:eastAsia="仿宋_GB2312"/>
          <w:color w:val="auto"/>
          <w:sz w:val="32"/>
          <w:lang w:val="en-US" w:eastAsia="zh-CN"/>
        </w:rPr>
        <w:t>我单位</w:t>
      </w:r>
      <w:r>
        <w:rPr>
          <w:rFonts w:hint="eastAsia" w:ascii="仿宋_GB2312" w:hAnsi="仿宋_GB2312" w:eastAsia="仿宋_GB2312" w:cs="仿宋_GB2312"/>
          <w:color w:val="auto"/>
          <w:sz w:val="32"/>
          <w:szCs w:val="32"/>
        </w:rPr>
        <w:t>不涉及民生项目和重点支出项目</w:t>
      </w:r>
      <w:r>
        <w:rPr>
          <w:rFonts w:hint="eastAsia" w:ascii="仿宋_GB2312" w:hAnsi="仿宋_GB2312" w:eastAsia="仿宋_GB2312" w:cs="仿宋_GB2312"/>
          <w:color w:val="auto"/>
          <w:sz w:val="32"/>
          <w:szCs w:val="32"/>
          <w:lang w:eastAsia="zh-CN"/>
        </w:rPr>
        <w:t>，</w:t>
      </w:r>
      <w:r>
        <w:rPr>
          <w:rFonts w:hint="eastAsia" w:ascii="仿宋_GB2312" w:eastAsia="仿宋_GB2312"/>
          <w:b w:val="0"/>
          <w:bCs/>
          <w:color w:val="000000"/>
          <w:sz w:val="32"/>
          <w:szCs w:val="32"/>
          <w:lang w:eastAsia="zh-CN"/>
        </w:rPr>
        <w:t>因此本单位无绩效自评及部门评价。</w:t>
      </w:r>
    </w:p>
    <w:p w14:paraId="7E12391A">
      <w:pPr>
        <w:pStyle w:val="6"/>
        <w:spacing w:line="560" w:lineRule="exact"/>
        <w:rPr>
          <w:rFonts w:hint="default"/>
          <w:b/>
          <w:sz w:val="36"/>
        </w:rPr>
      </w:pPr>
    </w:p>
    <w:p w14:paraId="5B27C945">
      <w:pPr>
        <w:pStyle w:val="9"/>
        <w:autoSpaceDN w:val="0"/>
        <w:spacing w:line="560" w:lineRule="exact"/>
        <w:jc w:val="center"/>
        <w:rPr>
          <w:b/>
          <w:bCs/>
          <w:sz w:val="36"/>
          <w:szCs w:val="36"/>
        </w:rPr>
      </w:pPr>
      <w:r>
        <w:rPr>
          <w:rFonts w:hint="eastAsia"/>
          <w:b/>
          <w:bCs/>
          <w:sz w:val="36"/>
          <w:szCs w:val="36"/>
        </w:rPr>
        <w:t>第三部分 名词解释</w:t>
      </w:r>
    </w:p>
    <w:p w14:paraId="3C498782">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14:paraId="483F12ED">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14:paraId="672FB661">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14:paraId="0D7B0C61">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14:paraId="6A10C98D">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14:paraId="025362FF">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14:paraId="0DC288E5">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14:paraId="256C57DC">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14:paraId="20212F27">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14:paraId="2A6D113A">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14:paraId="37CD3774">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14:paraId="02FD5E40">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14:paraId="059B937D">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14:paraId="5243D586">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14:paraId="0A6FE814">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5C433A3">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14:paraId="0B57CA57">
      <w:pPr>
        <w:pStyle w:val="6"/>
        <w:spacing w:line="560" w:lineRule="exact"/>
        <w:ind w:firstLine="640"/>
        <w:rPr>
          <w:rFonts w:hint="default" w:ascii="仿宋_GB2312" w:eastAsia="仿宋_GB2312"/>
          <w:i/>
          <w:sz w:val="32"/>
          <w:u w:val="single"/>
        </w:rPr>
      </w:pPr>
    </w:p>
    <w:p w14:paraId="61A364EB">
      <w:pPr>
        <w:pStyle w:val="6"/>
        <w:spacing w:line="560" w:lineRule="exact"/>
        <w:ind w:firstLine="640"/>
        <w:rPr>
          <w:rFonts w:hint="default" w:ascii="仿宋_GB2312" w:eastAsia="仿宋_GB2312"/>
          <w:i/>
          <w:sz w:val="32"/>
          <w:u w:val="single"/>
        </w:rPr>
      </w:pPr>
    </w:p>
    <w:p w14:paraId="153B9AF4">
      <w:pPr>
        <w:pStyle w:val="6"/>
        <w:spacing w:line="560" w:lineRule="exact"/>
        <w:ind w:firstLine="640"/>
        <w:rPr>
          <w:rFonts w:hint="default" w:ascii="仿宋_GB2312" w:eastAsia="仿宋_GB2312"/>
          <w:i/>
          <w:sz w:val="32"/>
          <w:u w:val="single"/>
        </w:rPr>
      </w:pPr>
    </w:p>
    <w:p w14:paraId="34AB3783">
      <w:pPr>
        <w:pStyle w:val="6"/>
        <w:spacing w:line="560" w:lineRule="exact"/>
        <w:ind w:firstLine="640"/>
        <w:rPr>
          <w:rFonts w:hint="default" w:ascii="仿宋_GB2312" w:eastAsia="仿宋_GB2312"/>
          <w:i/>
          <w:sz w:val="32"/>
          <w:u w:val="single"/>
        </w:rPr>
      </w:pPr>
    </w:p>
    <w:p w14:paraId="2D70ABCB">
      <w:pPr>
        <w:pStyle w:val="6"/>
        <w:spacing w:line="560" w:lineRule="atLeast"/>
        <w:jc w:val="left"/>
        <w:rPr>
          <w:rFonts w:hint="default" w:ascii="仿宋_GB2312" w:hAnsi="仿宋_GB2312" w:eastAsia="仿宋_GB2312" w:cs="仿宋_GB2312"/>
          <w:b/>
          <w:sz w:val="52"/>
          <w:szCs w:val="52"/>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2C78FFCB">
      <w:pPr>
        <w:pStyle w:val="6"/>
        <w:spacing w:line="560" w:lineRule="atLeast"/>
        <w:jc w:val="left"/>
        <w:rPr>
          <w:rFonts w:hint="default" w:ascii="仿宋_GB2312" w:hAnsi="仿宋_GB2312" w:eastAsia="仿宋_GB2312" w:cs="仿宋_GB2312"/>
          <w:b/>
          <w:sz w:val="52"/>
          <w:szCs w:val="52"/>
        </w:rPr>
      </w:pPr>
    </w:p>
    <w:p w14:paraId="5A58A2E1">
      <w:pPr>
        <w:pStyle w:val="6"/>
        <w:spacing w:line="560" w:lineRule="atLeast"/>
        <w:jc w:val="left"/>
        <w:rPr>
          <w:rFonts w:hint="default" w:ascii="仿宋_GB2312" w:hAnsi="仿宋_GB2312" w:eastAsia="仿宋_GB2312" w:cs="仿宋_GB2312"/>
          <w:b/>
          <w:sz w:val="52"/>
          <w:szCs w:val="52"/>
        </w:rPr>
      </w:pPr>
    </w:p>
    <w:p w14:paraId="0AB39BF9">
      <w:pPr>
        <w:pStyle w:val="6"/>
        <w:spacing w:line="560" w:lineRule="atLeast"/>
        <w:jc w:val="center"/>
        <w:rPr>
          <w:rFonts w:ascii="仿宋_GB2312" w:hAnsi="仿宋_GB2312" w:eastAsia="仿宋_GB2312" w:cs="仿宋_GB2312"/>
          <w:b/>
          <w:sz w:val="52"/>
          <w:szCs w:val="52"/>
        </w:rPr>
      </w:pPr>
    </w:p>
    <w:p w14:paraId="15338B79">
      <w:pPr>
        <w:pStyle w:val="6"/>
        <w:spacing w:line="560" w:lineRule="atLeast"/>
        <w:jc w:val="center"/>
        <w:rPr>
          <w:rFonts w:ascii="仿宋_GB2312" w:hAnsi="仿宋_GB2312" w:eastAsia="仿宋_GB2312" w:cs="仿宋_GB2312"/>
          <w:b/>
          <w:sz w:val="52"/>
          <w:szCs w:val="52"/>
        </w:rPr>
      </w:pPr>
    </w:p>
    <w:p w14:paraId="0D53A5AF">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团区委</w:t>
      </w:r>
      <w:r>
        <w:rPr>
          <w:rFonts w:ascii="仿宋_GB2312" w:hAnsi="仿宋_GB2312" w:eastAsia="仿宋_GB2312" w:cs="仿宋_GB2312"/>
          <w:b/>
          <w:sz w:val="52"/>
          <w:szCs w:val="52"/>
        </w:rPr>
        <w:t>2021年度决算表</w:t>
      </w:r>
    </w:p>
    <w:p w14:paraId="111388A5">
      <w:pPr>
        <w:rPr>
          <w:rFonts w:hint="default" w:ascii="仿宋_GB2312" w:hAnsi="宋体" w:eastAsia="仿宋_GB2312"/>
          <w:kern w:val="0"/>
          <w:sz w:val="32"/>
        </w:rPr>
      </w:pPr>
    </w:p>
    <w:p w14:paraId="1A31EB4C">
      <w:pPr>
        <w:rPr>
          <w:rFonts w:hint="default" w:ascii="仿宋_GB2312" w:hAnsi="宋体" w:eastAsia="仿宋_GB2312"/>
          <w:kern w:val="0"/>
          <w:sz w:val="32"/>
        </w:rPr>
      </w:pPr>
    </w:p>
    <w:p w14:paraId="176E21ED">
      <w:pPr>
        <w:rPr>
          <w:rFonts w:hint="default" w:ascii="仿宋_GB2312" w:hAnsi="宋体" w:eastAsia="仿宋_GB2312"/>
          <w:kern w:val="0"/>
          <w:sz w:val="32"/>
        </w:rPr>
      </w:pPr>
    </w:p>
    <w:p w14:paraId="2A31D2A8">
      <w:pPr>
        <w:rPr>
          <w:rFonts w:hint="default" w:ascii="仿宋_GB2312" w:hAnsi="宋体" w:eastAsia="仿宋_GB2312"/>
          <w:kern w:val="0"/>
          <w:sz w:val="32"/>
        </w:rPr>
      </w:pPr>
    </w:p>
    <w:p w14:paraId="093973C6">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A6577">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F4650">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7D4694"/>
    <w:multiLevelType w:val="singleLevel"/>
    <w:tmpl w:val="E67D4694"/>
    <w:lvl w:ilvl="0" w:tentative="0">
      <w:start w:val="2"/>
      <w:numFmt w:val="chineseCounting"/>
      <w:suff w:val="nothing"/>
      <w:lvlText w:val="%1、"/>
      <w:lvlJc w:val="left"/>
      <w:rPr>
        <w:rFonts w:hint="eastAsia"/>
      </w:rPr>
    </w:lvl>
  </w:abstractNum>
  <w:abstractNum w:abstractNumId="1">
    <w:nsid w:val="3FC9C1A9"/>
    <w:multiLevelType w:val="singleLevel"/>
    <w:tmpl w:val="3FC9C1A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1C635C29"/>
    <w:rsid w:val="00060165"/>
    <w:rsid w:val="000B596F"/>
    <w:rsid w:val="00100607"/>
    <w:rsid w:val="001D0B4A"/>
    <w:rsid w:val="00320394"/>
    <w:rsid w:val="00342E31"/>
    <w:rsid w:val="003758AE"/>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3B4270C"/>
    <w:rsid w:val="09C4782E"/>
    <w:rsid w:val="09F77F16"/>
    <w:rsid w:val="0B48754E"/>
    <w:rsid w:val="0ECB7368"/>
    <w:rsid w:val="11612EA5"/>
    <w:rsid w:val="14B6558C"/>
    <w:rsid w:val="1C635C29"/>
    <w:rsid w:val="26697AB3"/>
    <w:rsid w:val="2E4F6256"/>
    <w:rsid w:val="34F00DCE"/>
    <w:rsid w:val="36230505"/>
    <w:rsid w:val="36D60CD0"/>
    <w:rsid w:val="46736E4C"/>
    <w:rsid w:val="475F4C21"/>
    <w:rsid w:val="50511D83"/>
    <w:rsid w:val="54F6469B"/>
    <w:rsid w:val="575B1794"/>
    <w:rsid w:val="5A9752D5"/>
    <w:rsid w:val="5B697371"/>
    <w:rsid w:val="66693310"/>
    <w:rsid w:val="673C6F2C"/>
    <w:rsid w:val="67C76F6F"/>
    <w:rsid w:val="724179B2"/>
    <w:rsid w:val="765B0F2A"/>
    <w:rsid w:val="765C73CE"/>
    <w:rsid w:val="7B8E203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autoRedefine/>
    <w:qFormat/>
    <w:uiPriority w:val="0"/>
    <w:pPr>
      <w:widowControl/>
    </w:pPr>
    <w:rPr>
      <w:rFonts w:ascii="宋体" w:hAnsi="宋体"/>
    </w:rPr>
  </w:style>
  <w:style w:type="character" w:customStyle="1" w:styleId="7">
    <w:name w:val="页眉 Char"/>
    <w:basedOn w:val="5"/>
    <w:link w:val="3"/>
    <w:autoRedefine/>
    <w:qFormat/>
    <w:uiPriority w:val="0"/>
    <w:rPr>
      <w:rFonts w:ascii="Times New Roman" w:hAnsi="Times New Roman" w:eastAsia="宋体"/>
      <w:kern w:val="2"/>
      <w:sz w:val="18"/>
      <w:szCs w:val="18"/>
    </w:rPr>
  </w:style>
  <w:style w:type="character" w:customStyle="1" w:styleId="8">
    <w:name w:val="页脚 Char"/>
    <w:basedOn w:val="5"/>
    <w:link w:val="2"/>
    <w:autoRedefine/>
    <w:qFormat/>
    <w:uiPriority w:val="0"/>
    <w:rPr>
      <w:rFonts w:ascii="Times New Roman" w:hAnsi="Times New Roman" w:eastAsia="宋体"/>
      <w:kern w:val="2"/>
      <w:sz w:val="18"/>
      <w:szCs w:val="18"/>
    </w:rPr>
  </w:style>
  <w:style w:type="paragraph" w:customStyle="1" w:styleId="9">
    <w:name w:val="p15"/>
    <w:basedOn w:val="1"/>
    <w:autoRedefine/>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4277</Words>
  <Characters>4662</Characters>
  <Lines>37</Lines>
  <Paragraphs>10</Paragraphs>
  <TotalTime>1</TotalTime>
  <ScaleCrop>false</ScaleCrop>
  <LinksUpToDate>false</LinksUpToDate>
  <CharactersWithSpaces>4693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杨洋</cp:lastModifiedBy>
  <cp:lastPrinted>2022-09-19T10:34:00Z</cp:lastPrinted>
  <dcterms:modified xsi:type="dcterms:W3CDTF">2025-06-16T01:55:11Z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86BCB883CBA6439A8E0309725707FFAB</vt:lpwstr>
  </property>
  <property fmtid="{D5CDD505-2E9C-101B-9397-08002B2CF9AE}" pid="4" name="KSOTemplateDocerSaveRecord">
    <vt:lpwstr>eyJoZGlkIjoiNzZiZTQ3ZmI1OTFmODUzNzgwMGRlNDBmMWZiZDQzMjEiLCJ1c2VySWQiOiIyMzQ0MjI2NjQifQ==</vt:lpwstr>
  </property>
</Properties>
</file>