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1ADDA">
      <w:pPr>
        <w:pStyle w:val="6"/>
        <w:rPr>
          <w:rFonts w:hint="default" w:ascii="黑体" w:eastAsia="黑体"/>
          <w:sz w:val="32"/>
        </w:rPr>
      </w:pPr>
      <w:r>
        <w:rPr>
          <w:rFonts w:ascii="黑体" w:eastAsia="黑体"/>
          <w:sz w:val="32"/>
        </w:rPr>
        <w:t>附件2</w:t>
      </w:r>
    </w:p>
    <w:p w14:paraId="256341D5">
      <w:pPr>
        <w:pStyle w:val="6"/>
        <w:rPr>
          <w:rFonts w:hint="default"/>
          <w:b/>
          <w:sz w:val="44"/>
        </w:rPr>
      </w:pPr>
    </w:p>
    <w:p w14:paraId="4544D363">
      <w:pPr>
        <w:pStyle w:val="6"/>
        <w:rPr>
          <w:rFonts w:hint="default"/>
          <w:b/>
          <w:sz w:val="44"/>
        </w:rPr>
      </w:pPr>
    </w:p>
    <w:p w14:paraId="51A22930">
      <w:pPr>
        <w:pStyle w:val="6"/>
        <w:rPr>
          <w:rFonts w:hint="default"/>
          <w:b/>
          <w:sz w:val="44"/>
        </w:rPr>
      </w:pPr>
    </w:p>
    <w:p w14:paraId="2CACA488">
      <w:pPr>
        <w:pStyle w:val="6"/>
        <w:rPr>
          <w:rFonts w:hint="default"/>
          <w:b/>
          <w:sz w:val="44"/>
        </w:rPr>
      </w:pPr>
    </w:p>
    <w:p w14:paraId="558EAF7A">
      <w:pPr>
        <w:pStyle w:val="6"/>
        <w:rPr>
          <w:rFonts w:hint="default"/>
          <w:b/>
          <w:sz w:val="44"/>
        </w:rPr>
      </w:pPr>
    </w:p>
    <w:p w14:paraId="705139AD">
      <w:pPr>
        <w:pStyle w:val="6"/>
        <w:rPr>
          <w:rFonts w:hint="default"/>
          <w:b/>
          <w:sz w:val="44"/>
        </w:rPr>
      </w:pPr>
    </w:p>
    <w:p w14:paraId="470F4178">
      <w:pPr>
        <w:spacing w:line="540" w:lineRule="exact"/>
        <w:jc w:val="center"/>
        <w:rPr>
          <w:rFonts w:hint="default" w:ascii="宋体" w:hAnsi="宋体"/>
          <w:b/>
          <w:color w:val="FF0000"/>
          <w:sz w:val="52"/>
          <w:szCs w:val="52"/>
        </w:rPr>
      </w:pPr>
      <w:r>
        <w:rPr>
          <w:rFonts w:ascii="宋体" w:hAnsi="宋体"/>
          <w:b/>
          <w:sz w:val="52"/>
          <w:szCs w:val="52"/>
        </w:rPr>
        <w:t>沈阳市浑南区高坎中心小学2021年度决算说明</w:t>
      </w:r>
    </w:p>
    <w:p w14:paraId="24B79862">
      <w:pPr>
        <w:pStyle w:val="6"/>
        <w:jc w:val="center"/>
        <w:rPr>
          <w:rFonts w:hint="default" w:ascii="仿宋_GB2312" w:eastAsia="仿宋_GB2312"/>
          <w:b/>
          <w:sz w:val="52"/>
        </w:rPr>
      </w:pPr>
    </w:p>
    <w:p w14:paraId="6D037D51">
      <w:pPr>
        <w:pStyle w:val="6"/>
        <w:jc w:val="center"/>
        <w:rPr>
          <w:rFonts w:hint="default" w:ascii="仿宋_GB2312" w:eastAsia="仿宋_GB2312"/>
          <w:b/>
          <w:sz w:val="52"/>
        </w:rPr>
      </w:pPr>
    </w:p>
    <w:p w14:paraId="12AD554B">
      <w:pPr>
        <w:pStyle w:val="6"/>
        <w:jc w:val="center"/>
        <w:rPr>
          <w:rFonts w:hint="default" w:ascii="Times New Roman" w:eastAsia="Times New Roman"/>
          <w:b/>
          <w:sz w:val="44"/>
          <w:u w:val="single"/>
        </w:rPr>
      </w:pPr>
    </w:p>
    <w:p w14:paraId="64862652">
      <w:pPr>
        <w:pStyle w:val="6"/>
        <w:jc w:val="center"/>
        <w:rPr>
          <w:rFonts w:hint="default" w:ascii="Times New Roman" w:eastAsia="Times New Roman"/>
          <w:b/>
          <w:sz w:val="44"/>
          <w:u w:val="single"/>
        </w:rPr>
      </w:pPr>
    </w:p>
    <w:p w14:paraId="7808CDF8">
      <w:pPr>
        <w:pStyle w:val="6"/>
        <w:jc w:val="center"/>
        <w:rPr>
          <w:rFonts w:hint="default" w:ascii="Times New Roman" w:eastAsia="Times New Roman"/>
          <w:b/>
          <w:sz w:val="44"/>
          <w:u w:val="single"/>
        </w:rPr>
      </w:pPr>
    </w:p>
    <w:p w14:paraId="7EE8FA53">
      <w:pPr>
        <w:pStyle w:val="6"/>
        <w:jc w:val="center"/>
        <w:rPr>
          <w:rFonts w:hint="default" w:ascii="Times New Roman" w:eastAsia="Times New Roman"/>
          <w:b/>
          <w:sz w:val="44"/>
          <w:u w:val="single"/>
        </w:rPr>
      </w:pPr>
    </w:p>
    <w:p w14:paraId="5A930D69">
      <w:pPr>
        <w:pStyle w:val="6"/>
        <w:jc w:val="center"/>
        <w:rPr>
          <w:rFonts w:hint="default" w:ascii="Times New Roman" w:eastAsia="Times New Roman"/>
          <w:b/>
          <w:sz w:val="44"/>
          <w:u w:val="single"/>
        </w:rPr>
      </w:pPr>
    </w:p>
    <w:p w14:paraId="38EEF08B">
      <w:pPr>
        <w:pStyle w:val="6"/>
        <w:jc w:val="center"/>
        <w:rPr>
          <w:rFonts w:hint="default" w:ascii="Times New Roman" w:eastAsia="Times New Roman"/>
          <w:b/>
          <w:sz w:val="44"/>
          <w:u w:val="single"/>
        </w:rPr>
      </w:pPr>
    </w:p>
    <w:p w14:paraId="452FD943">
      <w:pPr>
        <w:pStyle w:val="6"/>
        <w:jc w:val="center"/>
        <w:rPr>
          <w:rFonts w:hint="default" w:ascii="Times New Roman" w:eastAsia="Times New Roman"/>
          <w:b/>
          <w:sz w:val="44"/>
          <w:u w:val="single"/>
        </w:rPr>
      </w:pPr>
    </w:p>
    <w:p w14:paraId="7CFAE3FD">
      <w:pPr>
        <w:pStyle w:val="6"/>
        <w:jc w:val="center"/>
        <w:rPr>
          <w:rFonts w:hint="default" w:ascii="Times New Roman" w:eastAsia="Times New Roman"/>
          <w:b/>
          <w:sz w:val="44"/>
          <w:u w:val="single"/>
        </w:rPr>
      </w:pPr>
    </w:p>
    <w:p w14:paraId="14C675EE">
      <w:pPr>
        <w:pStyle w:val="6"/>
        <w:jc w:val="center"/>
        <w:rPr>
          <w:rFonts w:hint="default" w:ascii="Times New Roman" w:eastAsia="Times New Roman"/>
          <w:b/>
          <w:sz w:val="44"/>
          <w:u w:val="single"/>
        </w:rPr>
      </w:pPr>
    </w:p>
    <w:p w14:paraId="3D159DD7">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4580259D">
      <w:pPr>
        <w:pStyle w:val="6"/>
        <w:spacing w:line="560" w:lineRule="exact"/>
        <w:rPr>
          <w:rFonts w:hint="default" w:ascii="Times New Roman" w:eastAsia="Times New Roman"/>
          <w:b/>
          <w:sz w:val="44"/>
          <w:u w:val="single"/>
        </w:rPr>
      </w:pPr>
    </w:p>
    <w:p w14:paraId="44769DE7">
      <w:pPr>
        <w:pStyle w:val="6"/>
        <w:spacing w:line="560" w:lineRule="exact"/>
        <w:rPr>
          <w:rFonts w:hint="default" w:ascii="黑体" w:eastAsia="黑体"/>
          <w:sz w:val="32"/>
        </w:rPr>
      </w:pPr>
      <w:r>
        <w:rPr>
          <w:rFonts w:ascii="黑体" w:eastAsia="黑体"/>
          <w:sz w:val="32"/>
        </w:rPr>
        <w:t>第一部分    沈阳市浑南区高坎中心小学概况</w:t>
      </w:r>
    </w:p>
    <w:p w14:paraId="77EBAA70">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6CDFCDC1">
      <w:pPr>
        <w:pStyle w:val="6"/>
        <w:spacing w:line="560" w:lineRule="exact"/>
        <w:rPr>
          <w:rFonts w:hint="default" w:ascii="仿宋_GB2312" w:eastAsia="仿宋_GB2312"/>
          <w:sz w:val="32"/>
        </w:rPr>
      </w:pPr>
      <w:r>
        <w:rPr>
          <w:rFonts w:ascii="仿宋_GB2312" w:eastAsia="仿宋_GB2312"/>
          <w:sz w:val="32"/>
        </w:rPr>
        <w:t>二、决算单位构成</w:t>
      </w:r>
    </w:p>
    <w:p w14:paraId="3E014FF9">
      <w:pPr>
        <w:pStyle w:val="6"/>
        <w:spacing w:line="560" w:lineRule="exact"/>
        <w:rPr>
          <w:rFonts w:hint="default" w:ascii="黑体" w:eastAsia="黑体"/>
          <w:sz w:val="32"/>
        </w:rPr>
      </w:pPr>
      <w:r>
        <w:rPr>
          <w:rFonts w:ascii="黑体" w:eastAsia="黑体"/>
          <w:sz w:val="32"/>
        </w:rPr>
        <w:t xml:space="preserve">第二部分    </w:t>
      </w:r>
      <w:r>
        <w:rPr>
          <w:rFonts w:ascii="黑体" w:hAnsi="黑体" w:eastAsia="黑体"/>
          <w:sz w:val="32"/>
          <w:szCs w:val="32"/>
        </w:rPr>
        <w:t>沈阳市浑南区高坎中心小学</w:t>
      </w:r>
      <w:r>
        <w:rPr>
          <w:rFonts w:ascii="黑体" w:eastAsia="黑体"/>
          <w:sz w:val="32"/>
        </w:rPr>
        <w:t>2021年决算情况说明</w:t>
      </w:r>
    </w:p>
    <w:p w14:paraId="094AA954">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2E6387D5">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62901366">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37E32F84">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642B18A8">
      <w:pPr>
        <w:pStyle w:val="6"/>
        <w:spacing w:line="560" w:lineRule="exact"/>
        <w:rPr>
          <w:rFonts w:hint="default" w:ascii="黑体" w:eastAsia="黑体"/>
          <w:sz w:val="32"/>
        </w:rPr>
      </w:pPr>
      <w:r>
        <w:rPr>
          <w:rFonts w:ascii="仿宋_GB2312" w:eastAsia="仿宋_GB2312"/>
          <w:sz w:val="32"/>
        </w:rPr>
        <w:t>五、其他重要事项的情况说明</w:t>
      </w:r>
    </w:p>
    <w:p w14:paraId="45BD131C">
      <w:pPr>
        <w:pStyle w:val="6"/>
        <w:spacing w:line="560" w:lineRule="exact"/>
        <w:rPr>
          <w:rFonts w:hint="default" w:ascii="黑体" w:eastAsia="黑体"/>
          <w:sz w:val="32"/>
        </w:rPr>
      </w:pPr>
      <w:r>
        <w:rPr>
          <w:rFonts w:ascii="黑体" w:eastAsia="黑体"/>
          <w:sz w:val="32"/>
        </w:rPr>
        <w:t>第三部分    名词解释</w:t>
      </w:r>
    </w:p>
    <w:p w14:paraId="784A98F7">
      <w:pPr>
        <w:pStyle w:val="6"/>
        <w:spacing w:line="560" w:lineRule="exact"/>
        <w:rPr>
          <w:rFonts w:hint="default" w:ascii="黑体" w:eastAsia="黑体"/>
          <w:sz w:val="32"/>
        </w:rPr>
      </w:pPr>
      <w:r>
        <w:rPr>
          <w:rFonts w:ascii="黑体" w:eastAsia="黑体"/>
          <w:sz w:val="32"/>
        </w:rPr>
        <w:t xml:space="preserve">第四部分    </w:t>
      </w:r>
      <w:r>
        <w:rPr>
          <w:rFonts w:ascii="黑体" w:hAnsi="黑体" w:eastAsia="黑体"/>
          <w:sz w:val="32"/>
          <w:szCs w:val="32"/>
        </w:rPr>
        <w:t>沈阳市浑南区高坎中心小学</w:t>
      </w:r>
      <w:r>
        <w:rPr>
          <w:rFonts w:ascii="黑体" w:eastAsia="黑体"/>
          <w:sz w:val="32"/>
        </w:rPr>
        <w:t>2021年决算报表</w:t>
      </w:r>
    </w:p>
    <w:p w14:paraId="6880F825">
      <w:pPr>
        <w:pStyle w:val="6"/>
        <w:spacing w:line="560" w:lineRule="exact"/>
        <w:rPr>
          <w:rFonts w:hint="default" w:ascii="仿宋_GB2312" w:eastAsia="仿宋_GB2312"/>
          <w:sz w:val="32"/>
        </w:rPr>
      </w:pPr>
      <w:r>
        <w:rPr>
          <w:rFonts w:ascii="仿宋_GB2312" w:eastAsia="仿宋_GB2312"/>
          <w:sz w:val="32"/>
        </w:rPr>
        <w:t>一、2021年度收入支出决算总表</w:t>
      </w:r>
    </w:p>
    <w:p w14:paraId="26E3770E">
      <w:pPr>
        <w:pStyle w:val="6"/>
        <w:spacing w:line="560" w:lineRule="exact"/>
        <w:rPr>
          <w:rFonts w:hint="default" w:ascii="仿宋_GB2312" w:eastAsia="仿宋_GB2312"/>
          <w:sz w:val="32"/>
        </w:rPr>
      </w:pPr>
      <w:r>
        <w:rPr>
          <w:rFonts w:ascii="仿宋_GB2312" w:eastAsia="仿宋_GB2312"/>
          <w:sz w:val="32"/>
        </w:rPr>
        <w:t>二、2021年度收入决算表</w:t>
      </w:r>
    </w:p>
    <w:p w14:paraId="23B5AEE1">
      <w:pPr>
        <w:pStyle w:val="6"/>
        <w:spacing w:line="560" w:lineRule="exact"/>
        <w:rPr>
          <w:rFonts w:hint="default" w:ascii="仿宋_GB2312" w:eastAsia="仿宋_GB2312"/>
          <w:sz w:val="32"/>
        </w:rPr>
      </w:pPr>
      <w:r>
        <w:rPr>
          <w:rFonts w:ascii="仿宋_GB2312" w:eastAsia="仿宋_GB2312"/>
          <w:sz w:val="32"/>
        </w:rPr>
        <w:t>三、2021年度支出决算表</w:t>
      </w:r>
    </w:p>
    <w:p w14:paraId="68829C45">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45A877BF">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127271EE">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3A0BCE37">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3A586952">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79F25E51">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2BFADDD1">
      <w:pPr>
        <w:pStyle w:val="6"/>
        <w:spacing w:line="560" w:lineRule="exact"/>
        <w:jc w:val="center"/>
        <w:rPr>
          <w:rFonts w:hint="default"/>
          <w:b/>
          <w:sz w:val="36"/>
        </w:rPr>
      </w:pPr>
    </w:p>
    <w:p w14:paraId="2B3264B4">
      <w:pPr>
        <w:pStyle w:val="6"/>
        <w:spacing w:line="560" w:lineRule="exact"/>
        <w:jc w:val="center"/>
        <w:rPr>
          <w:rFonts w:hint="default"/>
          <w:b/>
          <w:sz w:val="36"/>
        </w:rPr>
      </w:pPr>
      <w:r>
        <w:rPr>
          <w:b/>
          <w:sz w:val="36"/>
        </w:rPr>
        <w:t xml:space="preserve">第一部分 </w:t>
      </w:r>
      <w:r>
        <w:rPr>
          <w:rFonts w:ascii="黑体" w:hAnsi="黑体" w:eastAsia="黑体"/>
          <w:sz w:val="32"/>
          <w:szCs w:val="32"/>
        </w:rPr>
        <w:t>沈阳市浑</w:t>
      </w:r>
      <w:r>
        <w:rPr>
          <w:rFonts w:hint="eastAsia" w:ascii="黑体" w:hAnsi="黑体" w:eastAsia="黑体" w:cs="黑体"/>
          <w:sz w:val="32"/>
          <w:szCs w:val="32"/>
        </w:rPr>
        <w:t>南区高坎中心小学</w:t>
      </w:r>
      <w:r>
        <w:rPr>
          <w:rFonts w:hint="eastAsia" w:ascii="黑体" w:hAnsi="黑体" w:eastAsia="黑体" w:cs="黑体"/>
          <w:b/>
          <w:sz w:val="32"/>
          <w:szCs w:val="32"/>
        </w:rPr>
        <w:t>概况</w:t>
      </w:r>
    </w:p>
    <w:p w14:paraId="7BED22A0">
      <w:pPr>
        <w:pStyle w:val="6"/>
        <w:spacing w:line="560" w:lineRule="exact"/>
        <w:ind w:firstLine="640"/>
        <w:rPr>
          <w:rFonts w:hint="default" w:ascii="黑体" w:eastAsia="黑体"/>
          <w:sz w:val="32"/>
        </w:rPr>
      </w:pPr>
    </w:p>
    <w:p w14:paraId="7B0429C1">
      <w:pPr>
        <w:pStyle w:val="6"/>
        <w:spacing w:line="560" w:lineRule="exact"/>
        <w:ind w:firstLine="640"/>
        <w:rPr>
          <w:rFonts w:hint="default" w:ascii="黑体" w:eastAsia="黑体"/>
          <w:sz w:val="32"/>
        </w:rPr>
      </w:pPr>
      <w:r>
        <w:rPr>
          <w:rFonts w:ascii="黑体" w:eastAsia="黑体"/>
          <w:sz w:val="32"/>
        </w:rPr>
        <w:t>一、主要职责</w:t>
      </w:r>
    </w:p>
    <w:p w14:paraId="1C05D4BC">
      <w:pPr>
        <w:pStyle w:val="6"/>
        <w:spacing w:line="560" w:lineRule="exact"/>
        <w:ind w:firstLine="640"/>
        <w:rPr>
          <w:rFonts w:hint="default" w:ascii="仿宋_GB2312" w:eastAsia="仿宋_GB2312"/>
          <w:sz w:val="32"/>
        </w:rPr>
      </w:pPr>
      <w:r>
        <w:rPr>
          <w:rFonts w:ascii="仿宋_GB2312" w:eastAsia="仿宋_GB2312"/>
          <w:sz w:val="32"/>
        </w:rPr>
        <w:t>（一）组织教育教学，科学研究活动，保证教育教学质量。维护职工利益，保障教职工合法权益，以教职工和学生的人生幸福和生命质量作为重点。</w:t>
      </w:r>
    </w:p>
    <w:p w14:paraId="4638CBEE">
      <w:pPr>
        <w:pStyle w:val="6"/>
        <w:spacing w:line="560" w:lineRule="exact"/>
        <w:ind w:firstLine="640"/>
        <w:rPr>
          <w:rFonts w:hint="default" w:ascii="仿宋_GB2312" w:eastAsia="仿宋_GB2312"/>
          <w:sz w:val="32"/>
        </w:rPr>
      </w:pPr>
      <w:r>
        <w:rPr>
          <w:rFonts w:ascii="仿宋_GB2312" w:eastAsia="仿宋_GB2312"/>
          <w:sz w:val="32"/>
        </w:rPr>
        <w:t>（二）制定学校发展规划，并抓好组织实施和落实情况。</w:t>
      </w:r>
    </w:p>
    <w:p w14:paraId="018E0900">
      <w:pPr>
        <w:pStyle w:val="6"/>
        <w:spacing w:line="560" w:lineRule="exact"/>
        <w:ind w:firstLine="640"/>
        <w:rPr>
          <w:rFonts w:hint="default" w:ascii="仿宋_GB2312" w:eastAsia="仿宋_GB2312"/>
          <w:sz w:val="32"/>
        </w:rPr>
      </w:pPr>
      <w:r>
        <w:rPr>
          <w:rFonts w:ascii="仿宋_GB2312" w:eastAsia="仿宋_GB2312"/>
          <w:sz w:val="32"/>
        </w:rPr>
        <w:t>（三）科学管理、合理使用学校的设施和经费，并积极筹措办学资金，改善办学条件。</w:t>
      </w:r>
    </w:p>
    <w:p w14:paraId="6209C7D7">
      <w:pPr>
        <w:pStyle w:val="6"/>
        <w:spacing w:line="560" w:lineRule="exact"/>
        <w:ind w:firstLine="640"/>
        <w:rPr>
          <w:rFonts w:hint="default" w:ascii="仿宋_GB2312" w:eastAsia="仿宋_GB2312"/>
          <w:sz w:val="32"/>
        </w:rPr>
      </w:pPr>
      <w:r>
        <w:rPr>
          <w:rFonts w:ascii="仿宋_GB2312" w:eastAsia="仿宋_GB2312"/>
          <w:sz w:val="32"/>
        </w:rPr>
        <w:t>（四）依法接受各级教育行政部门的检查指导和人民群众的监督。</w:t>
      </w:r>
    </w:p>
    <w:p w14:paraId="7A2CFE30">
      <w:pPr>
        <w:pStyle w:val="6"/>
        <w:spacing w:line="560" w:lineRule="exact"/>
        <w:ind w:firstLine="640"/>
        <w:rPr>
          <w:rFonts w:hint="default" w:ascii="黑体" w:eastAsia="黑体"/>
          <w:sz w:val="32"/>
        </w:rPr>
      </w:pPr>
      <w:r>
        <w:rPr>
          <w:rFonts w:ascii="黑体" w:eastAsia="黑体"/>
          <w:sz w:val="32"/>
        </w:rPr>
        <w:t>二、决算单位构成</w:t>
      </w:r>
    </w:p>
    <w:p w14:paraId="2A48E7EF">
      <w:pPr>
        <w:pStyle w:val="6"/>
        <w:spacing w:line="560" w:lineRule="exact"/>
        <w:ind w:firstLine="960" w:firstLineChars="300"/>
        <w:rPr>
          <w:rFonts w:hint="default" w:ascii="仿宋_GB2312" w:hAnsi="仿宋_GB2312" w:eastAsia="仿宋_GB2312" w:cs="仿宋_GB2312"/>
          <w:bCs/>
          <w:sz w:val="32"/>
          <w:szCs w:val="32"/>
        </w:rPr>
      </w:pPr>
      <w:r>
        <w:rPr>
          <w:rFonts w:ascii="仿宋_GB2312" w:hAnsi="仿宋_GB2312" w:eastAsia="仿宋_GB2312" w:cs="仿宋_GB2312"/>
          <w:bCs/>
          <w:sz w:val="32"/>
          <w:szCs w:val="32"/>
        </w:rPr>
        <w:t>沈阳市浑南区高坎中心小学2021年决算编制范围的二级预算单位。</w:t>
      </w:r>
    </w:p>
    <w:p w14:paraId="109E0EE1">
      <w:pPr>
        <w:spacing w:line="560" w:lineRule="exact"/>
        <w:ind w:left="840"/>
        <w:rPr>
          <w:rFonts w:hint="default" w:ascii="仿宋_GB2312" w:eastAsia="仿宋_GB2312"/>
          <w:bCs/>
          <w:sz w:val="32"/>
        </w:rPr>
      </w:pPr>
      <w:r>
        <w:rPr>
          <w:rFonts w:ascii="仿宋_GB2312" w:eastAsia="仿宋_GB2312"/>
          <w:bCs/>
          <w:sz w:val="32"/>
        </w:rPr>
        <w:t>本单位无下设机构。</w:t>
      </w:r>
    </w:p>
    <w:p w14:paraId="5125A86D">
      <w:pPr>
        <w:pStyle w:val="6"/>
        <w:spacing w:line="560" w:lineRule="exact"/>
        <w:rPr>
          <w:rFonts w:hint="default"/>
          <w:b/>
          <w:sz w:val="36"/>
        </w:rPr>
      </w:pPr>
    </w:p>
    <w:p w14:paraId="55541F1C">
      <w:pPr>
        <w:pStyle w:val="6"/>
        <w:spacing w:line="560" w:lineRule="exact"/>
        <w:jc w:val="center"/>
        <w:rPr>
          <w:rFonts w:hint="default"/>
          <w:b/>
          <w:sz w:val="36"/>
        </w:rPr>
      </w:pPr>
    </w:p>
    <w:p w14:paraId="72E14A2B">
      <w:pPr>
        <w:spacing w:line="560" w:lineRule="exact"/>
        <w:ind w:left="840" w:firstLine="1084" w:firstLineChars="300"/>
        <w:rPr>
          <w:rFonts w:hint="default"/>
          <w:b/>
          <w:sz w:val="36"/>
        </w:rPr>
      </w:pPr>
      <w:r>
        <w:rPr>
          <w:b/>
          <w:sz w:val="36"/>
        </w:rPr>
        <w:t>第二部分 2021年决算情况说明</w:t>
      </w:r>
    </w:p>
    <w:p w14:paraId="59AD6B31">
      <w:pPr>
        <w:pStyle w:val="6"/>
        <w:spacing w:line="560" w:lineRule="exact"/>
        <w:ind w:firstLine="640" w:firstLineChars="200"/>
        <w:rPr>
          <w:rFonts w:hint="default" w:ascii="黑体" w:eastAsia="黑体"/>
          <w:sz w:val="32"/>
        </w:rPr>
      </w:pPr>
    </w:p>
    <w:p w14:paraId="36E32F62">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14:paraId="42B2AADD">
      <w:pPr>
        <w:spacing w:line="540" w:lineRule="exact"/>
        <w:ind w:firstLine="630" w:firstLineChars="196"/>
        <w:rPr>
          <w:rFonts w:hint="default" w:ascii="楷体_GB2312" w:eastAsia="楷体_GB2312"/>
          <w:b/>
          <w:sz w:val="32"/>
        </w:rPr>
      </w:pPr>
      <w:r>
        <w:rPr>
          <w:rFonts w:ascii="楷体_GB2312" w:eastAsia="楷体_GB2312"/>
          <w:b/>
          <w:sz w:val="32"/>
        </w:rPr>
        <w:t>（一）收入总计1234.64万元，包括：</w:t>
      </w:r>
    </w:p>
    <w:p w14:paraId="61552978">
      <w:pPr>
        <w:pStyle w:val="6"/>
        <w:spacing w:line="560" w:lineRule="exact"/>
        <w:ind w:firstLine="660"/>
        <w:rPr>
          <w:rFonts w:hint="default" w:ascii="仿宋_GB2312" w:eastAsia="仿宋_GB2312"/>
          <w:sz w:val="32"/>
        </w:rPr>
      </w:pPr>
      <w:r>
        <w:rPr>
          <w:rFonts w:ascii="仿宋_GB2312" w:eastAsia="仿宋_GB2312"/>
          <w:sz w:val="32"/>
        </w:rPr>
        <w:t>1.财政拨款收入1052.24万元，占收入总计的85.23%。其中：一般公共预算财政拨款收入1052.24万元，政府性基金收入0万元，国有资本经营预算财政拨款收入0万元。</w:t>
      </w:r>
    </w:p>
    <w:p w14:paraId="04941AED">
      <w:pPr>
        <w:pStyle w:val="6"/>
        <w:spacing w:line="560" w:lineRule="exact"/>
        <w:ind w:firstLine="660"/>
        <w:rPr>
          <w:rFonts w:hint="default" w:ascii="仿宋_GB2312" w:eastAsia="仿宋_GB2312"/>
          <w:sz w:val="32"/>
        </w:rPr>
      </w:pPr>
      <w:r>
        <w:rPr>
          <w:rFonts w:ascii="仿宋_GB2312" w:eastAsia="仿宋_GB2312"/>
          <w:sz w:val="32"/>
        </w:rPr>
        <w:t>2.上级补助收入0万元，占收入总计的0%。</w:t>
      </w:r>
    </w:p>
    <w:p w14:paraId="35AA8CA0">
      <w:pPr>
        <w:pStyle w:val="6"/>
        <w:spacing w:line="560" w:lineRule="exact"/>
        <w:ind w:firstLine="660"/>
        <w:rPr>
          <w:rFonts w:hint="default" w:ascii="仿宋_GB2312" w:eastAsia="仿宋_GB2312"/>
          <w:sz w:val="32"/>
        </w:rPr>
      </w:pPr>
      <w:r>
        <w:rPr>
          <w:rFonts w:ascii="仿宋_GB2312" w:eastAsia="仿宋_GB2312"/>
          <w:sz w:val="32"/>
        </w:rPr>
        <w:t>3.事业收入25万元，占收入总计的2.02%。主要是</w:t>
      </w:r>
      <w:r>
        <w:rPr>
          <w:rFonts w:ascii="仿宋_GB2312" w:eastAsia="仿宋_GB2312"/>
          <w:sz w:val="32"/>
          <w:szCs w:val="32"/>
        </w:rPr>
        <w:t>幼儿园保教费</w:t>
      </w:r>
      <w:r>
        <w:rPr>
          <w:rFonts w:ascii="仿宋_GB2312" w:eastAsia="仿宋_GB2312"/>
          <w:sz w:val="32"/>
        </w:rPr>
        <w:t>等收入。</w:t>
      </w:r>
    </w:p>
    <w:p w14:paraId="60F5B84F">
      <w:pPr>
        <w:pStyle w:val="6"/>
        <w:spacing w:line="560" w:lineRule="exact"/>
        <w:ind w:firstLine="660"/>
        <w:rPr>
          <w:rFonts w:hint="default" w:ascii="仿宋_GB2312" w:eastAsia="仿宋_GB2312"/>
          <w:sz w:val="32"/>
        </w:rPr>
      </w:pPr>
      <w:r>
        <w:rPr>
          <w:rFonts w:ascii="仿宋_GB2312" w:eastAsia="仿宋_GB2312"/>
          <w:sz w:val="32"/>
        </w:rPr>
        <w:t>4.经营收入0万元，占收入总计的0%。</w:t>
      </w:r>
    </w:p>
    <w:p w14:paraId="0DD7EFC6">
      <w:pPr>
        <w:pStyle w:val="6"/>
        <w:spacing w:line="560" w:lineRule="exact"/>
        <w:ind w:firstLine="660"/>
        <w:rPr>
          <w:rFonts w:hint="default" w:ascii="仿宋_GB2312" w:eastAsia="仿宋_GB2312"/>
          <w:sz w:val="32"/>
        </w:rPr>
      </w:pPr>
      <w:r>
        <w:rPr>
          <w:rFonts w:ascii="仿宋_GB2312" w:eastAsia="仿宋_GB2312"/>
          <w:sz w:val="32"/>
        </w:rPr>
        <w:t>5.附属单位上缴收入0万元，占收入总计的0%。</w:t>
      </w:r>
    </w:p>
    <w:p w14:paraId="11F4E53F">
      <w:pPr>
        <w:pStyle w:val="6"/>
        <w:spacing w:line="560" w:lineRule="exact"/>
        <w:ind w:firstLine="660"/>
        <w:rPr>
          <w:rFonts w:hint="default" w:ascii="仿宋_GB2312" w:eastAsia="仿宋_GB2312"/>
          <w:sz w:val="32"/>
        </w:rPr>
      </w:pPr>
      <w:r>
        <w:rPr>
          <w:rFonts w:ascii="仿宋_GB2312" w:eastAsia="仿宋_GB2312"/>
          <w:sz w:val="32"/>
        </w:rPr>
        <w:t>6.其他收入44.96万元，占收入总计的3.64%。主要是绩效工资等收入。</w:t>
      </w:r>
    </w:p>
    <w:p w14:paraId="462FEFEF">
      <w:pPr>
        <w:pStyle w:val="6"/>
        <w:spacing w:line="560" w:lineRule="exact"/>
        <w:ind w:firstLine="660"/>
        <w:rPr>
          <w:rFonts w:hint="default" w:ascii="仿宋_GB2312" w:eastAsia="仿宋_GB2312"/>
          <w:sz w:val="32"/>
        </w:rPr>
      </w:pPr>
      <w:r>
        <w:rPr>
          <w:rFonts w:ascii="仿宋_GB2312" w:eastAsia="仿宋_GB2312"/>
          <w:sz w:val="32"/>
        </w:rPr>
        <w:t>7.使用非财政拨款结余0万元，占收入总计的0%。</w:t>
      </w:r>
    </w:p>
    <w:p w14:paraId="4A3986C9">
      <w:pPr>
        <w:spacing w:line="540" w:lineRule="exact"/>
        <w:ind w:firstLine="660"/>
        <w:rPr>
          <w:rFonts w:hint="default" w:ascii="仿宋_GB2312" w:eastAsia="仿宋_GB2312"/>
          <w:sz w:val="32"/>
        </w:rPr>
      </w:pPr>
      <w:r>
        <w:rPr>
          <w:rFonts w:ascii="仿宋_GB2312" w:eastAsia="仿宋_GB2312"/>
          <w:sz w:val="32"/>
        </w:rPr>
        <w:t>8.上年结转和结余112.44万元，占收入总计的9.11%。</w:t>
      </w:r>
      <w:r>
        <w:rPr>
          <w:rFonts w:ascii="仿宋_GB2312" w:hAnsi="宋体" w:eastAsia="仿宋_GB2312"/>
          <w:color w:val="000000"/>
          <w:sz w:val="32"/>
          <w:szCs w:val="32"/>
        </w:rPr>
        <w:t>主要是教育局归集调入11-12月办公费</w:t>
      </w:r>
      <w:r>
        <w:rPr>
          <w:rFonts w:ascii="仿宋_GB2312" w:eastAsia="仿宋_GB2312"/>
          <w:sz w:val="32"/>
        </w:rPr>
        <w:t>、结构性缺编退财政、以前年度生育津贴退财政、教育局归集调入市转移支付资金、弹性离校、市转移支付普惠性课后服务费11-12月办公经费。</w:t>
      </w:r>
    </w:p>
    <w:p w14:paraId="402A7B18">
      <w:pPr>
        <w:pStyle w:val="6"/>
        <w:spacing w:line="560" w:lineRule="exact"/>
        <w:ind w:firstLine="660"/>
        <w:rPr>
          <w:rFonts w:hint="default" w:ascii="仿宋_GB2312" w:eastAsia="仿宋_GB2312"/>
          <w:sz w:val="32"/>
        </w:rPr>
      </w:pPr>
      <w:r>
        <w:rPr>
          <w:rFonts w:ascii="仿宋_GB2312" w:eastAsia="仿宋_GB2312"/>
          <w:sz w:val="32"/>
        </w:rPr>
        <w:t>与上年相比，今年收入增加58.05万元，增长4.93%，主要原因：</w:t>
      </w:r>
      <w:r>
        <w:rPr>
          <w:rFonts w:ascii="黑体" w:eastAsia="黑体"/>
          <w:sz w:val="32"/>
        </w:rPr>
        <w:t>一是个性化服务收入</w:t>
      </w:r>
      <w:r>
        <w:rPr>
          <w:rFonts w:ascii="仿宋_GB2312" w:eastAsia="仿宋_GB2312"/>
          <w:sz w:val="32"/>
        </w:rPr>
        <w:t>；</w:t>
      </w:r>
      <w:r>
        <w:rPr>
          <w:rFonts w:ascii="黑体" w:eastAsia="黑体"/>
          <w:sz w:val="32"/>
        </w:rPr>
        <w:t>二是专项资金增加</w:t>
      </w:r>
      <w:r>
        <w:rPr>
          <w:rFonts w:ascii="仿宋_GB2312" w:eastAsia="仿宋_GB2312"/>
          <w:sz w:val="32"/>
        </w:rPr>
        <w:t>。</w:t>
      </w:r>
    </w:p>
    <w:p w14:paraId="06728CFC">
      <w:pPr>
        <w:pStyle w:val="6"/>
        <w:numPr>
          <w:ilvl w:val="0"/>
          <w:numId w:val="1"/>
        </w:numPr>
        <w:spacing w:line="560" w:lineRule="exact"/>
        <w:ind w:firstLine="660"/>
        <w:rPr>
          <w:rFonts w:hint="default" w:ascii="楷体_GB2312" w:eastAsia="楷体_GB2312"/>
          <w:b/>
          <w:sz w:val="32"/>
        </w:rPr>
      </w:pPr>
      <w:r>
        <w:rPr>
          <w:rFonts w:ascii="楷体_GB2312" w:eastAsia="楷体_GB2312"/>
          <w:b/>
          <w:sz w:val="32"/>
        </w:rPr>
        <w:t>支出总计1233.18万元，包括：</w:t>
      </w:r>
    </w:p>
    <w:p w14:paraId="55CC3278">
      <w:pPr>
        <w:pStyle w:val="6"/>
        <w:spacing w:line="560" w:lineRule="exact"/>
        <w:ind w:firstLine="640" w:firstLineChars="200"/>
        <w:rPr>
          <w:rFonts w:hint="default" w:ascii="黑体" w:hAnsi="黑体" w:eastAsia="黑体" w:cs="黑体"/>
          <w:b/>
          <w:bCs/>
          <w:color w:val="FF0000"/>
          <w:sz w:val="32"/>
          <w:szCs w:val="32"/>
        </w:rPr>
      </w:pPr>
      <w:r>
        <w:rPr>
          <w:rFonts w:ascii="仿宋_GB2312" w:eastAsia="仿宋_GB2312"/>
          <w:sz w:val="32"/>
        </w:rPr>
        <w:t>1.基本支出942.23万元，占支出总计的76.41%。主要是为保障机构正常运转、完成日常工作任务而发生的各项支出，其中：工资福利支出</w:t>
      </w:r>
      <w:r>
        <w:rPr>
          <w:rFonts w:hint="default" w:ascii="仿宋_GB2312" w:eastAsia="仿宋_GB2312"/>
          <w:sz w:val="32"/>
        </w:rPr>
        <w:t>754.38</w:t>
      </w:r>
      <w:r>
        <w:rPr>
          <w:rFonts w:ascii="仿宋_GB2312" w:eastAsia="仿宋_GB2312"/>
          <w:sz w:val="32"/>
        </w:rPr>
        <w:t>万元，对个人和家庭的补助支出</w:t>
      </w:r>
      <w:r>
        <w:rPr>
          <w:rFonts w:hint="default" w:ascii="仿宋_GB2312" w:eastAsia="仿宋_GB2312"/>
          <w:sz w:val="32"/>
        </w:rPr>
        <w:t>61.3</w:t>
      </w:r>
      <w:r>
        <w:rPr>
          <w:rFonts w:ascii="仿宋_GB2312" w:eastAsia="仿宋_GB2312"/>
          <w:sz w:val="32"/>
        </w:rPr>
        <w:t>8万元，商品和服务支出</w:t>
      </w:r>
      <w:r>
        <w:rPr>
          <w:rFonts w:hint="default" w:ascii="仿宋_GB2312" w:eastAsia="仿宋_GB2312"/>
          <w:sz w:val="32"/>
        </w:rPr>
        <w:t>122.01</w:t>
      </w:r>
      <w:r>
        <w:rPr>
          <w:rFonts w:ascii="仿宋_GB2312" w:eastAsia="仿宋_GB2312"/>
          <w:sz w:val="32"/>
        </w:rPr>
        <w:t>万元，资本性支出</w:t>
      </w:r>
      <w:r>
        <w:rPr>
          <w:rFonts w:hint="default" w:ascii="仿宋_GB2312" w:eastAsia="仿宋_GB2312"/>
          <w:sz w:val="32"/>
        </w:rPr>
        <w:t>4.4</w:t>
      </w:r>
      <w:r>
        <w:rPr>
          <w:rFonts w:ascii="仿宋_GB2312" w:eastAsia="仿宋_GB2312"/>
          <w:sz w:val="32"/>
        </w:rPr>
        <w:t>6万元。</w:t>
      </w:r>
    </w:p>
    <w:p w14:paraId="7CAB2C3C">
      <w:pPr>
        <w:pStyle w:val="6"/>
        <w:spacing w:line="560" w:lineRule="exact"/>
        <w:ind w:firstLine="660"/>
        <w:rPr>
          <w:rFonts w:hint="default" w:ascii="仿宋_GB2312" w:eastAsia="仿宋_GB2312"/>
          <w:sz w:val="32"/>
        </w:rPr>
      </w:pPr>
      <w:r>
        <w:rPr>
          <w:rFonts w:ascii="仿宋_GB2312" w:eastAsia="仿宋_GB2312"/>
          <w:sz w:val="32"/>
        </w:rPr>
        <w:t>2.项目支出290.95万元，占支出总计的23.59%。主要包括普惠性课后服务专项资金、中华传统八德进校园、两免一补、办公经费等业务支出。</w:t>
      </w:r>
    </w:p>
    <w:p w14:paraId="5064413A">
      <w:pPr>
        <w:pStyle w:val="6"/>
        <w:spacing w:line="560" w:lineRule="exact"/>
        <w:ind w:firstLine="660"/>
        <w:rPr>
          <w:rFonts w:hint="default" w:ascii="仿宋_GB2312" w:eastAsia="仿宋_GB2312"/>
          <w:sz w:val="32"/>
        </w:rPr>
      </w:pPr>
      <w:r>
        <w:rPr>
          <w:rFonts w:ascii="仿宋_GB2312" w:eastAsia="仿宋_GB2312"/>
          <w:sz w:val="32"/>
        </w:rPr>
        <w:t>3.上缴上级支出0万元，占支出总计的</w:t>
      </w:r>
      <w:r>
        <w:rPr>
          <w:rFonts w:hint="default" w:ascii="仿宋_GB2312" w:eastAsia="仿宋_GB2312"/>
          <w:sz w:val="32"/>
        </w:rPr>
        <w:t>0</w:t>
      </w:r>
      <w:r>
        <w:rPr>
          <w:rFonts w:ascii="仿宋_GB2312" w:eastAsia="仿宋_GB2312"/>
          <w:sz w:val="32"/>
        </w:rPr>
        <w:t>%。</w:t>
      </w:r>
    </w:p>
    <w:p w14:paraId="1ADD94AD">
      <w:pPr>
        <w:pStyle w:val="6"/>
        <w:spacing w:line="560" w:lineRule="exact"/>
        <w:ind w:firstLine="660"/>
        <w:rPr>
          <w:rFonts w:hint="default" w:ascii="仿宋_GB2312" w:eastAsia="仿宋_GB2312"/>
          <w:sz w:val="32"/>
        </w:rPr>
      </w:pPr>
      <w:r>
        <w:rPr>
          <w:rFonts w:ascii="仿宋_GB2312" w:eastAsia="仿宋_GB2312"/>
          <w:sz w:val="32"/>
        </w:rPr>
        <w:t>4.经营支出</w:t>
      </w:r>
      <w:r>
        <w:rPr>
          <w:rFonts w:hint="default" w:ascii="仿宋_GB2312" w:eastAsia="仿宋_GB2312"/>
          <w:sz w:val="32"/>
        </w:rPr>
        <w:t>0</w:t>
      </w:r>
      <w:r>
        <w:rPr>
          <w:rFonts w:ascii="仿宋_GB2312" w:eastAsia="仿宋_GB2312"/>
          <w:sz w:val="32"/>
        </w:rPr>
        <w:t>万元，占支出总计的</w:t>
      </w:r>
      <w:r>
        <w:rPr>
          <w:rFonts w:hint="default" w:ascii="仿宋_GB2312" w:eastAsia="仿宋_GB2312"/>
          <w:sz w:val="32"/>
        </w:rPr>
        <w:t>0</w:t>
      </w:r>
      <w:r>
        <w:rPr>
          <w:rFonts w:ascii="仿宋_GB2312" w:eastAsia="仿宋_GB2312"/>
          <w:sz w:val="32"/>
        </w:rPr>
        <w:t xml:space="preserve">%。 </w:t>
      </w:r>
    </w:p>
    <w:p w14:paraId="6A62C068">
      <w:pPr>
        <w:pStyle w:val="6"/>
        <w:spacing w:line="560" w:lineRule="exact"/>
        <w:ind w:firstLine="660"/>
        <w:rPr>
          <w:rFonts w:hint="default" w:ascii="仿宋_GB2312" w:eastAsia="仿宋_GB2312"/>
          <w:sz w:val="32"/>
        </w:rPr>
      </w:pPr>
      <w:r>
        <w:rPr>
          <w:rFonts w:ascii="仿宋_GB2312" w:eastAsia="仿宋_GB2312"/>
          <w:sz w:val="32"/>
        </w:rPr>
        <w:t>5.对附属单位补助支出</w:t>
      </w:r>
      <w:r>
        <w:rPr>
          <w:rFonts w:hint="default" w:ascii="仿宋_GB2312" w:eastAsia="仿宋_GB2312"/>
          <w:sz w:val="32"/>
        </w:rPr>
        <w:t>0</w:t>
      </w:r>
      <w:r>
        <w:rPr>
          <w:rFonts w:ascii="仿宋_GB2312" w:eastAsia="仿宋_GB2312"/>
          <w:sz w:val="32"/>
        </w:rPr>
        <w:t>万元，占支出总计的</w:t>
      </w:r>
      <w:r>
        <w:rPr>
          <w:rFonts w:hint="default" w:ascii="仿宋_GB2312" w:eastAsia="仿宋_GB2312"/>
          <w:sz w:val="32"/>
        </w:rPr>
        <w:t>0</w:t>
      </w:r>
      <w:r>
        <w:rPr>
          <w:rFonts w:ascii="仿宋_GB2312" w:eastAsia="仿宋_GB2312"/>
          <w:sz w:val="32"/>
        </w:rPr>
        <w:t xml:space="preserve">%。 </w:t>
      </w:r>
    </w:p>
    <w:p w14:paraId="5478C457">
      <w:pPr>
        <w:pStyle w:val="6"/>
        <w:spacing w:line="560" w:lineRule="exact"/>
        <w:ind w:firstLine="660"/>
        <w:rPr>
          <w:rFonts w:hint="default" w:ascii="黑体" w:eastAsia="黑体"/>
          <w:sz w:val="32"/>
        </w:rPr>
      </w:pPr>
      <w:r>
        <w:rPr>
          <w:rFonts w:ascii="仿宋_GB2312" w:eastAsia="仿宋_GB2312"/>
          <w:sz w:val="32"/>
        </w:rPr>
        <w:t>与上年相比，今年支出增加56.59万元，增长4.81%，主要原因：</w:t>
      </w:r>
      <w:r>
        <w:rPr>
          <w:rFonts w:ascii="黑体" w:eastAsia="黑体"/>
          <w:sz w:val="32"/>
        </w:rPr>
        <w:t>一是普惠性课后服务专项资金增加</w:t>
      </w:r>
      <w:r>
        <w:rPr>
          <w:rFonts w:ascii="仿宋_GB2312" w:eastAsia="仿宋_GB2312"/>
          <w:sz w:val="32"/>
        </w:rPr>
        <w:t>；</w:t>
      </w:r>
      <w:r>
        <w:rPr>
          <w:rFonts w:ascii="黑体" w:eastAsia="黑体"/>
          <w:sz w:val="32"/>
        </w:rPr>
        <w:t xml:space="preserve">二是2020年安全生产奖励金的发放等。 </w:t>
      </w:r>
    </w:p>
    <w:p w14:paraId="1CDF95FC">
      <w:pPr>
        <w:pStyle w:val="6"/>
        <w:spacing w:line="560" w:lineRule="exact"/>
        <w:ind w:firstLine="660"/>
        <w:rPr>
          <w:rFonts w:hint="default" w:ascii="楷体_GB2312" w:eastAsia="楷体_GB2312"/>
          <w:b/>
          <w:sz w:val="32"/>
        </w:rPr>
      </w:pPr>
      <w:r>
        <w:rPr>
          <w:rFonts w:ascii="楷体_GB2312" w:eastAsia="楷体_GB2312"/>
          <w:b/>
          <w:sz w:val="32"/>
        </w:rPr>
        <w:t>（三）年末结转和结余1.46万元</w:t>
      </w:r>
    </w:p>
    <w:p w14:paraId="78EE09AB">
      <w:pPr>
        <w:pStyle w:val="6"/>
        <w:spacing w:line="560" w:lineRule="exact"/>
        <w:ind w:firstLine="660"/>
        <w:rPr>
          <w:rFonts w:hint="default" w:ascii="仿宋_GB2312" w:eastAsia="仿宋_GB2312"/>
          <w:sz w:val="32"/>
        </w:rPr>
      </w:pPr>
      <w:r>
        <w:rPr>
          <w:rFonts w:ascii="仿宋_GB2312" w:eastAsia="仿宋_GB2312"/>
          <w:sz w:val="32"/>
        </w:rPr>
        <w:t>主要是专用基金等原因形成的结余。与上年相比，今年结转结余减少1.46万元，降低38.4%，主要原因：</w:t>
      </w:r>
      <w:r>
        <w:rPr>
          <w:rFonts w:ascii="黑体" w:eastAsia="黑体"/>
          <w:sz w:val="32"/>
        </w:rPr>
        <w:t>一是专用基金的减少</w:t>
      </w:r>
      <w:r>
        <w:rPr>
          <w:rFonts w:ascii="仿宋_GB2312" w:eastAsia="仿宋_GB2312"/>
          <w:sz w:val="32"/>
        </w:rPr>
        <w:t>。</w:t>
      </w:r>
      <w:r>
        <w:rPr>
          <w:rFonts w:ascii="黑体" w:hAnsi="黑体" w:eastAsia="黑体" w:cs="黑体"/>
          <w:b/>
          <w:bCs/>
          <w:color w:val="FF0000"/>
          <w:sz w:val="32"/>
          <w:szCs w:val="32"/>
        </w:rPr>
        <w:t xml:space="preserve"> </w:t>
      </w:r>
    </w:p>
    <w:p w14:paraId="7786C7DC">
      <w:pPr>
        <w:pStyle w:val="6"/>
        <w:numPr>
          <w:ilvl w:val="0"/>
          <w:numId w:val="2"/>
        </w:numPr>
        <w:spacing w:line="560" w:lineRule="exact"/>
        <w:ind w:firstLine="660"/>
        <w:rPr>
          <w:rFonts w:hint="default" w:ascii="黑体" w:eastAsia="黑体"/>
          <w:sz w:val="32"/>
        </w:rPr>
      </w:pPr>
      <w:r>
        <w:rPr>
          <w:rFonts w:ascii="黑体" w:eastAsia="黑体"/>
          <w:sz w:val="32"/>
        </w:rPr>
        <w:t>财政拨款收入支出决算情况说明</w:t>
      </w:r>
    </w:p>
    <w:p w14:paraId="2A7D653C">
      <w:pPr>
        <w:pStyle w:val="6"/>
        <w:spacing w:line="560" w:lineRule="exact"/>
        <w:ind w:firstLine="643" w:firstLineChars="200"/>
        <w:rPr>
          <w:rFonts w:hint="default" w:ascii="楷体_GB2312" w:eastAsia="楷体_GB2312"/>
          <w:b/>
          <w:sz w:val="32"/>
        </w:rPr>
      </w:pPr>
      <w:r>
        <w:rPr>
          <w:rFonts w:ascii="楷体_GB2312" w:eastAsia="楷体_GB2312"/>
          <w:b/>
          <w:sz w:val="32"/>
        </w:rPr>
        <w:t>（一）总体情况</w:t>
      </w:r>
    </w:p>
    <w:p w14:paraId="4285C397">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default" w:ascii="仿宋_GB2312" w:eastAsia="仿宋_GB2312"/>
          <w:sz w:val="32"/>
        </w:rPr>
        <w:t>1163.21</w:t>
      </w:r>
      <w:r>
        <w:rPr>
          <w:rFonts w:ascii="仿宋_GB2312" w:eastAsia="仿宋_GB2312"/>
          <w:sz w:val="32"/>
        </w:rPr>
        <w:t>万元，其中：基本支出</w:t>
      </w:r>
      <w:r>
        <w:rPr>
          <w:rFonts w:hint="default" w:ascii="仿宋_GB2312" w:eastAsia="仿宋_GB2312"/>
          <w:sz w:val="32"/>
        </w:rPr>
        <w:t>917.23</w:t>
      </w:r>
      <w:r>
        <w:rPr>
          <w:rFonts w:ascii="仿宋_GB2312" w:eastAsia="仿宋_GB2312"/>
          <w:sz w:val="32"/>
        </w:rPr>
        <w:t>万元，项目支出</w:t>
      </w:r>
      <w:r>
        <w:rPr>
          <w:rFonts w:hint="default" w:ascii="仿宋_GB2312" w:eastAsia="仿宋_GB2312"/>
          <w:sz w:val="32"/>
        </w:rPr>
        <w:t>245.98</w:t>
      </w:r>
      <w:r>
        <w:rPr>
          <w:rFonts w:ascii="仿宋_GB2312" w:eastAsia="仿宋_GB2312"/>
          <w:sz w:val="32"/>
        </w:rPr>
        <w:t>万元。与上年相比，财政拨款支出增加19.08万元，增长1.67%，主要原因：</w:t>
      </w:r>
      <w:r>
        <w:rPr>
          <w:rFonts w:ascii="黑体" w:eastAsia="黑体"/>
          <w:sz w:val="32"/>
        </w:rPr>
        <w:t>一是幼儿园收入增长</w:t>
      </w:r>
      <w:r>
        <w:rPr>
          <w:rFonts w:ascii="仿宋_GB2312" w:eastAsia="仿宋_GB2312"/>
          <w:sz w:val="32"/>
        </w:rPr>
        <w:t>。与年初预算相比2021年度财政拨款支出完成年初预算的100%，其中：基本支出完成年初预算的100%，项目完成年初预算的100%。</w:t>
      </w:r>
    </w:p>
    <w:p w14:paraId="0895B01D">
      <w:pPr>
        <w:numPr>
          <w:ilvl w:val="0"/>
          <w:numId w:val="1"/>
        </w:num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一般公共预算财政拨款支出情况。</w:t>
      </w:r>
    </w:p>
    <w:p w14:paraId="50F75568">
      <w:pPr>
        <w:numPr>
          <w:ilvl w:val="0"/>
          <w:numId w:val="1"/>
        </w:num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default" w:ascii="仿宋_GB2312" w:eastAsia="仿宋_GB2312"/>
          <w:sz w:val="32"/>
        </w:rPr>
        <w:t>1163.21</w:t>
      </w:r>
      <w:r>
        <w:rPr>
          <w:rFonts w:ascii="仿宋_GB2312" w:hAnsi="宋体" w:eastAsia="仿宋_GB2312"/>
          <w:sz w:val="32"/>
          <w:szCs w:val="32"/>
        </w:rPr>
        <w:t>万元，按支出功能分类科目分，包括：教育支出1043.22万元，占89.68%；社会保障就业支出75.04万元，占6.45%；卫生健康支出44.95万元，占3.87%。。</w:t>
      </w:r>
    </w:p>
    <w:p w14:paraId="02084E79">
      <w:pPr>
        <w:spacing w:line="560" w:lineRule="exact"/>
        <w:ind w:firstLine="660"/>
        <w:rPr>
          <w:rFonts w:hint="default" w:ascii="仿宋_GB2312" w:hAnsi="宋体" w:eastAsia="仿宋_GB2312"/>
          <w:sz w:val="32"/>
          <w:szCs w:val="32"/>
        </w:rPr>
      </w:pPr>
      <w:r>
        <w:rPr>
          <w:rFonts w:ascii="仿宋_GB2312" w:hAnsi="宋体" w:eastAsia="仿宋_GB2312"/>
          <w:sz w:val="32"/>
          <w:szCs w:val="32"/>
        </w:rPr>
        <w:t>1.教育支出1043.22万元，具体包括：</w:t>
      </w:r>
    </w:p>
    <w:p w14:paraId="0DF5E4CC">
      <w:pPr>
        <w:spacing w:line="560" w:lineRule="exact"/>
        <w:ind w:firstLine="660"/>
        <w:rPr>
          <w:rFonts w:hint="default" w:ascii="仿宋_GB2312" w:hAnsi="宋体" w:eastAsia="仿宋_GB2312"/>
          <w:sz w:val="32"/>
          <w:szCs w:val="32"/>
        </w:rPr>
      </w:pPr>
      <w:r>
        <w:rPr>
          <w:rFonts w:ascii="仿宋_GB2312" w:hAnsi="宋体" w:eastAsia="仿宋_GB2312"/>
          <w:sz w:val="32"/>
          <w:szCs w:val="32"/>
        </w:rPr>
        <w:t>（1）学前教育47.74万元，主要是办公费、电费、邮电费、维修（护）费、其他商品和服务支出等支出，完成年初预算的100%。</w:t>
      </w:r>
    </w:p>
    <w:p w14:paraId="0B32CABC">
      <w:pPr>
        <w:spacing w:line="560" w:lineRule="exact"/>
        <w:ind w:firstLine="660"/>
        <w:rPr>
          <w:rFonts w:hint="default" w:ascii="仿宋_GB2312" w:hAnsi="宋体" w:eastAsia="仿宋_GB2312"/>
          <w:sz w:val="32"/>
          <w:szCs w:val="32"/>
        </w:rPr>
      </w:pPr>
      <w:r>
        <w:rPr>
          <w:rFonts w:ascii="仿宋_GB2312" w:hAnsi="宋体" w:eastAsia="仿宋_GB2312"/>
          <w:sz w:val="32"/>
          <w:szCs w:val="32"/>
        </w:rPr>
        <w:t>（2）小学教育862.9万元，主要是工资福利支出、办公费、印刷费、手续费、水电费、邮电费、取暖费、租赁费、培训费、专用材料费、劳务费、工会经费、公务用车运行维护费、其他交通费用、其他商品和服务支出、退休费、抚恤金、生活补助、助学金、办公设备购置、专业设备购置等，完成年初预算的100%。</w:t>
      </w:r>
    </w:p>
    <w:p w14:paraId="2F0D40CA">
      <w:pPr>
        <w:spacing w:line="560" w:lineRule="exact"/>
        <w:ind w:firstLine="660"/>
        <w:rPr>
          <w:rFonts w:hint="default" w:ascii="仿宋_GB2312" w:hAnsi="宋体" w:eastAsia="仿宋_GB2312"/>
          <w:sz w:val="32"/>
          <w:szCs w:val="32"/>
        </w:rPr>
      </w:pPr>
      <w:r>
        <w:rPr>
          <w:rFonts w:ascii="仿宋_GB2312" w:hAnsi="宋体" w:eastAsia="仿宋_GB2312"/>
          <w:sz w:val="32"/>
          <w:szCs w:val="32"/>
        </w:rPr>
        <w:t>（3）其他普通教育支出2.27万元，主要是其他工资福利支出，完成年初预算的100%。</w:t>
      </w:r>
    </w:p>
    <w:p w14:paraId="28931402">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（4） 其他教育费附加安排的支出130.31万元，主要是办公费、水电费、邮电费、维修（护）费、劳务费、其他交通费、其他商品和服务支出、办公设备购置、专业设备购置等，完成年初预算的100%。</w:t>
      </w:r>
    </w:p>
    <w:p w14:paraId="70E80128">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2.社会保障和就业支出75.04万元，具体包括：</w:t>
      </w:r>
    </w:p>
    <w:p w14:paraId="5BAE7A08">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（1）机关事业单位基本养老保险缴费支出72.65万元，完成年初预算的100%。</w:t>
      </w:r>
    </w:p>
    <w:p w14:paraId="686FC9C3">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（2）机关事业单位职业年金缴费支出0.03万元，完成年初预算的100%。</w:t>
      </w:r>
    </w:p>
    <w:p w14:paraId="7FBD1DA9">
      <w:pPr>
        <w:spacing w:line="540" w:lineRule="exact"/>
        <w:ind w:firstLine="960" w:firstLineChars="300"/>
        <w:outlineLvl w:val="2"/>
        <w:rPr>
          <w:rFonts w:hint="default" w:ascii="仿宋_GB2312" w:hAnsi="宋体" w:eastAsia="仿宋_GB2312"/>
          <w:sz w:val="32"/>
          <w:szCs w:val="32"/>
        </w:rPr>
      </w:pPr>
      <w:r>
        <w:rPr>
          <w:rFonts w:ascii="仿宋_GB2312" w:hAnsi="宋体" w:eastAsia="仿宋_GB2312"/>
          <w:sz w:val="32"/>
          <w:szCs w:val="32"/>
        </w:rPr>
        <w:t>(3)事业单位离退休2.36万元，完成年初预算的100%。</w:t>
      </w:r>
    </w:p>
    <w:p w14:paraId="38B0180B">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3.卫生健康支出</w:t>
      </w:r>
      <w:r>
        <w:rPr>
          <w:rFonts w:ascii="仿宋_GB2312" w:hAnsi="宋体" w:eastAsia="仿宋_GB2312"/>
          <w:sz w:val="32"/>
          <w:szCs w:val="32"/>
        </w:rPr>
        <w:t>4</w:t>
      </w:r>
      <w:r>
        <w:rPr>
          <w:rFonts w:hint="default" w:ascii="仿宋_GB2312" w:hAnsi="宋体" w:eastAsia="仿宋_GB2312"/>
          <w:sz w:val="32"/>
          <w:szCs w:val="32"/>
        </w:rPr>
        <w:t>4.95万元，具体包括：</w:t>
      </w:r>
    </w:p>
    <w:p w14:paraId="41843FCF">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（1）事业单位医疗39.07万元，主要是职工基本医疗保险缴费支出，完成年初预算的100%。</w:t>
      </w:r>
    </w:p>
    <w:p w14:paraId="03E26DE9">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（2）其他行政事业单位医疗支出5.88万元，主要是医疗费，完成年初预算的100%。</w:t>
      </w:r>
    </w:p>
    <w:p w14:paraId="112D51EC">
      <w:pPr>
        <w:numPr>
          <w:ilvl w:val="0"/>
          <w:numId w:val="0"/>
        </w:num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r>
        <w:rPr>
          <w:rFonts w:ascii="黑体" w:hAnsi="黑体" w:eastAsia="黑体" w:cs="黑体"/>
          <w:b/>
          <w:color w:val="FF0000"/>
          <w:sz w:val="32"/>
          <w:szCs w:val="32"/>
        </w:rPr>
        <w:t xml:space="preserve">  </w:t>
      </w:r>
    </w:p>
    <w:p w14:paraId="7390E6A2">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本年未发生此项资金</w:t>
      </w:r>
    </w:p>
    <w:p w14:paraId="76C31C9F">
      <w:pPr>
        <w:numPr>
          <w:ilvl w:val="0"/>
          <w:numId w:val="0"/>
        </w:numPr>
        <w:spacing w:line="560" w:lineRule="exact"/>
        <w:ind w:firstLine="643" w:firstLineChars="200"/>
        <w:rPr>
          <w:rFonts w:hint="default"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14:paraId="4A24BCA5">
      <w:pPr>
        <w:spacing w:line="560" w:lineRule="exact"/>
        <w:ind w:left="660"/>
        <w:rPr>
          <w:rFonts w:hint="default" w:ascii="仿宋_GB2312" w:hAnsi="宋体" w:eastAsia="仿宋_GB2312"/>
          <w:sz w:val="32"/>
          <w:szCs w:val="32"/>
        </w:rPr>
      </w:pPr>
      <w:r>
        <w:rPr>
          <w:rFonts w:hint="default" w:ascii="仿宋_GB2312" w:hAnsi="宋体" w:eastAsia="仿宋_GB2312"/>
          <w:sz w:val="32"/>
          <w:szCs w:val="32"/>
        </w:rPr>
        <w:t>本年未发生此项资金</w:t>
      </w:r>
    </w:p>
    <w:p w14:paraId="73BFF610">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2BE021F4">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2021年度一般公共预算财政拨款安排的“三公”经费支出0.5万元，</w:t>
      </w:r>
      <w:r>
        <w:rPr>
          <w:rFonts w:hint="eastAsia" w:ascii="仿宋_GB2312" w:eastAsia="仿宋_GB2312"/>
          <w:sz w:val="32"/>
          <w:lang w:eastAsia="zh-CN"/>
        </w:rPr>
        <w:t>年初未安排预算</w:t>
      </w:r>
      <w:r>
        <w:rPr>
          <w:rFonts w:ascii="仿宋_GB2312" w:eastAsia="仿宋_GB2312"/>
          <w:sz w:val="32"/>
        </w:rPr>
        <w:t>，决算数大于年初预算数</w:t>
      </w:r>
      <w:r>
        <w:rPr>
          <w:rFonts w:hint="eastAsia" w:ascii="仿宋_GB2312" w:eastAsia="仿宋_GB2312"/>
          <w:sz w:val="32"/>
          <w:lang w:eastAsia="zh-CN"/>
        </w:rPr>
        <w:t>主要因为临时发生</w:t>
      </w:r>
      <w:r>
        <w:rPr>
          <w:rFonts w:ascii="仿宋_GB2312" w:eastAsia="仿宋_GB2312"/>
          <w:sz w:val="32"/>
        </w:rPr>
        <w:t>，因此与年初预算相比增加100%。其中公务用车运行维护费0.5万元。</w:t>
      </w:r>
    </w:p>
    <w:p w14:paraId="50EB097A">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1.因公出国（境）费0万元， 2021年参加出国（境）团组0个，累计0人次。2021年因公出国（境）费比上年减少0万元，下降0%，主要是2020年及2021年均无出国任务</w:t>
      </w:r>
      <w:r>
        <w:rPr>
          <w:rFonts w:ascii="仿宋_GB2312" w:hAnsi="Times New Roman" w:eastAsia="仿宋_GB2312" w:cs="Times New Roman"/>
          <w:kern w:val="0"/>
          <w:sz w:val="32"/>
          <w:szCs w:val="32"/>
        </w:rPr>
        <w:t>。</w:t>
      </w:r>
    </w:p>
    <w:p w14:paraId="5652D35B">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29238BB2">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公务用车购置及运行费0.5万元，占“三公”经费支出的100%。</w:t>
      </w:r>
      <w:r>
        <w:rPr>
          <w:rFonts w:hint="eastAsia" w:ascii="仿宋_GB2312" w:eastAsia="仿宋_GB2312"/>
          <w:sz w:val="32"/>
          <w:lang w:eastAsia="zh-CN"/>
        </w:rPr>
        <w:t>年初未安排预算</w:t>
      </w:r>
      <w:r>
        <w:rPr>
          <w:rFonts w:ascii="仿宋_GB2312" w:eastAsia="仿宋_GB2312"/>
          <w:sz w:val="32"/>
        </w:rPr>
        <w:t>，决算数大于年初预算数的原因主要</w:t>
      </w:r>
      <w:r>
        <w:rPr>
          <w:rFonts w:hint="eastAsia" w:ascii="仿宋_GB2312" w:eastAsia="仿宋_GB2312"/>
          <w:sz w:val="32"/>
          <w:lang w:eastAsia="zh-CN"/>
        </w:rPr>
        <w:t>是临时发生</w:t>
      </w:r>
      <w:r>
        <w:rPr>
          <w:rFonts w:ascii="仿宋_GB2312" w:eastAsia="仿宋_GB2312"/>
          <w:sz w:val="32"/>
        </w:rPr>
        <w:t>，因此与年初预算相比增加100%。</w:t>
      </w:r>
      <w:r>
        <w:rPr>
          <w:rFonts w:ascii="仿宋_GB2312" w:hAnsi="Times New Roman" w:eastAsia="仿宋_GB2312" w:cs="Times New Roman"/>
          <w:kern w:val="0"/>
          <w:sz w:val="32"/>
          <w:szCs w:val="32"/>
        </w:rPr>
        <w:t>比上年减少0.45万元，增长11.25%，主要原因是检车时车辆损坏，修车费。</w:t>
      </w:r>
    </w:p>
    <w:p w14:paraId="5EE98783">
      <w:pPr>
        <w:pStyle w:val="6"/>
        <w:autoSpaceDN w:val="0"/>
        <w:spacing w:line="560" w:lineRule="exact"/>
        <w:ind w:firstLine="645"/>
        <w:rPr>
          <w:rFonts w:hint="default" w:ascii="仿宋_GB2312" w:eastAsia="仿宋_GB2312"/>
          <w:sz w:val="32"/>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6FE9A2DE">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公务用车运行维护费0.5万元，主要用于检车、维修、保险等</w:t>
      </w:r>
      <w:r>
        <w:rPr>
          <w:rFonts w:hint="default" w:ascii="仿宋_GB2312" w:eastAsia="仿宋_GB2312"/>
          <w:sz w:val="32"/>
        </w:rPr>
        <w:t>,</w:t>
      </w:r>
      <w:r>
        <w:rPr>
          <w:rFonts w:ascii="仿宋_GB2312" w:eastAsia="仿宋_GB2312"/>
          <w:sz w:val="32"/>
        </w:rPr>
        <w:t>截至年末使用一般公共预算财政拨款开支的公务用车保有量1辆。</w:t>
      </w:r>
      <w:r>
        <w:rPr>
          <w:rFonts w:hint="eastAsia" w:ascii="仿宋_GB2312" w:eastAsia="仿宋_GB2312"/>
          <w:sz w:val="32"/>
          <w:lang w:eastAsia="zh-CN"/>
        </w:rPr>
        <w:t>年初未安排预算</w:t>
      </w:r>
      <w:r>
        <w:rPr>
          <w:rFonts w:ascii="仿宋_GB2312" w:eastAsia="仿宋_GB2312"/>
          <w:sz w:val="32"/>
        </w:rPr>
        <w:t>，决数大于年初预算数的原因主要</w:t>
      </w:r>
      <w:r>
        <w:rPr>
          <w:rFonts w:ascii="仿宋_GB2312" w:hAnsi="Times New Roman" w:eastAsia="仿宋_GB2312" w:cs="Times New Roman"/>
          <w:kern w:val="0"/>
          <w:sz w:val="32"/>
          <w:szCs w:val="32"/>
        </w:rPr>
        <w:t>是检车时车辆损坏，修车费</w:t>
      </w:r>
      <w:r>
        <w:rPr>
          <w:rFonts w:ascii="仿宋_GB2312" w:eastAsia="仿宋_GB2312"/>
          <w:sz w:val="32"/>
        </w:rPr>
        <w:t>。</w:t>
      </w:r>
    </w:p>
    <w:p w14:paraId="4415F4DE">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30DE9D7F">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917.23万元，其中：人员经费815.76万元，主要包括基本工资、津贴补贴、奖金、其他社会保障缴费、机关事业单位基本养老保险缴费、其他工资福利支出、离休费、退休费、抚恤金、生活补助、奖励金、住房公积金、采暖补贴、其他对个人和家庭补助的支出；日常公用经费101.47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2A42BA70">
      <w:pPr>
        <w:pStyle w:val="6"/>
        <w:spacing w:line="560" w:lineRule="exact"/>
        <w:ind w:firstLine="640"/>
        <w:rPr>
          <w:rFonts w:hint="default" w:ascii="黑体" w:eastAsia="黑体"/>
          <w:sz w:val="32"/>
        </w:rPr>
      </w:pPr>
      <w:r>
        <w:rPr>
          <w:rFonts w:ascii="黑体" w:eastAsia="黑体"/>
          <w:sz w:val="32"/>
        </w:rPr>
        <w:t>五、其他重要事项的情况说明</w:t>
      </w:r>
    </w:p>
    <w:p w14:paraId="70A01739">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795D4F04">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1</w:t>
      </w:r>
      <w:r>
        <w:rPr>
          <w:rFonts w:ascii="仿宋_GB2312" w:eastAsia="仿宋_GB2312"/>
          <w:sz w:val="32"/>
        </w:rPr>
        <w:t>年机关运行经费支出0万元，与上年持平，主要原因是本单位属于事业单位，无机关运行经费。</w:t>
      </w:r>
    </w:p>
    <w:p w14:paraId="4B36C228">
      <w:pPr>
        <w:pStyle w:val="6"/>
        <w:numPr>
          <w:ilvl w:val="0"/>
          <w:numId w:val="1"/>
        </w:numPr>
        <w:spacing w:line="560" w:lineRule="exact"/>
        <w:ind w:firstLine="660"/>
        <w:rPr>
          <w:rFonts w:hint="default" w:ascii="楷体_GB2312" w:eastAsia="楷体_GB2312"/>
          <w:b/>
          <w:sz w:val="32"/>
        </w:rPr>
      </w:pPr>
      <w:r>
        <w:rPr>
          <w:rFonts w:ascii="楷体_GB2312" w:eastAsia="楷体_GB2312"/>
          <w:b/>
          <w:sz w:val="32"/>
        </w:rPr>
        <w:t>政府采购支出情况。</w:t>
      </w:r>
    </w:p>
    <w:p w14:paraId="653BA58F">
      <w:pPr>
        <w:pStyle w:val="6"/>
        <w:spacing w:line="560" w:lineRule="exact"/>
        <w:ind w:left="660" w:firstLine="640" w:firstLineChars="200"/>
        <w:rPr>
          <w:rFonts w:hint="default" w:ascii="仿宋_GB2312" w:eastAsia="仿宋_GB2312"/>
          <w:sz w:val="32"/>
        </w:rPr>
      </w:pPr>
      <w:bookmarkStart w:id="0" w:name="_GoBack"/>
      <w:bookmarkEnd w:id="0"/>
      <w:r>
        <w:rPr>
          <w:rFonts w:ascii="仿宋_GB2312" w:eastAsia="仿宋_GB2312"/>
          <w:sz w:val="32"/>
        </w:rPr>
        <w:t>2021年政府采购支出总额0万元，其中：政府采购货物支出0万元，政府采购工程支出0万元，政府采购服务支出0万元。</w:t>
      </w:r>
    </w:p>
    <w:p w14:paraId="53211F3D">
      <w:pPr>
        <w:pStyle w:val="6"/>
        <w:spacing w:line="560" w:lineRule="exact"/>
        <w:ind w:firstLine="643" w:firstLineChars="200"/>
        <w:rPr>
          <w:rFonts w:hint="default" w:ascii="黑体" w:hAnsi="黑体" w:eastAsia="黑体"/>
          <w:b/>
          <w:bCs/>
          <w:color w:val="FF0000"/>
          <w:sz w:val="32"/>
          <w:szCs w:val="32"/>
        </w:rPr>
      </w:pPr>
      <w:r>
        <w:rPr>
          <w:rFonts w:ascii="楷体_GB2312" w:eastAsia="楷体_GB2312"/>
          <w:b/>
          <w:sz w:val="32"/>
        </w:rPr>
        <w:t>（四）国有资产占用情况。</w:t>
      </w:r>
      <w:r>
        <w:rPr>
          <w:rFonts w:ascii="黑体" w:hAnsi="黑体" w:eastAsia="黑体"/>
          <w:b/>
          <w:bCs/>
          <w:color w:val="FF0000"/>
          <w:sz w:val="32"/>
          <w:szCs w:val="32"/>
        </w:rPr>
        <w:t xml:space="preserve"> </w:t>
      </w:r>
    </w:p>
    <w:p w14:paraId="0DD724B2">
      <w:pPr>
        <w:pStyle w:val="6"/>
        <w:spacing w:line="560" w:lineRule="exact"/>
        <w:ind w:left="660" w:firstLine="640" w:firstLineChars="200"/>
        <w:rPr>
          <w:rFonts w:hint="default" w:ascii="仿宋_GB2312" w:eastAsia="仿宋_GB2312"/>
          <w:sz w:val="32"/>
        </w:rPr>
      </w:pPr>
      <w:r>
        <w:rPr>
          <w:rFonts w:ascii="仿宋_GB2312" w:eastAsia="仿宋_GB2312"/>
          <w:sz w:val="32"/>
        </w:rPr>
        <w:t>截至2021年12月31日，共有车辆1辆，其中：副省级以上领导干部用车0辆，主要领导干部用车0辆，机要通讯用车0辆，应急保障用车0辆，执法执勤用车0辆，特种专业技术用车0辆，离退休干部用车0辆，其他用车1辆，其他用车主要是原通勤车；单位价值50万元以上通用设备1台，单价100万元以上专用设备0台。</w:t>
      </w:r>
    </w:p>
    <w:p w14:paraId="73A5D817">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14:paraId="37C2EE96">
      <w:pPr>
        <w:pStyle w:val="6"/>
        <w:spacing w:line="560" w:lineRule="exact"/>
        <w:ind w:firstLine="640" w:firstLineChars="200"/>
        <w:rPr>
          <w:rFonts w:hint="default"/>
          <w:b/>
          <w:sz w:val="36"/>
        </w:rPr>
      </w:pPr>
      <w:r>
        <w:rPr>
          <w:rFonts w:hint="default" w:ascii="仿宋_GB2312" w:eastAsia="仿宋_GB2312"/>
          <w:sz w:val="32"/>
        </w:rPr>
        <w:t>202</w:t>
      </w:r>
      <w:r>
        <w:rPr>
          <w:rFonts w:ascii="仿宋_GB2312" w:eastAsia="仿宋_GB2312"/>
          <w:sz w:val="32"/>
        </w:rPr>
        <w:t>1</w:t>
      </w:r>
      <w:r>
        <w:rPr>
          <w:rFonts w:hint="default" w:ascii="仿宋_GB2312" w:eastAsia="仿宋_GB2312"/>
          <w:sz w:val="32"/>
        </w:rPr>
        <w:t>年不涉及民生项目和重点支出项目。因此本单位无绩效自评及部门评价。</w:t>
      </w:r>
    </w:p>
    <w:p w14:paraId="7A2070CC">
      <w:pPr>
        <w:pStyle w:val="9"/>
        <w:autoSpaceDN w:val="0"/>
        <w:spacing w:line="560" w:lineRule="exact"/>
        <w:rPr>
          <w:b/>
          <w:bCs/>
          <w:sz w:val="36"/>
          <w:szCs w:val="36"/>
        </w:rPr>
      </w:pPr>
      <w:r>
        <w:rPr>
          <w:rFonts w:hint="eastAsia"/>
          <w:b/>
          <w:bCs/>
          <w:sz w:val="36"/>
          <w:szCs w:val="36"/>
        </w:rPr>
        <w:t>第三部分 名词解释</w:t>
      </w:r>
    </w:p>
    <w:p w14:paraId="5648382E">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07621352">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25B545F9">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5E09D903">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435CA975">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399E364D">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55935F18">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749EF820">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6EECFB56">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13EDF4B9">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248B8084">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3912B2EF">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3DDBB16E">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4EC34D5F">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9E656F7">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F019D0">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4D473A05">
      <w:pPr>
        <w:pStyle w:val="6"/>
        <w:spacing w:line="560" w:lineRule="exact"/>
        <w:ind w:firstLine="640"/>
        <w:rPr>
          <w:rFonts w:hint="default" w:ascii="仿宋_GB2312" w:eastAsia="仿宋_GB2312"/>
          <w:i/>
          <w:sz w:val="32"/>
          <w:u w:val="single"/>
        </w:rPr>
      </w:pPr>
    </w:p>
    <w:p w14:paraId="5562801C">
      <w:pPr>
        <w:pStyle w:val="6"/>
        <w:spacing w:line="560" w:lineRule="atLeast"/>
        <w:jc w:val="left"/>
        <w:rPr>
          <w:rFonts w:hint="default" w:ascii="仿宋_GB2312" w:hAnsi="仿宋_GB2312" w:eastAsia="仿宋_GB2312" w:cs="仿宋_GB2312"/>
          <w:b/>
          <w:sz w:val="52"/>
          <w:szCs w:val="52"/>
        </w:rPr>
      </w:pPr>
    </w:p>
    <w:p w14:paraId="2F45BF0A">
      <w:pPr>
        <w:pStyle w:val="6"/>
        <w:spacing w:line="560" w:lineRule="atLeast"/>
        <w:jc w:val="left"/>
        <w:rPr>
          <w:rFonts w:hint="default" w:ascii="仿宋_GB2312" w:hAnsi="仿宋_GB2312" w:eastAsia="仿宋_GB2312" w:cs="仿宋_GB2312"/>
          <w:b/>
          <w:sz w:val="52"/>
          <w:szCs w:val="52"/>
        </w:rPr>
      </w:pPr>
    </w:p>
    <w:p w14:paraId="71936330">
      <w:pPr>
        <w:pStyle w:val="6"/>
        <w:spacing w:line="560" w:lineRule="atLeast"/>
        <w:jc w:val="left"/>
        <w:rPr>
          <w:rFonts w:hint="default" w:ascii="仿宋_GB2312" w:hAnsi="仿宋_GB2312" w:eastAsia="仿宋_GB2312" w:cs="仿宋_GB2312"/>
          <w:b/>
          <w:sz w:val="52"/>
          <w:szCs w:val="52"/>
        </w:rPr>
      </w:pPr>
    </w:p>
    <w:p w14:paraId="62961215">
      <w:pPr>
        <w:pStyle w:val="6"/>
        <w:spacing w:line="560" w:lineRule="atLeast"/>
        <w:jc w:val="center"/>
        <w:rPr>
          <w:rFonts w:ascii="仿宋_GB2312" w:hAnsi="仿宋_GB2312" w:eastAsia="仿宋_GB2312" w:cs="仿宋_GB2312"/>
          <w:b/>
          <w:sz w:val="52"/>
          <w:szCs w:val="52"/>
        </w:rPr>
      </w:pPr>
    </w:p>
    <w:p w14:paraId="3A2DC707">
      <w:pPr>
        <w:pStyle w:val="6"/>
        <w:spacing w:line="560" w:lineRule="atLeast"/>
        <w:jc w:val="center"/>
        <w:rPr>
          <w:rFonts w:ascii="仿宋_GB2312" w:hAnsi="仿宋_GB2312" w:eastAsia="仿宋_GB2312" w:cs="仿宋_GB2312"/>
          <w:b/>
          <w:sz w:val="52"/>
          <w:szCs w:val="52"/>
        </w:rPr>
      </w:pPr>
    </w:p>
    <w:p w14:paraId="736FF2B9">
      <w:pPr>
        <w:pStyle w:val="6"/>
        <w:spacing w:line="560" w:lineRule="atLeast"/>
        <w:jc w:val="center"/>
        <w:rPr>
          <w:rFonts w:ascii="仿宋_GB2312" w:hAnsi="仿宋_GB2312" w:eastAsia="仿宋_GB2312" w:cs="仿宋_GB2312"/>
          <w:b/>
          <w:sz w:val="52"/>
          <w:szCs w:val="52"/>
        </w:rPr>
        <w:sectPr>
          <w:headerReference r:id="rId3" w:type="default"/>
          <w:pgSz w:w="11906" w:h="16838"/>
          <w:pgMar w:top="1440" w:right="1800" w:bottom="1440" w:left="1800" w:header="851" w:footer="992" w:gutter="0"/>
          <w:cols w:space="425" w:num="1"/>
          <w:docGrid w:type="lines" w:linePitch="312" w:charSpace="0"/>
        </w:sectPr>
      </w:pPr>
    </w:p>
    <w:p w14:paraId="0D5D6353">
      <w:pPr>
        <w:pStyle w:val="6"/>
        <w:spacing w:line="560" w:lineRule="atLeast"/>
        <w:jc w:val="center"/>
        <w:rPr>
          <w:rFonts w:ascii="仿宋_GB2312" w:hAnsi="仿宋_GB2312" w:eastAsia="仿宋_GB2312" w:cs="仿宋_GB2312"/>
          <w:b/>
          <w:sz w:val="52"/>
          <w:szCs w:val="52"/>
        </w:rPr>
      </w:pPr>
    </w:p>
    <w:p w14:paraId="3C18253C">
      <w:pPr>
        <w:pStyle w:val="6"/>
        <w:spacing w:line="560" w:lineRule="atLeast"/>
        <w:jc w:val="center"/>
        <w:rPr>
          <w:rFonts w:ascii="仿宋_GB2312" w:hAnsi="仿宋_GB2312" w:eastAsia="仿宋_GB2312" w:cs="仿宋_GB2312"/>
          <w:b/>
          <w:sz w:val="52"/>
          <w:szCs w:val="52"/>
        </w:rPr>
      </w:pPr>
    </w:p>
    <w:p w14:paraId="71C2465C">
      <w:pPr>
        <w:pStyle w:val="6"/>
        <w:spacing w:line="560" w:lineRule="atLeast"/>
        <w:jc w:val="center"/>
        <w:rPr>
          <w:rFonts w:ascii="仿宋_GB2312" w:hAnsi="仿宋_GB2312" w:eastAsia="仿宋_GB2312" w:cs="仿宋_GB2312"/>
          <w:b/>
          <w:sz w:val="52"/>
          <w:szCs w:val="52"/>
        </w:rPr>
      </w:pPr>
    </w:p>
    <w:p w14:paraId="581FAC92">
      <w:pPr>
        <w:pStyle w:val="6"/>
        <w:spacing w:line="560" w:lineRule="atLeast"/>
        <w:jc w:val="center"/>
        <w:rPr>
          <w:rFonts w:ascii="仿宋_GB2312" w:hAnsi="仿宋_GB2312" w:eastAsia="仿宋_GB2312" w:cs="仿宋_GB2312"/>
          <w:b/>
          <w:sz w:val="52"/>
          <w:szCs w:val="52"/>
        </w:rPr>
      </w:pPr>
    </w:p>
    <w:p w14:paraId="00F2ACDC">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沈阳市浑南区高坎中心小学2021年度决算表</w:t>
      </w:r>
    </w:p>
    <w:p w14:paraId="66B18687">
      <w:pPr>
        <w:rPr>
          <w:rFonts w:hint="default" w:ascii="仿宋_GB2312" w:hAnsi="宋体" w:eastAsia="仿宋_GB2312"/>
          <w:kern w:val="0"/>
          <w:sz w:val="32"/>
        </w:rPr>
      </w:pPr>
    </w:p>
    <w:p w14:paraId="1F79258A">
      <w:pPr>
        <w:rPr>
          <w:rFonts w:hint="default" w:ascii="仿宋_GB2312" w:hAnsi="宋体" w:eastAsia="仿宋_GB2312"/>
          <w:kern w:val="0"/>
          <w:sz w:val="32"/>
        </w:rPr>
      </w:pPr>
    </w:p>
    <w:p w14:paraId="426D03FE">
      <w:pPr>
        <w:rPr>
          <w:rFonts w:hint="default" w:ascii="仿宋_GB2312" w:hAnsi="宋体" w:eastAsia="仿宋_GB2312"/>
          <w:kern w:val="0"/>
          <w:sz w:val="32"/>
        </w:rPr>
      </w:pPr>
    </w:p>
    <w:p w14:paraId="1ED09E38">
      <w:pPr>
        <w:rPr>
          <w:rFonts w:hint="default" w:ascii="仿宋_GB2312" w:hAnsi="宋体" w:eastAsia="仿宋_GB2312"/>
          <w:kern w:val="0"/>
          <w:sz w:val="32"/>
        </w:rPr>
      </w:pPr>
    </w:p>
    <w:p w14:paraId="79D73DED">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D57FA">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CA03C"/>
    <w:multiLevelType w:val="singleLevel"/>
    <w:tmpl w:val="978CA03C"/>
    <w:lvl w:ilvl="0" w:tentative="0">
      <w:start w:val="2"/>
      <w:numFmt w:val="chineseCounting"/>
      <w:suff w:val="nothing"/>
      <w:lvlText w:val="%1、"/>
      <w:lvlJc w:val="left"/>
      <w:rPr>
        <w:rFonts w:hint="eastAsia"/>
      </w:rPr>
    </w:lvl>
  </w:abstractNum>
  <w:abstractNum w:abstractNumId="1">
    <w:nsid w:val="116AAEB6"/>
    <w:multiLevelType w:val="singleLevel"/>
    <w:tmpl w:val="116AAEB6"/>
    <w:lvl w:ilvl="0" w:tentative="0">
      <w:start w:val="2"/>
      <w:numFmt w:val="chineseCounting"/>
      <w:suff w:val="nothing"/>
      <w:lvlText w:val="（%1）"/>
      <w:lvlJc w:val="left"/>
      <w:pPr>
        <w:ind w:left="-3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77E15"/>
    <w:rsid w:val="001D0B4A"/>
    <w:rsid w:val="002F29F6"/>
    <w:rsid w:val="00317204"/>
    <w:rsid w:val="00320394"/>
    <w:rsid w:val="00342E31"/>
    <w:rsid w:val="0038444A"/>
    <w:rsid w:val="00387684"/>
    <w:rsid w:val="0044142C"/>
    <w:rsid w:val="00485722"/>
    <w:rsid w:val="004C26A5"/>
    <w:rsid w:val="00505889"/>
    <w:rsid w:val="005812D3"/>
    <w:rsid w:val="005814A4"/>
    <w:rsid w:val="00590A8D"/>
    <w:rsid w:val="005C4DCE"/>
    <w:rsid w:val="00753B9D"/>
    <w:rsid w:val="00756329"/>
    <w:rsid w:val="007F77B9"/>
    <w:rsid w:val="008040A1"/>
    <w:rsid w:val="008B02C6"/>
    <w:rsid w:val="00954778"/>
    <w:rsid w:val="00A17144"/>
    <w:rsid w:val="00A5357A"/>
    <w:rsid w:val="00A57A14"/>
    <w:rsid w:val="00A862AB"/>
    <w:rsid w:val="00B52AFE"/>
    <w:rsid w:val="00B54181"/>
    <w:rsid w:val="00B626CD"/>
    <w:rsid w:val="00BC09C4"/>
    <w:rsid w:val="00CB2BBA"/>
    <w:rsid w:val="00D528F2"/>
    <w:rsid w:val="00DC3915"/>
    <w:rsid w:val="00E4305D"/>
    <w:rsid w:val="00EE2708"/>
    <w:rsid w:val="00F16B2B"/>
    <w:rsid w:val="00F67249"/>
    <w:rsid w:val="00F724E9"/>
    <w:rsid w:val="036F2FCB"/>
    <w:rsid w:val="06D14921"/>
    <w:rsid w:val="09C4782E"/>
    <w:rsid w:val="0B5D61A3"/>
    <w:rsid w:val="0ECB7368"/>
    <w:rsid w:val="11612EA5"/>
    <w:rsid w:val="11CB732B"/>
    <w:rsid w:val="15FF1F8C"/>
    <w:rsid w:val="1BBE01F3"/>
    <w:rsid w:val="1C635C29"/>
    <w:rsid w:val="216548B5"/>
    <w:rsid w:val="2B065713"/>
    <w:rsid w:val="2C681CD2"/>
    <w:rsid w:val="2E4F6256"/>
    <w:rsid w:val="36230505"/>
    <w:rsid w:val="405745EF"/>
    <w:rsid w:val="47B42327"/>
    <w:rsid w:val="47B642F1"/>
    <w:rsid w:val="4A0550BC"/>
    <w:rsid w:val="51E97071"/>
    <w:rsid w:val="51FA74D0"/>
    <w:rsid w:val="54F6469B"/>
    <w:rsid w:val="5B697371"/>
    <w:rsid w:val="673C6F2C"/>
    <w:rsid w:val="6779459B"/>
    <w:rsid w:val="6A7379C8"/>
    <w:rsid w:val="6EEE61C7"/>
    <w:rsid w:val="70A92BD1"/>
    <w:rsid w:val="70BB0F08"/>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字符"/>
    <w:basedOn w:val="5"/>
    <w:link w:val="3"/>
    <w:qFormat/>
    <w:uiPriority w:val="0"/>
    <w:rPr>
      <w:rFonts w:ascii="Times New Roman" w:hAnsi="Times New Roman" w:eastAsia="宋体"/>
      <w:kern w:val="2"/>
      <w:sz w:val="18"/>
      <w:szCs w:val="18"/>
    </w:rPr>
  </w:style>
  <w:style w:type="character" w:customStyle="1" w:styleId="8">
    <w:name w:val="页脚 字符"/>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12</Pages>
  <Words>4193</Words>
  <Characters>4653</Characters>
  <Lines>5</Lines>
  <Paragraphs>9</Paragraphs>
  <TotalTime>0</TotalTime>
  <ScaleCrop>false</ScaleCrop>
  <LinksUpToDate>false</LinksUpToDate>
  <CharactersWithSpaces>4693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2025-09-22T08:45:52Z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9C872CB057B74C43AB101636CEB4559F_13</vt:lpwstr>
  </property>
  <property fmtid="{D5CDD505-2E9C-101B-9397-08002B2CF9AE}" pid="4" name="KSOTemplateDocerSaveRecord">
    <vt:lpwstr>eyJoZGlkIjoiNzZiZTQ3ZmI1OTFmODUzNzgwMGRlNDBmMWZiZDQzMjEiLCJ1c2VySWQiOiIyMzQ0MjI2NjQifQ==</vt:lpwstr>
  </property>
</Properties>
</file>