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FBC7C">
      <w:pPr>
        <w:pStyle w:val="6"/>
        <w:rPr>
          <w:rFonts w:hint="default" w:ascii="黑体" w:eastAsia="黑体"/>
          <w:sz w:val="32"/>
        </w:rPr>
      </w:pPr>
      <w:r>
        <w:rPr>
          <w:rFonts w:ascii="黑体" w:eastAsia="黑体"/>
          <w:sz w:val="32"/>
        </w:rPr>
        <w:t>附件2</w:t>
      </w:r>
    </w:p>
    <w:p w14:paraId="39402C30">
      <w:pPr>
        <w:pStyle w:val="6"/>
        <w:rPr>
          <w:rFonts w:hint="default"/>
          <w:b/>
          <w:sz w:val="44"/>
        </w:rPr>
      </w:pPr>
    </w:p>
    <w:p w14:paraId="08737286">
      <w:pPr>
        <w:pStyle w:val="6"/>
        <w:rPr>
          <w:rFonts w:hint="default"/>
          <w:b/>
          <w:sz w:val="44"/>
        </w:rPr>
      </w:pPr>
    </w:p>
    <w:p w14:paraId="27ACBF2E">
      <w:pPr>
        <w:pStyle w:val="6"/>
        <w:rPr>
          <w:rFonts w:hint="default"/>
          <w:b/>
          <w:sz w:val="44"/>
        </w:rPr>
      </w:pPr>
    </w:p>
    <w:p w14:paraId="11701F13">
      <w:pPr>
        <w:pStyle w:val="6"/>
        <w:rPr>
          <w:rFonts w:hint="default"/>
          <w:b/>
          <w:sz w:val="44"/>
        </w:rPr>
      </w:pPr>
    </w:p>
    <w:p w14:paraId="3B0D9DCB">
      <w:pPr>
        <w:pStyle w:val="6"/>
        <w:rPr>
          <w:rFonts w:hint="default"/>
          <w:b/>
          <w:sz w:val="44"/>
        </w:rPr>
      </w:pPr>
    </w:p>
    <w:p w14:paraId="7700E5E5">
      <w:pPr>
        <w:pStyle w:val="6"/>
        <w:rPr>
          <w:rFonts w:hint="default"/>
          <w:b/>
          <w:sz w:val="44"/>
        </w:rPr>
      </w:pPr>
    </w:p>
    <w:p w14:paraId="0CBEFB22">
      <w:pPr>
        <w:spacing w:line="540" w:lineRule="exact"/>
        <w:jc w:val="center"/>
        <w:rPr>
          <w:rFonts w:hint="default" w:ascii="宋体" w:hAnsi="宋体"/>
          <w:b/>
          <w:sz w:val="52"/>
          <w:szCs w:val="52"/>
        </w:rPr>
      </w:pPr>
      <w:r>
        <w:rPr>
          <w:rFonts w:ascii="宋体" w:hAnsi="宋体"/>
          <w:b/>
          <w:sz w:val="52"/>
          <w:szCs w:val="52"/>
        </w:rPr>
        <w:t>沈阳市浑南区高坎街道办事处</w:t>
      </w:r>
    </w:p>
    <w:p w14:paraId="4AD3C6CD">
      <w:pPr>
        <w:spacing w:line="540" w:lineRule="exact"/>
        <w:jc w:val="center"/>
        <w:rPr>
          <w:rFonts w:hint="default" w:ascii="宋体" w:hAnsi="宋体"/>
          <w:b/>
          <w:color w:val="FF0000"/>
          <w:sz w:val="52"/>
          <w:szCs w:val="52"/>
        </w:rPr>
      </w:pPr>
      <w:r>
        <w:rPr>
          <w:rFonts w:ascii="宋体" w:hAnsi="宋体"/>
          <w:b/>
          <w:sz w:val="52"/>
          <w:szCs w:val="52"/>
        </w:rPr>
        <w:t>2021年度决算说明</w:t>
      </w:r>
    </w:p>
    <w:p w14:paraId="0675F681">
      <w:pPr>
        <w:pStyle w:val="6"/>
        <w:jc w:val="center"/>
        <w:rPr>
          <w:rFonts w:hint="default" w:ascii="仿宋_GB2312" w:eastAsia="仿宋_GB2312"/>
          <w:b/>
          <w:sz w:val="52"/>
        </w:rPr>
      </w:pPr>
    </w:p>
    <w:p w14:paraId="2BF199C9">
      <w:pPr>
        <w:pStyle w:val="6"/>
        <w:jc w:val="center"/>
        <w:rPr>
          <w:rFonts w:hint="default" w:ascii="仿宋_GB2312" w:eastAsia="仿宋_GB2312"/>
          <w:b/>
          <w:sz w:val="52"/>
        </w:rPr>
      </w:pPr>
    </w:p>
    <w:p w14:paraId="03CC5214">
      <w:pPr>
        <w:pStyle w:val="6"/>
        <w:jc w:val="center"/>
        <w:rPr>
          <w:rFonts w:hint="default" w:ascii="Times New Roman" w:eastAsia="Times New Roman"/>
          <w:b/>
          <w:sz w:val="44"/>
          <w:u w:val="single"/>
        </w:rPr>
      </w:pPr>
    </w:p>
    <w:p w14:paraId="2E9F565D">
      <w:pPr>
        <w:pStyle w:val="6"/>
        <w:jc w:val="center"/>
        <w:rPr>
          <w:rFonts w:hint="default" w:ascii="Times New Roman" w:eastAsia="Times New Roman"/>
          <w:b/>
          <w:sz w:val="44"/>
          <w:u w:val="single"/>
        </w:rPr>
      </w:pPr>
    </w:p>
    <w:p w14:paraId="7487EEA4">
      <w:pPr>
        <w:pStyle w:val="6"/>
        <w:jc w:val="center"/>
        <w:rPr>
          <w:rFonts w:hint="default" w:ascii="Times New Roman" w:eastAsia="Times New Roman"/>
          <w:b/>
          <w:sz w:val="44"/>
          <w:u w:val="single"/>
        </w:rPr>
      </w:pPr>
    </w:p>
    <w:p w14:paraId="2AAA72B2">
      <w:pPr>
        <w:pStyle w:val="6"/>
        <w:jc w:val="center"/>
        <w:rPr>
          <w:rFonts w:hint="default" w:ascii="Times New Roman" w:eastAsia="Times New Roman"/>
          <w:b/>
          <w:sz w:val="44"/>
          <w:u w:val="single"/>
        </w:rPr>
      </w:pPr>
    </w:p>
    <w:p w14:paraId="1632E2C3">
      <w:pPr>
        <w:pStyle w:val="6"/>
        <w:jc w:val="center"/>
        <w:rPr>
          <w:rFonts w:hint="default" w:ascii="Times New Roman" w:eastAsia="Times New Roman"/>
          <w:b/>
          <w:sz w:val="44"/>
          <w:u w:val="single"/>
        </w:rPr>
      </w:pPr>
    </w:p>
    <w:p w14:paraId="1634FFE7">
      <w:pPr>
        <w:pStyle w:val="6"/>
        <w:jc w:val="center"/>
        <w:rPr>
          <w:rFonts w:hint="default" w:ascii="Times New Roman" w:eastAsia="Times New Roman"/>
          <w:b/>
          <w:sz w:val="44"/>
          <w:u w:val="single"/>
        </w:rPr>
      </w:pPr>
    </w:p>
    <w:p w14:paraId="4B2BC555">
      <w:pPr>
        <w:pStyle w:val="6"/>
        <w:jc w:val="center"/>
        <w:rPr>
          <w:rFonts w:hint="default" w:ascii="Times New Roman" w:eastAsia="Times New Roman"/>
          <w:b/>
          <w:sz w:val="44"/>
          <w:u w:val="single"/>
        </w:rPr>
      </w:pPr>
    </w:p>
    <w:p w14:paraId="3BE65AEA">
      <w:pPr>
        <w:pStyle w:val="6"/>
        <w:jc w:val="center"/>
        <w:rPr>
          <w:rFonts w:hint="default" w:ascii="Times New Roman" w:eastAsia="Times New Roman"/>
          <w:b/>
          <w:sz w:val="44"/>
          <w:u w:val="single"/>
        </w:rPr>
      </w:pPr>
    </w:p>
    <w:p w14:paraId="4B554754">
      <w:pPr>
        <w:pStyle w:val="6"/>
        <w:jc w:val="center"/>
        <w:rPr>
          <w:rFonts w:hint="default" w:ascii="Times New Roman" w:eastAsiaTheme="minorEastAsia"/>
          <w:b/>
          <w:sz w:val="44"/>
          <w:u w:val="single"/>
        </w:rPr>
      </w:pPr>
    </w:p>
    <w:p w14:paraId="656284ED">
      <w:pPr>
        <w:pStyle w:val="6"/>
        <w:jc w:val="center"/>
        <w:rPr>
          <w:rFonts w:ascii="Times New Roman" w:eastAsiaTheme="minorEastAsia"/>
          <w:b/>
          <w:sz w:val="44"/>
          <w:u w:val="single"/>
        </w:rPr>
      </w:pPr>
    </w:p>
    <w:p w14:paraId="11CF98DE">
      <w:pPr>
        <w:pStyle w:val="6"/>
        <w:spacing w:line="560" w:lineRule="exact"/>
        <w:jc w:val="center"/>
        <w:rPr>
          <w:rFonts w:ascii="Times New Roman" w:eastAsiaTheme="minorEastAsia"/>
          <w:b/>
          <w:sz w:val="44"/>
        </w:rPr>
      </w:pPr>
      <w:r>
        <w:rPr>
          <w:b/>
          <w:sz w:val="44"/>
        </w:rPr>
        <w:t>目</w:t>
      </w:r>
      <w:r>
        <w:rPr>
          <w:rFonts w:hint="default" w:ascii="Times New Roman" w:hAnsi="Times New Roman"/>
          <w:b/>
          <w:sz w:val="44"/>
        </w:rPr>
        <w:t xml:space="preserve">    </w:t>
      </w:r>
      <w:r>
        <w:rPr>
          <w:b/>
          <w:sz w:val="44"/>
        </w:rPr>
        <w:t>录</w:t>
      </w:r>
    </w:p>
    <w:p w14:paraId="1C910735">
      <w:pPr>
        <w:pStyle w:val="6"/>
        <w:spacing w:line="560" w:lineRule="exact"/>
        <w:rPr>
          <w:rFonts w:hint="default" w:ascii="黑体" w:eastAsia="黑体"/>
          <w:sz w:val="32"/>
        </w:rPr>
      </w:pPr>
      <w:r>
        <w:rPr>
          <w:rFonts w:ascii="黑体" w:eastAsia="黑体"/>
          <w:sz w:val="32"/>
        </w:rPr>
        <w:t>第一部分    沈阳市浑南区高坎街道办事处概况</w:t>
      </w:r>
    </w:p>
    <w:p w14:paraId="6BD5C143">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14:paraId="17EB0884">
      <w:pPr>
        <w:pStyle w:val="6"/>
        <w:spacing w:line="560" w:lineRule="exact"/>
        <w:rPr>
          <w:rFonts w:hint="default" w:ascii="仿宋_GB2312" w:eastAsia="仿宋_GB2312"/>
          <w:sz w:val="32"/>
        </w:rPr>
      </w:pPr>
      <w:r>
        <w:rPr>
          <w:rFonts w:ascii="仿宋_GB2312" w:eastAsia="仿宋_GB2312"/>
          <w:sz w:val="32"/>
        </w:rPr>
        <w:t>二、决算单位构成</w:t>
      </w:r>
    </w:p>
    <w:p w14:paraId="6E86D093">
      <w:pPr>
        <w:pStyle w:val="6"/>
        <w:spacing w:line="560" w:lineRule="exact"/>
        <w:rPr>
          <w:rFonts w:hint="default" w:ascii="黑体" w:eastAsia="黑体"/>
          <w:sz w:val="32"/>
        </w:rPr>
      </w:pPr>
      <w:r>
        <w:rPr>
          <w:rFonts w:ascii="黑体" w:eastAsia="黑体"/>
          <w:sz w:val="32"/>
        </w:rPr>
        <w:t>第二部分    沈阳市浑南区高坎街道办事处2021年决算情况说明</w:t>
      </w:r>
    </w:p>
    <w:p w14:paraId="7D86949D">
      <w:pPr>
        <w:pStyle w:val="6"/>
        <w:spacing w:line="560" w:lineRule="exact"/>
        <w:rPr>
          <w:rFonts w:hint="default" w:ascii="仿宋_GB2312" w:eastAsia="仿宋_GB2312"/>
          <w:sz w:val="32"/>
        </w:rPr>
      </w:pPr>
      <w:r>
        <w:rPr>
          <w:rFonts w:ascii="仿宋_GB2312" w:eastAsia="仿宋_GB2312"/>
          <w:sz w:val="32"/>
        </w:rPr>
        <w:t>一、收入支出决算总体情况说明</w:t>
      </w:r>
    </w:p>
    <w:p w14:paraId="5D83AB3F">
      <w:pPr>
        <w:pStyle w:val="6"/>
        <w:spacing w:line="560" w:lineRule="exact"/>
        <w:rPr>
          <w:rFonts w:hint="default" w:ascii="仿宋_GB2312" w:eastAsia="仿宋_GB2312"/>
          <w:sz w:val="32"/>
        </w:rPr>
      </w:pPr>
      <w:r>
        <w:rPr>
          <w:rFonts w:ascii="仿宋_GB2312" w:eastAsia="仿宋_GB2312"/>
          <w:sz w:val="32"/>
        </w:rPr>
        <w:t>二、财政拨款收入支出决算情况说明</w:t>
      </w:r>
    </w:p>
    <w:p w14:paraId="60E56327">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14:paraId="5D2B68CD">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14:paraId="51099DAB">
      <w:pPr>
        <w:pStyle w:val="6"/>
        <w:spacing w:line="560" w:lineRule="exact"/>
        <w:rPr>
          <w:rFonts w:hint="default" w:ascii="黑体" w:eastAsia="黑体"/>
          <w:sz w:val="32"/>
        </w:rPr>
      </w:pPr>
      <w:r>
        <w:rPr>
          <w:rFonts w:ascii="仿宋_GB2312" w:eastAsia="仿宋_GB2312"/>
          <w:sz w:val="32"/>
        </w:rPr>
        <w:t>五、其他重要事项的情况说明</w:t>
      </w:r>
    </w:p>
    <w:p w14:paraId="61D6DAC9">
      <w:pPr>
        <w:pStyle w:val="6"/>
        <w:spacing w:line="560" w:lineRule="exact"/>
        <w:rPr>
          <w:rFonts w:hint="default" w:ascii="黑体" w:eastAsia="黑体"/>
          <w:sz w:val="32"/>
        </w:rPr>
      </w:pPr>
      <w:r>
        <w:rPr>
          <w:rFonts w:ascii="黑体" w:eastAsia="黑体"/>
          <w:sz w:val="32"/>
        </w:rPr>
        <w:t>第三部分    名词解释</w:t>
      </w:r>
    </w:p>
    <w:p w14:paraId="4F33F29B">
      <w:pPr>
        <w:pStyle w:val="6"/>
        <w:spacing w:line="560" w:lineRule="exact"/>
        <w:rPr>
          <w:rFonts w:hint="default" w:ascii="黑体" w:eastAsia="黑体"/>
          <w:sz w:val="32"/>
        </w:rPr>
      </w:pPr>
      <w:r>
        <w:rPr>
          <w:rFonts w:ascii="黑体" w:eastAsia="黑体"/>
          <w:sz w:val="32"/>
        </w:rPr>
        <w:t>第四部分    沈阳市浑南区高坎街道办事处2021年决算报表</w:t>
      </w:r>
    </w:p>
    <w:p w14:paraId="266B00F5">
      <w:pPr>
        <w:pStyle w:val="6"/>
        <w:spacing w:line="560" w:lineRule="exact"/>
        <w:rPr>
          <w:rFonts w:hint="default" w:ascii="仿宋_GB2312" w:eastAsia="仿宋_GB2312"/>
          <w:sz w:val="32"/>
        </w:rPr>
      </w:pPr>
      <w:r>
        <w:rPr>
          <w:rFonts w:ascii="仿宋_GB2312" w:eastAsia="仿宋_GB2312"/>
          <w:sz w:val="32"/>
        </w:rPr>
        <w:t>一、2021年度收入支出决算总表</w:t>
      </w:r>
    </w:p>
    <w:p w14:paraId="0F1C1EC7">
      <w:pPr>
        <w:pStyle w:val="6"/>
        <w:spacing w:line="560" w:lineRule="exact"/>
        <w:rPr>
          <w:rFonts w:hint="default" w:ascii="仿宋_GB2312" w:eastAsia="仿宋_GB2312"/>
          <w:sz w:val="32"/>
        </w:rPr>
      </w:pPr>
      <w:r>
        <w:rPr>
          <w:rFonts w:ascii="仿宋_GB2312" w:eastAsia="仿宋_GB2312"/>
          <w:sz w:val="32"/>
        </w:rPr>
        <w:t>二、2021年度收入决算表</w:t>
      </w:r>
    </w:p>
    <w:p w14:paraId="38B824BE">
      <w:pPr>
        <w:pStyle w:val="6"/>
        <w:spacing w:line="560" w:lineRule="exact"/>
        <w:rPr>
          <w:rFonts w:hint="default" w:ascii="仿宋_GB2312" w:eastAsia="仿宋_GB2312"/>
          <w:sz w:val="32"/>
        </w:rPr>
      </w:pPr>
      <w:r>
        <w:rPr>
          <w:rFonts w:ascii="仿宋_GB2312" w:eastAsia="仿宋_GB2312"/>
          <w:sz w:val="32"/>
        </w:rPr>
        <w:t>三、2021年度支出决算表</w:t>
      </w:r>
    </w:p>
    <w:p w14:paraId="60549697">
      <w:pPr>
        <w:pStyle w:val="6"/>
        <w:spacing w:line="560" w:lineRule="exact"/>
        <w:rPr>
          <w:rFonts w:hint="default" w:ascii="仿宋_GB2312" w:eastAsia="仿宋_GB2312"/>
          <w:sz w:val="32"/>
        </w:rPr>
      </w:pPr>
      <w:r>
        <w:rPr>
          <w:rFonts w:ascii="仿宋_GB2312" w:eastAsia="仿宋_GB2312"/>
          <w:sz w:val="32"/>
        </w:rPr>
        <w:t>四、2021年度财政拨款收入支出决算总表</w:t>
      </w:r>
    </w:p>
    <w:p w14:paraId="631B6996">
      <w:pPr>
        <w:pStyle w:val="6"/>
        <w:spacing w:line="560" w:lineRule="exact"/>
        <w:rPr>
          <w:rFonts w:hint="default" w:ascii="仿宋_GB2312" w:eastAsia="仿宋_GB2312"/>
          <w:sz w:val="32"/>
        </w:rPr>
      </w:pPr>
      <w:r>
        <w:rPr>
          <w:rFonts w:ascii="仿宋_GB2312" w:eastAsia="仿宋_GB2312"/>
          <w:sz w:val="32"/>
        </w:rPr>
        <w:t>五、2021年度一般公共预算财政拨款支出决算表</w:t>
      </w:r>
    </w:p>
    <w:p w14:paraId="1288C38F">
      <w:pPr>
        <w:pStyle w:val="6"/>
        <w:spacing w:line="560" w:lineRule="exact"/>
        <w:rPr>
          <w:rFonts w:hint="default" w:ascii="仿宋_GB2312" w:eastAsia="仿宋_GB2312"/>
          <w:sz w:val="32"/>
        </w:rPr>
      </w:pPr>
      <w:r>
        <w:rPr>
          <w:rFonts w:ascii="仿宋_GB2312" w:eastAsia="仿宋_GB2312"/>
          <w:sz w:val="32"/>
        </w:rPr>
        <w:t>六、2021年度一般公共预算财政拨款基本支出决算表</w:t>
      </w:r>
    </w:p>
    <w:p w14:paraId="6A286152">
      <w:pPr>
        <w:pStyle w:val="6"/>
        <w:spacing w:line="560" w:lineRule="exact"/>
        <w:rPr>
          <w:rFonts w:hint="default" w:ascii="仿宋_GB2312" w:eastAsia="仿宋_GB2312"/>
          <w:sz w:val="32"/>
        </w:rPr>
      </w:pPr>
      <w:r>
        <w:rPr>
          <w:rFonts w:ascii="仿宋_GB2312" w:eastAsia="仿宋_GB2312"/>
          <w:sz w:val="32"/>
        </w:rPr>
        <w:t>七、2021年度政府性基金预算财政拨款收入支出决算表</w:t>
      </w:r>
    </w:p>
    <w:p w14:paraId="305912A7">
      <w:pPr>
        <w:pStyle w:val="6"/>
        <w:spacing w:line="560" w:lineRule="exact"/>
        <w:rPr>
          <w:rFonts w:hint="default" w:ascii="仿宋_GB2312" w:eastAsia="仿宋_GB2312"/>
          <w:sz w:val="32"/>
        </w:rPr>
      </w:pPr>
      <w:r>
        <w:rPr>
          <w:rFonts w:ascii="仿宋_GB2312" w:eastAsia="仿宋_GB2312"/>
          <w:sz w:val="32"/>
        </w:rPr>
        <w:t>八、2021年度一般公共预算财政拨款“三公”经费支出决算表</w:t>
      </w:r>
    </w:p>
    <w:p w14:paraId="1719A6B0">
      <w:pPr>
        <w:pStyle w:val="6"/>
        <w:spacing w:line="560" w:lineRule="exact"/>
        <w:rPr>
          <w:rFonts w:ascii="仿宋_GB2312" w:eastAsia="仿宋_GB2312"/>
          <w:sz w:val="32"/>
        </w:rPr>
      </w:pPr>
      <w:r>
        <w:rPr>
          <w:rFonts w:ascii="仿宋_GB2312" w:eastAsia="仿宋_GB2312"/>
          <w:sz w:val="32"/>
        </w:rPr>
        <w:t>九、2021年度国有资本经营预算财政拨款支出决算表</w:t>
      </w:r>
    </w:p>
    <w:p w14:paraId="3E5E3C67">
      <w:pPr>
        <w:pStyle w:val="6"/>
        <w:spacing w:line="560" w:lineRule="exact"/>
        <w:jc w:val="center"/>
        <w:rPr>
          <w:rFonts w:hint="default"/>
          <w:b/>
          <w:sz w:val="36"/>
        </w:rPr>
      </w:pPr>
      <w:r>
        <w:rPr>
          <w:b/>
          <w:sz w:val="36"/>
        </w:rPr>
        <w:t>第一部分 沈阳市浑南区高坎街道办事处概况</w:t>
      </w:r>
    </w:p>
    <w:p w14:paraId="5DA6AD98">
      <w:pPr>
        <w:pStyle w:val="6"/>
        <w:spacing w:line="560" w:lineRule="exact"/>
        <w:ind w:firstLine="640"/>
        <w:rPr>
          <w:rFonts w:hint="default" w:ascii="黑体" w:eastAsia="黑体"/>
          <w:sz w:val="32"/>
        </w:rPr>
      </w:pPr>
    </w:p>
    <w:p w14:paraId="79960127">
      <w:pPr>
        <w:pStyle w:val="6"/>
        <w:spacing w:line="560" w:lineRule="exact"/>
        <w:ind w:firstLine="640"/>
        <w:rPr>
          <w:rFonts w:hint="default" w:ascii="黑体" w:eastAsia="黑体"/>
          <w:sz w:val="32"/>
        </w:rPr>
      </w:pPr>
      <w:r>
        <w:rPr>
          <w:rFonts w:ascii="黑体" w:eastAsia="黑体"/>
          <w:sz w:val="32"/>
        </w:rPr>
        <w:t>一、主要职责</w:t>
      </w:r>
    </w:p>
    <w:p w14:paraId="43429582">
      <w:pPr>
        <w:pStyle w:val="6"/>
        <w:spacing w:line="560" w:lineRule="exact"/>
        <w:ind w:firstLine="640"/>
        <w:rPr>
          <w:rFonts w:hint="default" w:ascii="仿宋_GB2312" w:eastAsia="仿宋_GB2312"/>
          <w:sz w:val="32"/>
        </w:rPr>
      </w:pPr>
      <w:r>
        <w:rPr>
          <w:rFonts w:ascii="仿宋_GB2312" w:eastAsia="仿宋_GB2312"/>
          <w:sz w:val="32"/>
        </w:rPr>
        <w:t>贯彻执行党和国家的路线、方针、政策、法律、法规和上级党委、政府的决定、决议，根据法律法规和县级党委、政府授权，围绕党的建设、社会治理、公共服务、城市管理等全面履行职能，紧扣城市基层治理，聚焦基层党建等重点工作以及就业和社会保障、医疗保障、不动产登记、社会救助、户籍管理、危(旧)房改造、园林绿化、环境卫生、市容市貌等群众关心关注的民生工作，切实把工作重心转到抓党建、抓治理、抓服务和营造良好发展环境上来。厘清街道办事处与居民委员会、农村集体经济组织的权责边界。</w:t>
      </w:r>
    </w:p>
    <w:p w14:paraId="55338C86">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14:paraId="100CBAA4">
      <w:pPr>
        <w:pStyle w:val="6"/>
        <w:spacing w:line="560" w:lineRule="exact"/>
        <w:ind w:firstLine="640"/>
        <w:rPr>
          <w:rFonts w:hint="default" w:ascii="黑体" w:eastAsia="黑体"/>
          <w:sz w:val="32"/>
        </w:rPr>
      </w:pPr>
      <w:r>
        <w:rPr>
          <w:rFonts w:ascii="仿宋_GB2312" w:eastAsia="仿宋_GB2312"/>
          <w:b w:val="0"/>
          <w:bCs w:val="0"/>
          <w:sz w:val="32"/>
          <w:szCs w:val="32"/>
        </w:rPr>
        <w:t>纳入本单位2021年决算编制范围的是浑南区高坎街道办事处本级，本单位无下设机构</w:t>
      </w:r>
      <w:r>
        <w:rPr>
          <w:rFonts w:ascii="仿宋_GB2312" w:eastAsia="仿宋_GB2312"/>
          <w:b/>
          <w:bCs/>
          <w:sz w:val="32"/>
          <w:szCs w:val="32"/>
        </w:rPr>
        <w:t>。</w:t>
      </w:r>
    </w:p>
    <w:p w14:paraId="1AE8C5DE">
      <w:pPr>
        <w:pStyle w:val="6"/>
        <w:spacing w:line="560" w:lineRule="exact"/>
        <w:rPr>
          <w:rFonts w:hint="default"/>
          <w:b/>
          <w:sz w:val="36"/>
        </w:rPr>
      </w:pPr>
    </w:p>
    <w:p w14:paraId="6A4A046B">
      <w:pPr>
        <w:pStyle w:val="6"/>
        <w:spacing w:line="560" w:lineRule="exact"/>
        <w:jc w:val="center"/>
        <w:rPr>
          <w:rFonts w:hint="default"/>
          <w:b/>
          <w:sz w:val="36"/>
        </w:rPr>
      </w:pPr>
      <w:r>
        <w:rPr>
          <w:b/>
          <w:sz w:val="36"/>
        </w:rPr>
        <w:t>第二部分 沈阳市浑南区高坎街道办事处</w:t>
      </w:r>
    </w:p>
    <w:p w14:paraId="447DC158">
      <w:pPr>
        <w:pStyle w:val="6"/>
        <w:spacing w:line="560" w:lineRule="exact"/>
        <w:jc w:val="center"/>
        <w:rPr>
          <w:rFonts w:hint="default"/>
          <w:b/>
          <w:sz w:val="36"/>
        </w:rPr>
      </w:pPr>
      <w:r>
        <w:rPr>
          <w:b/>
          <w:sz w:val="36"/>
        </w:rPr>
        <w:t xml:space="preserve">      2021年决算情况说明</w:t>
      </w:r>
    </w:p>
    <w:p w14:paraId="475991B9">
      <w:pPr>
        <w:pStyle w:val="6"/>
        <w:spacing w:line="560" w:lineRule="exact"/>
        <w:ind w:firstLine="640" w:firstLineChars="200"/>
        <w:rPr>
          <w:rFonts w:hint="default" w:ascii="黑体" w:eastAsia="黑体"/>
          <w:sz w:val="32"/>
        </w:rPr>
      </w:pPr>
    </w:p>
    <w:p w14:paraId="5E2E5503">
      <w:pPr>
        <w:spacing w:line="540" w:lineRule="exact"/>
        <w:ind w:firstLine="627" w:firstLineChars="196"/>
        <w:rPr>
          <w:rFonts w:hint="default" w:ascii="黑体" w:hAnsi="黑体" w:eastAsia="黑体"/>
          <w:b/>
          <w:bCs/>
          <w:color w:val="FF0000"/>
          <w:sz w:val="32"/>
          <w:szCs w:val="32"/>
        </w:rPr>
      </w:pPr>
      <w:r>
        <w:rPr>
          <w:rFonts w:ascii="黑体" w:eastAsia="黑体"/>
          <w:sz w:val="32"/>
        </w:rPr>
        <w:t>一、收入支出决算总体情况说明</w:t>
      </w:r>
    </w:p>
    <w:p w14:paraId="57A48329">
      <w:pPr>
        <w:spacing w:line="540" w:lineRule="exact"/>
        <w:ind w:firstLine="630" w:firstLineChars="196"/>
        <w:rPr>
          <w:rFonts w:hint="default" w:ascii="楷体_GB2312" w:eastAsia="楷体_GB2312"/>
          <w:b/>
          <w:sz w:val="32"/>
        </w:rPr>
      </w:pPr>
      <w:r>
        <w:rPr>
          <w:rFonts w:ascii="楷体_GB2312" w:eastAsia="楷体_GB2312"/>
          <w:b/>
          <w:sz w:val="32"/>
        </w:rPr>
        <w:t>（一）收入总计4997.04万元，包括：</w:t>
      </w:r>
    </w:p>
    <w:p w14:paraId="4332DDEC">
      <w:pPr>
        <w:pStyle w:val="6"/>
        <w:spacing w:line="560" w:lineRule="exact"/>
        <w:ind w:firstLine="660"/>
        <w:rPr>
          <w:rFonts w:hint="default" w:ascii="仿宋_GB2312" w:eastAsia="仿宋_GB2312"/>
          <w:sz w:val="32"/>
        </w:rPr>
      </w:pPr>
      <w:r>
        <w:rPr>
          <w:rFonts w:ascii="仿宋_GB2312" w:eastAsia="仿宋_GB2312"/>
          <w:sz w:val="32"/>
        </w:rPr>
        <w:t>1.财政拨款收入4833.61万元，占收入总计的96.73%。其中：一般公共预算财政拨款收入3477.13万元，政府性基金收入1356.48万元，国有资本经营预算财政拨款收入0万元。</w:t>
      </w:r>
    </w:p>
    <w:p w14:paraId="0E47D325">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.上年结转和结余163.43万元，占收入总计的3.27%。</w:t>
      </w:r>
      <w:r>
        <w:rPr>
          <w:rFonts w:ascii="仿宋_GB2312" w:eastAsia="仿宋_GB2312"/>
          <w:sz w:val="32"/>
          <w:szCs w:val="32"/>
        </w:rPr>
        <w:t>主要是2019年壮大村集体经济财政奖补金、征地和拆迁补偿金等形成的以前年度结余</w:t>
      </w:r>
      <w:r>
        <w:rPr>
          <w:rFonts w:ascii="仿宋_GB2312" w:eastAsia="仿宋_GB2312"/>
          <w:sz w:val="32"/>
        </w:rPr>
        <w:t>。</w:t>
      </w:r>
    </w:p>
    <w:p w14:paraId="63F93C0A">
      <w:pPr>
        <w:pStyle w:val="6"/>
        <w:spacing w:line="560" w:lineRule="exact"/>
        <w:ind w:firstLine="660"/>
        <w:rPr>
          <w:rFonts w:hint="default" w:ascii="仿宋_GB2312" w:eastAsia="仿宋_GB2312"/>
          <w:sz w:val="32"/>
        </w:rPr>
      </w:pPr>
      <w:r>
        <w:rPr>
          <w:rFonts w:ascii="仿宋_GB2312" w:eastAsia="仿宋_GB2312"/>
          <w:sz w:val="32"/>
        </w:rPr>
        <w:t>与上年相比，今年收入减少6184.98万元，降低55.31%，主要原因：</w:t>
      </w:r>
      <w:r>
        <w:rPr>
          <w:rFonts w:ascii="黑体" w:eastAsia="黑体"/>
          <w:sz w:val="32"/>
        </w:rPr>
        <w:t>一是</w:t>
      </w:r>
      <w:r>
        <w:rPr>
          <w:rFonts w:ascii="黑体" w:hAnsi="黑体" w:eastAsia="黑体"/>
          <w:sz w:val="32"/>
          <w:szCs w:val="32"/>
        </w:rPr>
        <w:t>征地和拆迁补偿项目的减少</w:t>
      </w:r>
      <w:r>
        <w:rPr>
          <w:rFonts w:ascii="仿宋_GB2312" w:eastAsia="仿宋_GB2312"/>
          <w:sz w:val="32"/>
        </w:rPr>
        <w:t>；</w:t>
      </w:r>
      <w:r>
        <w:rPr>
          <w:rFonts w:ascii="黑体" w:eastAsia="黑体"/>
          <w:sz w:val="32"/>
        </w:rPr>
        <w:t>二是以前年度结转结余减少</w:t>
      </w:r>
      <w:r>
        <w:rPr>
          <w:rFonts w:ascii="仿宋_GB2312" w:eastAsia="仿宋_GB2312"/>
          <w:sz w:val="32"/>
        </w:rPr>
        <w:t>。</w:t>
      </w:r>
    </w:p>
    <w:p w14:paraId="333B1155">
      <w:pPr>
        <w:pStyle w:val="6"/>
        <w:spacing w:line="560" w:lineRule="exact"/>
        <w:ind w:firstLine="660"/>
        <w:rPr>
          <w:rFonts w:hint="default" w:ascii="楷体_GB2312" w:eastAsia="楷体_GB2312"/>
          <w:b/>
          <w:sz w:val="32"/>
        </w:rPr>
      </w:pPr>
      <w:r>
        <w:rPr>
          <w:rFonts w:ascii="楷体_GB2312" w:eastAsia="楷体_GB2312"/>
          <w:b/>
          <w:sz w:val="32"/>
        </w:rPr>
        <w:t>（二）支出总计4962.48万元，包括：</w:t>
      </w:r>
    </w:p>
    <w:p w14:paraId="1AAD9801">
      <w:pPr>
        <w:pStyle w:val="6"/>
        <w:spacing w:line="560" w:lineRule="exact"/>
        <w:ind w:firstLine="660"/>
        <w:rPr>
          <w:rFonts w:hint="default" w:ascii="仿宋_GB2312" w:eastAsia="仿宋_GB2312"/>
          <w:sz w:val="32"/>
        </w:rPr>
      </w:pPr>
      <w:r>
        <w:rPr>
          <w:rFonts w:ascii="仿宋_GB2312" w:eastAsia="仿宋_GB2312"/>
          <w:sz w:val="32"/>
        </w:rPr>
        <w:t>1.基本支出519.51万元，占支出总计的10.47%。主要是为保障机构正常运转、完成日常工作任务而发生的各项支出，其中：工资福利支出406.13万元，对个人和家庭的补助支出8.31万元，商品和服务支出103.08万元，资本性支出1.98万元。</w:t>
      </w:r>
    </w:p>
    <w:p w14:paraId="7263490B">
      <w:pPr>
        <w:pStyle w:val="6"/>
        <w:spacing w:line="560" w:lineRule="exact"/>
        <w:ind w:firstLine="660"/>
        <w:rPr>
          <w:rFonts w:hint="default" w:ascii="仿宋_GB2312" w:eastAsia="仿宋_GB2312"/>
          <w:sz w:val="32"/>
        </w:rPr>
      </w:pPr>
      <w:r>
        <w:rPr>
          <w:rFonts w:ascii="仿宋_GB2312" w:eastAsia="仿宋_GB2312"/>
          <w:sz w:val="32"/>
        </w:rPr>
        <w:t>2.项目支出4442.97万元，占支出总计的89.53%。主要包括其他农村生活救助、征地和拆迁补偿、其他节能环保、信访事务等业务支出。</w:t>
      </w:r>
    </w:p>
    <w:p w14:paraId="78E44B54">
      <w:pPr>
        <w:pStyle w:val="6"/>
        <w:spacing w:line="560" w:lineRule="exact"/>
        <w:ind w:firstLine="660"/>
        <w:rPr>
          <w:rFonts w:hint="default" w:ascii="仿宋_GB2312" w:eastAsia="仿宋_GB2312"/>
          <w:sz w:val="32"/>
        </w:rPr>
      </w:pPr>
      <w:r>
        <w:rPr>
          <w:rFonts w:ascii="仿宋_GB2312" w:eastAsia="仿宋_GB2312"/>
          <w:sz w:val="32"/>
        </w:rPr>
        <w:t>与上年相比，今年支出减少6056.44万元，降低54.96%，主要原因：</w:t>
      </w:r>
      <w:r>
        <w:rPr>
          <w:rFonts w:ascii="黑体" w:eastAsia="黑体"/>
          <w:sz w:val="32"/>
        </w:rPr>
        <w:t>一是征地和拆迁补偿支出减少</w:t>
      </w:r>
      <w:r>
        <w:rPr>
          <w:rFonts w:ascii="仿宋_GB2312" w:eastAsia="仿宋_GB2312"/>
          <w:sz w:val="32"/>
        </w:rPr>
        <w:t>；</w:t>
      </w:r>
      <w:r>
        <w:rPr>
          <w:rFonts w:ascii="黑体" w:eastAsia="黑体"/>
          <w:sz w:val="32"/>
        </w:rPr>
        <w:t>二是机动经费等支出减少</w:t>
      </w:r>
      <w:r>
        <w:rPr>
          <w:rFonts w:ascii="仿宋_GB2312" w:eastAsia="仿宋_GB2312"/>
          <w:sz w:val="32"/>
        </w:rPr>
        <w:t>。</w:t>
      </w:r>
    </w:p>
    <w:p w14:paraId="7133E89A">
      <w:pPr>
        <w:pStyle w:val="6"/>
        <w:spacing w:line="560" w:lineRule="exact"/>
        <w:ind w:firstLine="660"/>
        <w:rPr>
          <w:rFonts w:hint="default" w:ascii="楷体_GB2312" w:eastAsia="楷体_GB2312"/>
          <w:b/>
          <w:sz w:val="32"/>
        </w:rPr>
      </w:pPr>
      <w:r>
        <w:rPr>
          <w:rFonts w:ascii="楷体_GB2312" w:eastAsia="楷体_GB2312"/>
          <w:b/>
          <w:sz w:val="32"/>
        </w:rPr>
        <w:t>（三）年末结转和结余34.57万元</w:t>
      </w:r>
    </w:p>
    <w:p w14:paraId="5E7A5F4E">
      <w:pPr>
        <w:pStyle w:val="6"/>
        <w:spacing w:line="560" w:lineRule="exact"/>
        <w:ind w:firstLine="660"/>
        <w:rPr>
          <w:rFonts w:hint="default" w:ascii="仿宋_GB2312" w:eastAsia="仿宋_GB2312"/>
          <w:sz w:val="32"/>
        </w:rPr>
      </w:pPr>
      <w:r>
        <w:rPr>
          <w:rFonts w:ascii="仿宋_GB2312" w:eastAsia="仿宋_GB2312"/>
          <w:sz w:val="32"/>
        </w:rPr>
        <w:t>主要是以前年度基本人员类经费、信访事务等原因形成的结余。与上年相比，今年结转结余减少128.86万元，降低78.85%，主要原因：</w:t>
      </w:r>
      <w:r>
        <w:rPr>
          <w:rFonts w:ascii="黑体" w:eastAsia="黑体"/>
          <w:sz w:val="32"/>
        </w:rPr>
        <w:t>一是对以前年度达到付款条件的项目资金及时付款；二是结余准备返还财政</w:t>
      </w:r>
      <w:r>
        <w:rPr>
          <w:rFonts w:ascii="仿宋_GB2312" w:eastAsia="仿宋_GB2312"/>
          <w:sz w:val="32"/>
        </w:rPr>
        <w:t>。</w:t>
      </w:r>
    </w:p>
    <w:p w14:paraId="1F81BAA2">
      <w:pPr>
        <w:pStyle w:val="6"/>
        <w:spacing w:line="560" w:lineRule="exact"/>
        <w:ind w:firstLine="660"/>
        <w:rPr>
          <w:rFonts w:hint="default" w:ascii="黑体" w:eastAsia="黑体"/>
          <w:sz w:val="32"/>
        </w:rPr>
      </w:pPr>
      <w:r>
        <w:rPr>
          <w:rFonts w:ascii="黑体" w:eastAsia="黑体"/>
          <w:sz w:val="32"/>
        </w:rPr>
        <w:t>二、财政拨款收入支出决算情况说明</w:t>
      </w:r>
    </w:p>
    <w:p w14:paraId="759644EB">
      <w:pPr>
        <w:pStyle w:val="6"/>
        <w:spacing w:line="560" w:lineRule="exact"/>
        <w:ind w:firstLine="660"/>
        <w:rPr>
          <w:rFonts w:hint="default" w:ascii="楷体_GB2312" w:eastAsia="楷体_GB2312"/>
          <w:b/>
          <w:sz w:val="32"/>
        </w:rPr>
      </w:pPr>
      <w:r>
        <w:rPr>
          <w:rFonts w:ascii="楷体_GB2312" w:eastAsia="楷体_GB2312"/>
          <w:b/>
          <w:sz w:val="32"/>
        </w:rPr>
        <w:t>（一）总体情况</w:t>
      </w:r>
    </w:p>
    <w:p w14:paraId="66E27F5A">
      <w:pPr>
        <w:pStyle w:val="6"/>
        <w:spacing w:line="560" w:lineRule="exact"/>
        <w:ind w:firstLine="660"/>
        <w:rPr>
          <w:rFonts w:hint="default" w:ascii="仿宋_GB2312" w:eastAsia="仿宋_GB2312"/>
          <w:sz w:val="32"/>
        </w:rPr>
      </w:pPr>
      <w:r>
        <w:rPr>
          <w:rFonts w:ascii="仿宋_GB2312" w:eastAsia="仿宋_GB2312"/>
          <w:sz w:val="32"/>
        </w:rPr>
        <w:t>2021年度财政拨款支出4962.48万元，其中：基本支出519.51万元，项目支出4442.97万元。与上年相比，财政拨款支出减少6056.44万元，降低54.96%，主要原因：</w:t>
      </w:r>
      <w:r>
        <w:rPr>
          <w:rFonts w:ascii="黑体" w:eastAsia="黑体"/>
          <w:sz w:val="32"/>
        </w:rPr>
        <w:t>一是征地和拆迁补偿支出减少</w:t>
      </w:r>
      <w:r>
        <w:rPr>
          <w:rFonts w:ascii="仿宋_GB2312" w:eastAsia="仿宋_GB2312"/>
          <w:sz w:val="32"/>
        </w:rPr>
        <w:t>；</w:t>
      </w:r>
      <w:r>
        <w:rPr>
          <w:rFonts w:ascii="黑体" w:eastAsia="黑体"/>
          <w:sz w:val="32"/>
        </w:rPr>
        <w:t>二是机动经费等支出减少</w:t>
      </w:r>
      <w:r>
        <w:rPr>
          <w:rFonts w:ascii="仿宋_GB2312" w:eastAsia="仿宋_GB2312"/>
          <w:sz w:val="32"/>
        </w:rPr>
        <w:t>。与年初预算相比，2021年度财政拨款支出完成年初预算的215.53%，其中：基本支出完成年初预算的67.33%，项目支出完成年初预算的290.22%。</w:t>
      </w:r>
    </w:p>
    <w:p w14:paraId="1AF4521D">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（二）一般公共预算财政拨款支出情况。</w:t>
      </w:r>
    </w:p>
    <w:p w14:paraId="7B6B8E5C">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一般公共预算财政拨款支出3588.98万元，按支出功能分类科目分，包括：一般公共服务支出997.16万元，占27.78%。国防支出1.94万，占0.05%。文化旅游体育与传媒支出2.5万元，占0.06%。社会保障和就业支出630.25万元，占17.56%。卫生健康支出79.6万元，占2.22%。节能环保支出857.78万元，占23.9%。城乡社区支出342.97万元，占9.56%。农林水支出526.31万元，占14.67%。交通运输支出10.24万元，占0.29%。住房保障支出84.55万元，占2.36%。灾害防治及应急管理支出55.69万元，占1.55%。</w:t>
      </w:r>
    </w:p>
    <w:p w14:paraId="4D28788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1.一般公共服务支出997.16万元，具体包括：</w:t>
      </w:r>
    </w:p>
    <w:p w14:paraId="76C6B615">
      <w:pPr>
        <w:spacing w:line="560" w:lineRule="exact"/>
        <w:ind w:firstLine="660"/>
        <w:rPr>
          <w:rFonts w:hint="default" w:ascii="仿宋_GB2312" w:hAnsi="宋体" w:eastAsia="仿宋_GB2312"/>
          <w:sz w:val="32"/>
          <w:szCs w:val="32"/>
        </w:rPr>
      </w:pPr>
      <w:r>
        <w:rPr>
          <w:rFonts w:ascii="仿宋_GB2312" w:hAnsi="宋体" w:eastAsia="仿宋_GB2312"/>
          <w:sz w:val="32"/>
          <w:szCs w:val="32"/>
        </w:rPr>
        <w:t>（1）一般公共服务支出（类）人大事务（款）其他人大事务支出（项）8.56万元，主要是人大换届选举工作经费等支出</w:t>
      </w:r>
      <w:r>
        <w:rPr>
          <w:rFonts w:hint="eastAsia" w:ascii="仿宋_GB2312" w:hAnsi="宋体" w:eastAsia="仿宋_GB2312"/>
          <w:sz w:val="32"/>
          <w:szCs w:val="32"/>
          <w:lang w:eastAsia="zh-CN"/>
        </w:rPr>
        <w:t>。</w:t>
      </w:r>
      <w:r>
        <w:rPr>
          <w:rFonts w:ascii="仿宋_GB2312" w:hAnsi="宋体" w:eastAsia="仿宋_GB2312"/>
          <w:sz w:val="32"/>
          <w:szCs w:val="32"/>
        </w:rPr>
        <w:t>与预算项目的编码不一致，</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15923A1D">
      <w:pPr>
        <w:spacing w:line="560" w:lineRule="exact"/>
        <w:ind w:firstLine="660"/>
        <w:rPr>
          <w:rFonts w:hint="default" w:ascii="仿宋_GB2312" w:hAnsi="宋体" w:eastAsia="仿宋_GB2312"/>
          <w:sz w:val="32"/>
          <w:szCs w:val="32"/>
        </w:rPr>
      </w:pPr>
      <w:r>
        <w:rPr>
          <w:rFonts w:ascii="仿宋_GB2312" w:hAnsi="宋体" w:eastAsia="仿宋_GB2312"/>
          <w:sz w:val="32"/>
          <w:szCs w:val="32"/>
        </w:rPr>
        <w:t>（2）一般公共服务支出（类）政府办公厅（室）及相关机构事务（款）行政运行（项）360.12万元，主要是职工工资、遗属补贴、伙食补助、保证街道正常运转的人员经费、办公经费、水电费等支出，完成年初预算的77.25%，决算数小于年初预算数的原因主要是街道人员增减变动导致职工工资津补贴变动、</w:t>
      </w:r>
      <w:r>
        <w:rPr>
          <w:rFonts w:hint="eastAsia" w:ascii="仿宋_GB2312" w:hAnsi="宋体" w:eastAsia="仿宋_GB2312"/>
          <w:sz w:val="32"/>
          <w:szCs w:val="32"/>
          <w:lang w:val="en-US" w:eastAsia="zh-CN"/>
        </w:rPr>
        <w:t>严格管控资金减少公用经费</w:t>
      </w:r>
      <w:r>
        <w:rPr>
          <w:rFonts w:ascii="仿宋_GB2312" w:hAnsi="宋体" w:eastAsia="仿宋_GB2312"/>
          <w:sz w:val="32"/>
          <w:szCs w:val="32"/>
        </w:rPr>
        <w:t>支出等。</w:t>
      </w:r>
    </w:p>
    <w:p w14:paraId="62735F2A">
      <w:pPr>
        <w:spacing w:line="560" w:lineRule="exact"/>
        <w:ind w:firstLine="660"/>
        <w:rPr>
          <w:rFonts w:hint="default" w:ascii="仿宋_GB2312" w:hAnsi="宋体" w:eastAsia="仿宋_GB2312"/>
          <w:sz w:val="32"/>
          <w:szCs w:val="32"/>
        </w:rPr>
      </w:pPr>
      <w:r>
        <w:rPr>
          <w:rFonts w:ascii="仿宋_GB2312" w:hAnsi="宋体" w:eastAsia="仿宋_GB2312"/>
          <w:sz w:val="32"/>
          <w:szCs w:val="32"/>
        </w:rPr>
        <w:t>（3）一般公共服务支出（类）政府办公厅（室）及相关机构事务（款）一般行政管理事务（项）267.88万元，主要是绩效工资、国家卫生城市复审工作经费、村财工作经费等支出，完成年初预算的94.74%，决算数小于年初预算数的原因主要是街道人员增减变动、</w:t>
      </w:r>
      <w:r>
        <w:rPr>
          <w:rFonts w:hint="eastAsia" w:ascii="仿宋_GB2312" w:hAnsi="宋体" w:eastAsia="仿宋_GB2312"/>
          <w:sz w:val="32"/>
          <w:szCs w:val="32"/>
          <w:lang w:val="en-US" w:eastAsia="zh-CN"/>
        </w:rPr>
        <w:t>严格管控资金减少经费</w:t>
      </w:r>
      <w:r>
        <w:rPr>
          <w:rFonts w:ascii="仿宋_GB2312" w:hAnsi="宋体" w:eastAsia="仿宋_GB2312"/>
          <w:sz w:val="32"/>
          <w:szCs w:val="32"/>
        </w:rPr>
        <w:t>支出等。</w:t>
      </w:r>
    </w:p>
    <w:p w14:paraId="66D21074">
      <w:pPr>
        <w:spacing w:line="560" w:lineRule="exact"/>
        <w:ind w:firstLine="660"/>
        <w:rPr>
          <w:rFonts w:hint="default" w:ascii="仿宋_GB2312" w:hAnsi="宋体" w:eastAsia="仿宋_GB2312"/>
          <w:sz w:val="32"/>
          <w:szCs w:val="32"/>
        </w:rPr>
      </w:pPr>
      <w:r>
        <w:rPr>
          <w:rFonts w:ascii="仿宋_GB2312" w:hAnsi="宋体" w:eastAsia="仿宋_GB2312"/>
          <w:sz w:val="32"/>
          <w:szCs w:val="32"/>
        </w:rPr>
        <w:t>（4）一般公共服务支出（类）政府办公厅（室）及相关机构事务（款）信访事务（项）259.08万元，主要是街道解决上访人员困难救助等相关支出。完成年初预算的719.67%，决算数大于年初预算数的原因主要是街道信访事件多，导致控访经费支出增加。</w:t>
      </w:r>
    </w:p>
    <w:p w14:paraId="38869F46">
      <w:pPr>
        <w:spacing w:line="560" w:lineRule="exact"/>
        <w:ind w:firstLine="660"/>
        <w:rPr>
          <w:rFonts w:hint="default" w:ascii="仿宋_GB2312" w:hAnsi="宋体" w:eastAsia="仿宋_GB2312"/>
          <w:sz w:val="32"/>
          <w:szCs w:val="32"/>
        </w:rPr>
      </w:pPr>
      <w:r>
        <w:rPr>
          <w:rFonts w:ascii="仿宋_GB2312" w:hAnsi="宋体" w:eastAsia="仿宋_GB2312"/>
          <w:sz w:val="32"/>
          <w:szCs w:val="32"/>
        </w:rPr>
        <w:t>（5）一般公共服务支出（类）政府办公厅（室）及相关机构事务（款）其他政府办公厅（室）及相关机构事务支出（项）62.2万元，主要是机动经费、内退及抗美援朝人员补助、综合治理经费等支出。完成年初预算的7.66%，决算数小于年初预算数的原因主要是预算项目的编码调整。</w:t>
      </w:r>
    </w:p>
    <w:p w14:paraId="42961CEC">
      <w:pPr>
        <w:spacing w:line="560" w:lineRule="exact"/>
        <w:ind w:firstLine="660"/>
        <w:rPr>
          <w:rFonts w:hint="default" w:ascii="仿宋_GB2312" w:hAnsi="宋体" w:eastAsia="仿宋_GB2312"/>
          <w:sz w:val="32"/>
          <w:szCs w:val="32"/>
        </w:rPr>
      </w:pPr>
      <w:r>
        <w:rPr>
          <w:rFonts w:ascii="仿宋_GB2312" w:hAnsi="宋体" w:eastAsia="仿宋_GB2312"/>
          <w:sz w:val="32"/>
          <w:szCs w:val="32"/>
        </w:rPr>
        <w:t>（6）一般公共服务支出（类）财政事务（款）其他财政事务支出（项）2.57万元。主要是街道财务软件维护费、财务相关工作经费的支出。</w:t>
      </w:r>
      <w:r>
        <w:rPr>
          <w:rFonts w:hint="eastAsia" w:ascii="仿宋_GB2312" w:hAnsi="宋体" w:eastAsia="仿宋_GB2312"/>
          <w:sz w:val="32"/>
          <w:szCs w:val="32"/>
          <w:lang w:val="en-US" w:eastAsia="zh-CN"/>
        </w:rPr>
        <w:t>预算项目编码调整，年初无此编码预算</w:t>
      </w:r>
      <w:r>
        <w:rPr>
          <w:rFonts w:ascii="仿宋_GB2312" w:hAnsi="宋体" w:eastAsia="仿宋_GB2312"/>
          <w:sz w:val="32"/>
          <w:szCs w:val="32"/>
        </w:rPr>
        <w:t>。</w:t>
      </w:r>
    </w:p>
    <w:p w14:paraId="60F2BF8E">
      <w:pPr>
        <w:spacing w:line="560" w:lineRule="exact"/>
        <w:ind w:firstLine="660"/>
        <w:rPr>
          <w:rFonts w:hint="default" w:ascii="仿宋_GB2312" w:hAnsi="宋体" w:eastAsia="仿宋_GB2312"/>
          <w:sz w:val="32"/>
          <w:szCs w:val="32"/>
        </w:rPr>
      </w:pPr>
      <w:r>
        <w:rPr>
          <w:rFonts w:ascii="仿宋_GB2312" w:hAnsi="宋体" w:eastAsia="仿宋_GB2312"/>
          <w:sz w:val="32"/>
          <w:szCs w:val="32"/>
        </w:rPr>
        <w:t>（7）一般公共服务支出（类）纪检监察事务（款）一般行政管理事务（项）0.09万元。主要是2019年纪检监察办案经费的支出。</w:t>
      </w:r>
      <w:r>
        <w:rPr>
          <w:rFonts w:hint="eastAsia" w:ascii="仿宋_GB2312" w:hAnsi="宋体" w:eastAsia="仿宋_GB2312"/>
          <w:sz w:val="32"/>
          <w:szCs w:val="32"/>
          <w:lang w:val="en-US" w:eastAsia="zh-CN"/>
        </w:rPr>
        <w:t>年初无此项目预算，</w:t>
      </w:r>
      <w:r>
        <w:rPr>
          <w:rFonts w:ascii="仿宋_GB2312" w:hAnsi="宋体" w:eastAsia="仿宋_GB2312"/>
          <w:sz w:val="32"/>
          <w:szCs w:val="32"/>
        </w:rPr>
        <w:t>2019年的项目结余做返还财政处理。</w:t>
      </w:r>
    </w:p>
    <w:p w14:paraId="42BF78F0">
      <w:pPr>
        <w:spacing w:line="560" w:lineRule="exact"/>
        <w:ind w:firstLine="660"/>
        <w:rPr>
          <w:rFonts w:hint="default" w:ascii="仿宋_GB2312" w:hAnsi="宋体" w:eastAsia="仿宋_GB2312"/>
          <w:sz w:val="32"/>
          <w:szCs w:val="32"/>
        </w:rPr>
      </w:pPr>
      <w:r>
        <w:rPr>
          <w:rFonts w:ascii="仿宋_GB2312" w:hAnsi="宋体" w:eastAsia="仿宋_GB2312"/>
          <w:sz w:val="32"/>
          <w:szCs w:val="32"/>
        </w:rPr>
        <w:t>（8）一般公共服务支出（类）纪检监察事务（款）其他纪检监察事务支出（项）24.65万元。主要是正风肃纪监督员补助、纪检工作经费支出。完成年初预算的102.28%，决算数大于年初预算数的原因主要是正风肃纪监督员人员变化。</w:t>
      </w:r>
    </w:p>
    <w:p w14:paraId="30FA0858">
      <w:pPr>
        <w:spacing w:line="560" w:lineRule="exact"/>
        <w:ind w:firstLine="660"/>
        <w:rPr>
          <w:rFonts w:hint="default" w:ascii="仿宋_GB2312" w:hAnsi="宋体" w:eastAsia="仿宋_GB2312"/>
          <w:sz w:val="32"/>
          <w:szCs w:val="32"/>
        </w:rPr>
      </w:pPr>
      <w:r>
        <w:rPr>
          <w:rFonts w:ascii="仿宋_GB2312" w:hAnsi="宋体" w:eastAsia="仿宋_GB2312"/>
          <w:sz w:val="32"/>
          <w:szCs w:val="32"/>
        </w:rPr>
        <w:t>（9）一般公共服务支出（类）群众团体事务（款）其他群众团体事务支出（项）0.54万元。主要是群团工作经费支出。完成年初预算的54%，决算数小于年初预算数的原因主要是</w:t>
      </w:r>
      <w:r>
        <w:rPr>
          <w:rFonts w:hint="eastAsia" w:ascii="仿宋_GB2312" w:hAnsi="宋体" w:eastAsia="仿宋_GB2312"/>
          <w:sz w:val="32"/>
          <w:szCs w:val="32"/>
          <w:lang w:val="en-US" w:eastAsia="zh-CN"/>
        </w:rPr>
        <w:t>严格管控资金减少经费</w:t>
      </w:r>
      <w:r>
        <w:rPr>
          <w:rFonts w:ascii="仿宋_GB2312" w:hAnsi="宋体" w:eastAsia="仿宋_GB2312"/>
          <w:sz w:val="32"/>
          <w:szCs w:val="32"/>
        </w:rPr>
        <w:t>支出。</w:t>
      </w:r>
    </w:p>
    <w:p w14:paraId="4D15A495">
      <w:pPr>
        <w:spacing w:line="560" w:lineRule="exact"/>
        <w:ind w:firstLine="660"/>
        <w:rPr>
          <w:rFonts w:hint="default" w:ascii="仿宋_GB2312" w:hAnsi="宋体" w:eastAsia="仿宋_GB2312"/>
          <w:sz w:val="32"/>
          <w:szCs w:val="32"/>
        </w:rPr>
      </w:pPr>
      <w:r>
        <w:rPr>
          <w:rFonts w:ascii="仿宋_GB2312" w:hAnsi="宋体" w:eastAsia="仿宋_GB2312"/>
          <w:sz w:val="32"/>
          <w:szCs w:val="32"/>
        </w:rPr>
        <w:t>（10）一般公共服务支出（类）党委办公厅（室）及相关机构事务（款）其他党委办公厅（室）及相关机构事务支出7.13万元。主要是街道党建活动</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订购党建书籍等</w:t>
      </w:r>
      <w:r>
        <w:rPr>
          <w:rFonts w:ascii="仿宋_GB2312" w:hAnsi="宋体" w:eastAsia="仿宋_GB2312"/>
          <w:sz w:val="32"/>
          <w:szCs w:val="32"/>
        </w:rPr>
        <w:t>支出。完成年初预算的142.6%，决算数大于年初预算数的原因主要是</w:t>
      </w:r>
      <w:r>
        <w:rPr>
          <w:rFonts w:hint="eastAsia" w:ascii="仿宋_GB2312" w:hAnsi="宋体" w:eastAsia="仿宋_GB2312"/>
          <w:sz w:val="32"/>
          <w:szCs w:val="32"/>
          <w:lang w:val="en-US" w:eastAsia="zh-CN"/>
        </w:rPr>
        <w:t>2019综合专项经费做返还财政处理</w:t>
      </w:r>
      <w:r>
        <w:rPr>
          <w:rFonts w:ascii="仿宋_GB2312" w:hAnsi="宋体" w:eastAsia="仿宋_GB2312"/>
          <w:sz w:val="32"/>
          <w:szCs w:val="32"/>
        </w:rPr>
        <w:t>。</w:t>
      </w:r>
    </w:p>
    <w:p w14:paraId="34EF1614">
      <w:pPr>
        <w:spacing w:line="560" w:lineRule="exact"/>
        <w:ind w:firstLine="660"/>
        <w:rPr>
          <w:rFonts w:hint="default" w:ascii="仿宋_GB2312" w:hAnsi="宋体" w:eastAsia="仿宋_GB2312"/>
          <w:sz w:val="32"/>
          <w:szCs w:val="32"/>
        </w:rPr>
      </w:pPr>
      <w:r>
        <w:rPr>
          <w:rFonts w:ascii="仿宋_GB2312" w:hAnsi="宋体" w:eastAsia="仿宋_GB2312"/>
          <w:sz w:val="32"/>
          <w:szCs w:val="32"/>
        </w:rPr>
        <w:t>（11）一般公共服务支出（类）组织事务（款）一般行政管理事务（项）0.39万元。主要是区直选派干部驻村补助支出。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05B209CA">
      <w:pPr>
        <w:spacing w:line="560" w:lineRule="exact"/>
        <w:ind w:firstLine="660"/>
        <w:rPr>
          <w:rFonts w:hint="default" w:ascii="仿宋_GB2312" w:hAnsi="宋体" w:eastAsia="仿宋_GB2312"/>
          <w:sz w:val="32"/>
          <w:szCs w:val="32"/>
        </w:rPr>
      </w:pPr>
      <w:r>
        <w:rPr>
          <w:rFonts w:ascii="仿宋_GB2312" w:hAnsi="宋体" w:eastAsia="仿宋_GB2312"/>
          <w:sz w:val="32"/>
          <w:szCs w:val="32"/>
        </w:rPr>
        <w:t>（12）一般公共服务支出（类）宣传事务（款）其他宣传事务支出（项）3万元。主要是宣传活动经费。完成年初预算的150%，决算数大于年初预算数的原因主要是创城、城市社区活动增加支出。</w:t>
      </w:r>
    </w:p>
    <w:p w14:paraId="28D333CE">
      <w:pPr>
        <w:spacing w:line="560" w:lineRule="exact"/>
        <w:ind w:firstLine="660"/>
        <w:rPr>
          <w:rFonts w:hint="default" w:ascii="仿宋_GB2312" w:hAnsi="宋体" w:eastAsia="仿宋_GB2312"/>
          <w:sz w:val="32"/>
          <w:szCs w:val="32"/>
        </w:rPr>
      </w:pPr>
      <w:r>
        <w:rPr>
          <w:rFonts w:ascii="仿宋_GB2312" w:hAnsi="宋体" w:eastAsia="仿宋_GB2312"/>
          <w:sz w:val="32"/>
          <w:szCs w:val="32"/>
        </w:rPr>
        <w:t>（13）一般公共服务支出（类）统战事务（款）其他统战事务支出（项）0.95万元。主要是统战活动经费。完成年初预算的190%，决算数大于年初预算数的原因主要是临时性经费支出增加。</w:t>
      </w:r>
    </w:p>
    <w:p w14:paraId="45E7A905">
      <w:pPr>
        <w:spacing w:line="560" w:lineRule="exact"/>
        <w:ind w:firstLine="660"/>
        <w:rPr>
          <w:rFonts w:hint="default" w:ascii="仿宋_GB2312" w:hAnsi="宋体" w:eastAsia="仿宋_GB2312"/>
          <w:sz w:val="32"/>
          <w:szCs w:val="32"/>
        </w:rPr>
      </w:pPr>
      <w:r>
        <w:rPr>
          <w:rFonts w:ascii="仿宋_GB2312" w:hAnsi="宋体" w:eastAsia="仿宋_GB2312"/>
          <w:sz w:val="32"/>
          <w:szCs w:val="32"/>
        </w:rPr>
        <w:t>2.国防支出1.94万，具体包括：</w:t>
      </w:r>
    </w:p>
    <w:p w14:paraId="706DB38F">
      <w:pPr>
        <w:spacing w:line="560" w:lineRule="exact"/>
        <w:ind w:firstLine="660"/>
        <w:rPr>
          <w:rFonts w:hint="default" w:ascii="仿宋_GB2312" w:hAnsi="宋体" w:eastAsia="仿宋_GB2312"/>
          <w:sz w:val="32"/>
          <w:szCs w:val="32"/>
        </w:rPr>
      </w:pPr>
      <w:r>
        <w:rPr>
          <w:rFonts w:ascii="仿宋_GB2312" w:hAnsi="宋体" w:eastAsia="仿宋_GB2312"/>
          <w:sz w:val="32"/>
          <w:szCs w:val="32"/>
        </w:rPr>
        <w:t>（1）国防支出（类）国防动员（款）其他国防动员支出（项）1.94万元。主要是武装工作经费支出。完成年初预算的129.33%，决算数大于年初预算数的原因是增加基干民兵战备服装及物资贮备等支出。</w:t>
      </w:r>
    </w:p>
    <w:p w14:paraId="466CEFFD">
      <w:pPr>
        <w:spacing w:line="560" w:lineRule="exact"/>
        <w:ind w:firstLine="660"/>
        <w:rPr>
          <w:rFonts w:hint="default" w:ascii="仿宋_GB2312" w:hAnsi="宋体" w:eastAsia="仿宋_GB2312"/>
          <w:sz w:val="32"/>
          <w:szCs w:val="32"/>
        </w:rPr>
      </w:pPr>
      <w:r>
        <w:rPr>
          <w:rFonts w:ascii="仿宋_GB2312" w:hAnsi="宋体" w:eastAsia="仿宋_GB2312"/>
          <w:sz w:val="32"/>
          <w:szCs w:val="32"/>
        </w:rPr>
        <w:t>3.文化旅游体育与传媒支出2.5万元，具体包括：</w:t>
      </w:r>
    </w:p>
    <w:p w14:paraId="63453583">
      <w:pPr>
        <w:spacing w:line="560" w:lineRule="exact"/>
        <w:ind w:firstLine="640" w:firstLineChars="200"/>
        <w:rPr>
          <w:rFonts w:hint="default" w:ascii="仿宋_GB2312" w:hAnsi="宋体" w:eastAsia="仿宋_GB2312"/>
          <w:sz w:val="32"/>
          <w:szCs w:val="32"/>
        </w:rPr>
      </w:pPr>
      <w:r>
        <w:rPr>
          <w:rFonts w:ascii="仿宋_GB2312" w:hAnsi="宋体" w:eastAsia="仿宋_GB2312"/>
          <w:sz w:val="32"/>
          <w:szCs w:val="32"/>
        </w:rPr>
        <w:t>（1）文化旅游体育与传媒支出（类）文化和旅游（款）其他文化和旅游支出（项）2.5万元。主要是文体活动经费支出。完成年初预算的100%。</w:t>
      </w:r>
    </w:p>
    <w:p w14:paraId="7151282A">
      <w:pPr>
        <w:spacing w:line="560" w:lineRule="exact"/>
        <w:ind w:firstLine="660"/>
        <w:rPr>
          <w:rFonts w:hint="default" w:ascii="仿宋_GB2312" w:hAnsi="宋体" w:eastAsia="仿宋_GB2312"/>
          <w:sz w:val="32"/>
          <w:szCs w:val="32"/>
        </w:rPr>
      </w:pPr>
      <w:r>
        <w:rPr>
          <w:rFonts w:ascii="仿宋_GB2312" w:hAnsi="宋体" w:eastAsia="仿宋_GB2312"/>
          <w:sz w:val="32"/>
          <w:szCs w:val="32"/>
        </w:rPr>
        <w:t>4.社会保障和就业支出630.25万元，具体包括：</w:t>
      </w:r>
    </w:p>
    <w:p w14:paraId="356E507A">
      <w:pPr>
        <w:spacing w:line="560" w:lineRule="exact"/>
        <w:ind w:firstLine="660"/>
        <w:rPr>
          <w:rFonts w:hint="default" w:ascii="仿宋_GB2312" w:hAnsi="宋体" w:eastAsia="仿宋_GB2312"/>
          <w:sz w:val="32"/>
          <w:szCs w:val="32"/>
        </w:rPr>
      </w:pPr>
      <w:r>
        <w:rPr>
          <w:rFonts w:ascii="仿宋_GB2312" w:hAnsi="宋体" w:eastAsia="仿宋_GB2312"/>
          <w:sz w:val="32"/>
          <w:szCs w:val="32"/>
        </w:rPr>
        <w:t>（1）社会保障和就业支出（类）民政管理事务（款）基层政权建设和社区治理（项）37.5万元。主要是城市社区办公、水电等工作经费、党建工作经费支出。完成年初预算的137.61%。决算数大于年初预算数的原因是城市社区工作经费的支出增加。</w:t>
      </w:r>
    </w:p>
    <w:p w14:paraId="6E879801">
      <w:pPr>
        <w:spacing w:line="540" w:lineRule="exact"/>
        <w:ind w:firstLine="640"/>
        <w:rPr>
          <w:rFonts w:hint="default" w:ascii="仿宋_GB2312" w:hAnsi="宋体" w:eastAsia="仿宋_GB2312"/>
          <w:sz w:val="32"/>
          <w:szCs w:val="32"/>
        </w:rPr>
      </w:pPr>
      <w:r>
        <w:rPr>
          <w:rFonts w:ascii="仿宋_GB2312" w:hAnsi="宋体" w:eastAsia="仿宋_GB2312"/>
          <w:sz w:val="32"/>
          <w:szCs w:val="32"/>
        </w:rPr>
        <w:t>（2）社会保障和就业支出（类）行政事业单位养老支出（款）行政单位离退休（项）6.06万元。主要是街道退休人员采暖费补贴，完成年初预算的100.83%，决算数大于年初预算数的原因是退休人员增加。</w:t>
      </w:r>
    </w:p>
    <w:p w14:paraId="75E60B1D">
      <w:pPr>
        <w:spacing w:line="540" w:lineRule="exact"/>
        <w:ind w:firstLine="640"/>
        <w:rPr>
          <w:rFonts w:hint="default" w:ascii="仿宋_GB2312" w:hAnsi="宋体" w:eastAsia="仿宋_GB2312"/>
          <w:sz w:val="32"/>
          <w:szCs w:val="32"/>
        </w:rPr>
      </w:pPr>
      <w:r>
        <w:rPr>
          <w:rFonts w:ascii="仿宋_GB2312" w:hAnsi="宋体" w:eastAsia="仿宋_GB2312"/>
          <w:sz w:val="32"/>
          <w:szCs w:val="32"/>
        </w:rPr>
        <w:t>（3）社会保障和就业支出（类）行政事业单位养老支出（款）机关事业单位基本养老保险缴费支出（项）35.26万元。主要是街道人员养老保险经费，完成年初预算的109.61%，决算数大于年初预算数的原因是街道人员变动，养老保险缴费基数的变化等。</w:t>
      </w:r>
    </w:p>
    <w:p w14:paraId="588617E3">
      <w:pPr>
        <w:spacing w:line="540" w:lineRule="exact"/>
        <w:ind w:firstLine="640"/>
        <w:rPr>
          <w:rFonts w:hint="default" w:ascii="仿宋_GB2312" w:hAnsi="宋体" w:eastAsia="仿宋_GB2312"/>
          <w:sz w:val="32"/>
          <w:szCs w:val="32"/>
        </w:rPr>
      </w:pPr>
      <w:r>
        <w:rPr>
          <w:rFonts w:ascii="仿宋_GB2312" w:hAnsi="宋体" w:eastAsia="仿宋_GB2312"/>
          <w:sz w:val="32"/>
          <w:szCs w:val="32"/>
        </w:rPr>
        <w:t>（4）社会保障和就业支出（类）行政事业单位养老支出（款）机关事业单位职业年金缴费支出（项）10.81万元。完成年初预算的69.52%，决算数小于年初预算数的原因是在职人员暂时只缴纳个人部分，对当年退休人员补缴单位部分及利息款。</w:t>
      </w:r>
    </w:p>
    <w:p w14:paraId="4846564E">
      <w:pPr>
        <w:spacing w:line="540" w:lineRule="exact"/>
        <w:ind w:firstLine="640"/>
        <w:rPr>
          <w:rFonts w:hint="default" w:ascii="仿宋_GB2312" w:hAnsi="宋体" w:eastAsia="仿宋_GB2312"/>
          <w:sz w:val="32"/>
          <w:szCs w:val="32"/>
        </w:rPr>
      </w:pPr>
      <w:r>
        <w:rPr>
          <w:rFonts w:ascii="仿宋_GB2312" w:hAnsi="宋体" w:eastAsia="仿宋_GB2312"/>
          <w:sz w:val="32"/>
          <w:szCs w:val="32"/>
        </w:rPr>
        <w:t>（5）社会保障和就业支出（类）抚恤（款）死亡抚恤（项）24.26万元。主要是街道人员丧葬费抚恤金支出，年初无预算。</w:t>
      </w:r>
    </w:p>
    <w:p w14:paraId="1DA33E17">
      <w:pPr>
        <w:spacing w:line="540" w:lineRule="exact"/>
        <w:ind w:firstLine="640"/>
        <w:rPr>
          <w:rFonts w:hint="default" w:ascii="仿宋_GB2312" w:hAnsi="宋体" w:eastAsia="仿宋_GB2312"/>
          <w:sz w:val="32"/>
          <w:szCs w:val="32"/>
        </w:rPr>
      </w:pPr>
      <w:r>
        <w:rPr>
          <w:rFonts w:ascii="仿宋_GB2312" w:hAnsi="宋体" w:eastAsia="仿宋_GB2312"/>
          <w:sz w:val="32"/>
          <w:szCs w:val="32"/>
        </w:rPr>
        <w:t>（6）社会保障和就业支出（类）其他生活救助（款）其他农村生活救助（项）514.05万元。完成年初预算的17135%，主要是解决街道历史遗留问题人员的补助，决算数大于年初预算数的原因是预算项目的编码调整。</w:t>
      </w:r>
    </w:p>
    <w:p w14:paraId="1671478E">
      <w:pPr>
        <w:spacing w:line="540" w:lineRule="exact"/>
        <w:ind w:firstLine="640"/>
        <w:rPr>
          <w:rFonts w:hint="default" w:ascii="仿宋_GB2312" w:hAnsi="宋体" w:eastAsia="仿宋_GB2312"/>
          <w:sz w:val="32"/>
          <w:szCs w:val="32"/>
        </w:rPr>
      </w:pPr>
      <w:r>
        <w:rPr>
          <w:rFonts w:ascii="仿宋_GB2312" w:hAnsi="宋体" w:eastAsia="仿宋_GB2312"/>
          <w:sz w:val="32"/>
          <w:szCs w:val="32"/>
        </w:rPr>
        <w:t>（7）社会保障和就业支出（类）其他社会保障和就业支出（款）其他社会保障和就业支出（项）2.31万元。主要是困难群体救助专项支出，</w:t>
      </w:r>
      <w:r>
        <w:rPr>
          <w:rFonts w:hint="eastAsia" w:ascii="仿宋_GB2312" w:hAnsi="宋体" w:eastAsia="仿宋_GB2312"/>
          <w:sz w:val="32"/>
          <w:szCs w:val="32"/>
          <w:lang w:val="en-US" w:eastAsia="zh-CN"/>
        </w:rPr>
        <w:t>年初无此项预算，</w:t>
      </w:r>
      <w:r>
        <w:rPr>
          <w:rFonts w:ascii="仿宋_GB2312" w:hAnsi="宋体" w:eastAsia="仿宋_GB2312"/>
          <w:sz w:val="32"/>
          <w:szCs w:val="32"/>
        </w:rPr>
        <w:t>2020年的项目结余做返还财政的处理。</w:t>
      </w:r>
    </w:p>
    <w:p w14:paraId="0EB66CAC">
      <w:pPr>
        <w:spacing w:line="560" w:lineRule="exact"/>
        <w:ind w:firstLine="660"/>
        <w:rPr>
          <w:rFonts w:hint="default" w:ascii="仿宋_GB2312" w:hAnsi="宋体" w:eastAsia="仿宋_GB2312"/>
          <w:sz w:val="32"/>
          <w:szCs w:val="32"/>
        </w:rPr>
      </w:pPr>
      <w:r>
        <w:rPr>
          <w:rFonts w:ascii="仿宋_GB2312" w:hAnsi="宋体" w:eastAsia="仿宋_GB2312"/>
          <w:sz w:val="32"/>
          <w:szCs w:val="32"/>
        </w:rPr>
        <w:t>5.卫生健康支出79.6万元，具体包括：</w:t>
      </w:r>
    </w:p>
    <w:p w14:paraId="7B78F884">
      <w:pPr>
        <w:spacing w:line="560" w:lineRule="exact"/>
        <w:ind w:firstLine="660"/>
        <w:rPr>
          <w:rFonts w:hint="default" w:ascii="仿宋_GB2312" w:hAnsi="宋体" w:eastAsia="仿宋_GB2312"/>
          <w:sz w:val="32"/>
          <w:szCs w:val="32"/>
        </w:rPr>
      </w:pPr>
      <w:r>
        <w:rPr>
          <w:rFonts w:ascii="仿宋_GB2312" w:hAnsi="宋体" w:eastAsia="仿宋_GB2312"/>
          <w:sz w:val="32"/>
          <w:szCs w:val="32"/>
        </w:rPr>
        <w:t>（1）卫生健康支出（类）基层医疗卫生机构（款）其他基层医疗卫生机构支出（项）7.9万元。主要是社区新建卫生室工程支出，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6CC9837B">
      <w:pPr>
        <w:spacing w:line="560" w:lineRule="exact"/>
        <w:ind w:firstLine="660"/>
        <w:rPr>
          <w:rFonts w:hint="default" w:ascii="仿宋_GB2312" w:hAnsi="宋体" w:eastAsia="仿宋_GB2312"/>
          <w:sz w:val="32"/>
          <w:szCs w:val="32"/>
        </w:rPr>
      </w:pPr>
      <w:r>
        <w:rPr>
          <w:rFonts w:ascii="仿宋_GB2312" w:hAnsi="宋体" w:eastAsia="仿宋_GB2312"/>
          <w:sz w:val="32"/>
          <w:szCs w:val="32"/>
        </w:rPr>
        <w:t>（2）卫生健康支出（类）公共卫生（款）重大公共卫生服务（项）9.9万元。主要是核酸检测人员餐费支出。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15C86E46">
      <w:pPr>
        <w:spacing w:line="540" w:lineRule="exact"/>
        <w:ind w:firstLine="640"/>
        <w:rPr>
          <w:rFonts w:hint="default" w:ascii="仿宋_GB2312" w:hAnsi="宋体" w:eastAsia="仿宋_GB2312"/>
          <w:sz w:val="32"/>
          <w:szCs w:val="32"/>
        </w:rPr>
      </w:pPr>
      <w:r>
        <w:rPr>
          <w:rFonts w:ascii="仿宋_GB2312" w:hAnsi="宋体" w:eastAsia="仿宋_GB2312"/>
          <w:sz w:val="32"/>
          <w:szCs w:val="32"/>
        </w:rPr>
        <w:t>（3）卫生健康支出（类）公共卫生（款）突发公共卫生事件应急处理（项）39.99万元。主要是疫情防控相关经费支出，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66CDE327">
      <w:pPr>
        <w:spacing w:line="540" w:lineRule="exact"/>
        <w:ind w:firstLine="640"/>
        <w:rPr>
          <w:rFonts w:hint="default" w:ascii="仿宋_GB2312" w:hAnsi="宋体" w:eastAsia="仿宋_GB2312"/>
          <w:sz w:val="32"/>
          <w:szCs w:val="32"/>
        </w:rPr>
      </w:pPr>
      <w:r>
        <w:rPr>
          <w:rFonts w:ascii="仿宋_GB2312" w:hAnsi="宋体" w:eastAsia="仿宋_GB2312"/>
          <w:sz w:val="32"/>
          <w:szCs w:val="32"/>
        </w:rPr>
        <w:t>（4）卫生健康支出（类）计划生育事务（款）其他计划生育事务支出（项）0.2万元。主要是计划生育工作经费支出，完成年初预算的40%，决算数小于年初预算数的原因主要是此为2019年的项目结余做返还财政的处理。</w:t>
      </w:r>
    </w:p>
    <w:p w14:paraId="07B14DCD">
      <w:pPr>
        <w:spacing w:line="540" w:lineRule="exact"/>
        <w:ind w:firstLine="640"/>
        <w:rPr>
          <w:rFonts w:hint="default" w:ascii="仿宋_GB2312" w:hAnsi="宋体" w:eastAsia="仿宋_GB2312"/>
          <w:sz w:val="32"/>
          <w:szCs w:val="32"/>
        </w:rPr>
      </w:pPr>
      <w:r>
        <w:rPr>
          <w:rFonts w:ascii="仿宋_GB2312" w:hAnsi="宋体" w:eastAsia="仿宋_GB2312"/>
          <w:sz w:val="32"/>
          <w:szCs w:val="32"/>
        </w:rPr>
        <w:t>（5）卫生健康支出（类）行政事业单位医疗（款）行政单位医疗（项）18.88万元。主要是街道在职人员医疗保险单位费用支出。完成年初预算的113.67%，决算数大于年初预算数的原因主要是街道人员变动，医保基数调增。</w:t>
      </w:r>
    </w:p>
    <w:p w14:paraId="601C08EB">
      <w:pPr>
        <w:spacing w:line="540" w:lineRule="exact"/>
        <w:ind w:firstLine="640"/>
        <w:rPr>
          <w:rFonts w:hint="default" w:ascii="仿宋_GB2312" w:hAnsi="宋体" w:eastAsia="仿宋_GB2312"/>
          <w:sz w:val="32"/>
          <w:szCs w:val="32"/>
        </w:rPr>
      </w:pPr>
      <w:r>
        <w:rPr>
          <w:rFonts w:ascii="仿宋_GB2312" w:hAnsi="宋体" w:eastAsia="仿宋_GB2312"/>
          <w:sz w:val="32"/>
          <w:szCs w:val="32"/>
        </w:rPr>
        <w:t>（6）卫生健康支出（类）行政事业单位医疗（款）公务员医疗补助（项）2.73万。主要是街道在职及退休人员医疗补助支出。完成年初预算的100%。</w:t>
      </w:r>
    </w:p>
    <w:p w14:paraId="0AB5FD17">
      <w:pPr>
        <w:spacing w:line="560" w:lineRule="exact"/>
        <w:ind w:firstLine="660"/>
        <w:rPr>
          <w:rFonts w:hint="default" w:ascii="仿宋_GB2312" w:hAnsi="宋体" w:eastAsia="仿宋_GB2312"/>
          <w:sz w:val="32"/>
          <w:szCs w:val="32"/>
        </w:rPr>
      </w:pPr>
      <w:r>
        <w:rPr>
          <w:rFonts w:ascii="仿宋_GB2312" w:hAnsi="宋体" w:eastAsia="仿宋_GB2312"/>
          <w:sz w:val="32"/>
          <w:szCs w:val="32"/>
        </w:rPr>
        <w:t>6.节能环保支出857.78万元，具体包括：</w:t>
      </w:r>
    </w:p>
    <w:p w14:paraId="461911B6">
      <w:pPr>
        <w:spacing w:line="560" w:lineRule="exact"/>
        <w:ind w:firstLine="660"/>
        <w:rPr>
          <w:rFonts w:hint="default" w:ascii="仿宋_GB2312" w:hAnsi="宋体" w:eastAsia="仿宋_GB2312"/>
          <w:sz w:val="32"/>
          <w:szCs w:val="32"/>
        </w:rPr>
      </w:pPr>
      <w:r>
        <w:rPr>
          <w:rFonts w:ascii="仿宋_GB2312" w:hAnsi="宋体" w:eastAsia="仿宋_GB2312"/>
          <w:sz w:val="32"/>
          <w:szCs w:val="32"/>
        </w:rPr>
        <w:t>（1）节能环保支出（类）其他节能环保支出（款）其他节能环保支出（项）857.78万元。主要是禁养圈舍补偿支出。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无此项预算。</w:t>
      </w:r>
    </w:p>
    <w:p w14:paraId="5E21FF2D">
      <w:pPr>
        <w:spacing w:line="560" w:lineRule="exact"/>
        <w:ind w:firstLine="660"/>
        <w:rPr>
          <w:rFonts w:hint="default" w:ascii="仿宋_GB2312" w:hAnsi="宋体" w:eastAsia="仿宋_GB2312"/>
          <w:sz w:val="32"/>
          <w:szCs w:val="32"/>
        </w:rPr>
      </w:pPr>
      <w:r>
        <w:rPr>
          <w:rFonts w:ascii="仿宋_GB2312" w:hAnsi="宋体" w:eastAsia="仿宋_GB2312"/>
          <w:sz w:val="32"/>
          <w:szCs w:val="32"/>
        </w:rPr>
        <w:t>7.城乡社区支出342.97万元，具体包括：</w:t>
      </w:r>
    </w:p>
    <w:p w14:paraId="6AF1532F">
      <w:pPr>
        <w:spacing w:line="560" w:lineRule="exact"/>
        <w:ind w:firstLine="660"/>
        <w:rPr>
          <w:rFonts w:hint="default" w:ascii="仿宋_GB2312" w:hAnsi="宋体" w:eastAsia="仿宋_GB2312"/>
          <w:sz w:val="32"/>
          <w:szCs w:val="32"/>
        </w:rPr>
      </w:pPr>
      <w:r>
        <w:rPr>
          <w:rFonts w:ascii="仿宋_GB2312" w:hAnsi="宋体" w:eastAsia="仿宋_GB2312"/>
          <w:sz w:val="32"/>
          <w:szCs w:val="32"/>
        </w:rPr>
        <w:t>（1）城乡社区支出（类）城乡社区管理事务（款）一般行政管理事务（项）30万元。主要是拆除违建项目测量费等城市管理工作经费支出。完成年初预算的100%。</w:t>
      </w:r>
    </w:p>
    <w:p w14:paraId="6202D2D0">
      <w:pPr>
        <w:spacing w:line="560" w:lineRule="exact"/>
        <w:ind w:firstLine="660"/>
        <w:rPr>
          <w:rFonts w:hint="default" w:ascii="仿宋_GB2312" w:hAnsi="宋体" w:eastAsia="仿宋_GB2312"/>
          <w:sz w:val="32"/>
          <w:szCs w:val="32"/>
        </w:rPr>
      </w:pPr>
      <w:r>
        <w:rPr>
          <w:rFonts w:ascii="仿宋_GB2312" w:hAnsi="宋体" w:eastAsia="仿宋_GB2312"/>
          <w:sz w:val="32"/>
          <w:szCs w:val="32"/>
        </w:rPr>
        <w:t>（2）城乡社区支出（类）城乡社区管理事务（款）城管执法（项）22.4万元。主要是治理乱排、乱卸工作经费支出。完成年初预算的89.6%。决算数小于年初预算数的原因是</w:t>
      </w:r>
      <w:r>
        <w:rPr>
          <w:rFonts w:hint="eastAsia" w:ascii="仿宋_GB2312" w:hAnsi="宋体" w:eastAsia="仿宋_GB2312"/>
          <w:sz w:val="32"/>
          <w:szCs w:val="32"/>
          <w:lang w:val="en-US" w:eastAsia="zh-CN"/>
        </w:rPr>
        <w:t>严格资金管控，减少</w:t>
      </w:r>
      <w:r>
        <w:rPr>
          <w:rFonts w:ascii="仿宋_GB2312" w:hAnsi="宋体" w:eastAsia="仿宋_GB2312"/>
          <w:sz w:val="32"/>
          <w:szCs w:val="32"/>
        </w:rPr>
        <w:t>经费的支出。</w:t>
      </w:r>
    </w:p>
    <w:p w14:paraId="1867D9AD">
      <w:pPr>
        <w:spacing w:line="560" w:lineRule="exact"/>
        <w:ind w:firstLine="660"/>
        <w:rPr>
          <w:rFonts w:hint="default" w:ascii="仿宋_GB2312" w:hAnsi="宋体" w:eastAsia="仿宋_GB2312"/>
          <w:sz w:val="32"/>
          <w:szCs w:val="32"/>
        </w:rPr>
      </w:pPr>
      <w:r>
        <w:rPr>
          <w:rFonts w:ascii="仿宋_GB2312" w:hAnsi="宋体" w:eastAsia="仿宋_GB2312"/>
          <w:sz w:val="32"/>
          <w:szCs w:val="32"/>
        </w:rPr>
        <w:t>（3）城乡社区支出（类）城乡社区管理事务（款）其他城乡社区管理事务支出（项）67.23万元。主要是征收人员工作加班补助、车补等支出。完成年初预算的74.7%。决</w:t>
      </w:r>
      <w:bookmarkStart w:id="0" w:name="_GoBack"/>
      <w:bookmarkEnd w:id="0"/>
      <w:r>
        <w:rPr>
          <w:rFonts w:ascii="仿宋_GB2312" w:hAnsi="宋体" w:eastAsia="仿宋_GB2312"/>
          <w:sz w:val="32"/>
          <w:szCs w:val="32"/>
        </w:rPr>
        <w:t>算数小于年初预算数的原因是征收人员变动以及控制项目经费的支出。</w:t>
      </w:r>
    </w:p>
    <w:p w14:paraId="1EB70FA7">
      <w:pPr>
        <w:spacing w:line="560" w:lineRule="exact"/>
        <w:ind w:firstLine="660"/>
        <w:rPr>
          <w:rFonts w:hint="default" w:ascii="仿宋_GB2312" w:hAnsi="宋体" w:eastAsia="仿宋_GB2312"/>
          <w:sz w:val="32"/>
          <w:szCs w:val="32"/>
        </w:rPr>
      </w:pPr>
      <w:r>
        <w:rPr>
          <w:rFonts w:ascii="仿宋_GB2312" w:hAnsi="宋体" w:eastAsia="仿宋_GB2312"/>
          <w:sz w:val="32"/>
          <w:szCs w:val="32"/>
        </w:rPr>
        <w:t>（4）城乡社区支出（类）城乡社区环境卫生（款）城乡社区环境卫生（项）166.92万元。主要是拆除违建工作经费、清理河湖四乱专项支出。</w:t>
      </w:r>
      <w:r>
        <w:rPr>
          <w:rFonts w:hint="eastAsia" w:ascii="仿宋_GB2312" w:hAnsi="宋体" w:eastAsia="仿宋_GB2312"/>
          <w:sz w:val="32"/>
          <w:szCs w:val="32"/>
          <w:lang w:val="en-US" w:eastAsia="zh-CN"/>
        </w:rPr>
        <w:t>年初</w:t>
      </w:r>
      <w:r>
        <w:rPr>
          <w:rFonts w:ascii="仿宋_GB2312" w:hAnsi="宋体" w:eastAsia="仿宋_GB2312"/>
          <w:sz w:val="32"/>
          <w:szCs w:val="32"/>
        </w:rPr>
        <w:t>无此预算。</w:t>
      </w:r>
    </w:p>
    <w:p w14:paraId="7AF895A8">
      <w:pPr>
        <w:spacing w:line="560" w:lineRule="exact"/>
        <w:ind w:firstLine="660"/>
        <w:rPr>
          <w:rFonts w:hint="default" w:ascii="仿宋_GB2312" w:hAnsi="宋体" w:eastAsia="仿宋_GB2312"/>
          <w:sz w:val="32"/>
          <w:szCs w:val="32"/>
        </w:rPr>
      </w:pPr>
      <w:r>
        <w:rPr>
          <w:rFonts w:ascii="仿宋_GB2312" w:hAnsi="宋体" w:eastAsia="仿宋_GB2312"/>
          <w:sz w:val="32"/>
          <w:szCs w:val="32"/>
        </w:rPr>
        <w:t>（5）城乡社区支出（类）其他城乡社区支出（款）其他城乡社区支出（项）56.42万元。主要是防疫卡点无物业小区封闭管理人工费、清理维修排水设施等应对突发事件的机动经费支出。完成年初预算的503.75%。决算数大于年初预算数的原因是疫情防控、应急突发事件增加支出。</w:t>
      </w:r>
    </w:p>
    <w:p w14:paraId="69767D73">
      <w:pPr>
        <w:spacing w:line="560" w:lineRule="exact"/>
        <w:ind w:firstLine="660"/>
        <w:rPr>
          <w:rFonts w:hint="default" w:ascii="仿宋_GB2312" w:hAnsi="宋体" w:eastAsia="仿宋_GB2312"/>
          <w:sz w:val="32"/>
          <w:szCs w:val="32"/>
        </w:rPr>
      </w:pPr>
      <w:r>
        <w:rPr>
          <w:rFonts w:ascii="仿宋_GB2312" w:hAnsi="宋体" w:eastAsia="仿宋_GB2312"/>
          <w:sz w:val="32"/>
          <w:szCs w:val="32"/>
        </w:rPr>
        <w:t>8.农林水支出526.31万元，具体包括：</w:t>
      </w:r>
    </w:p>
    <w:p w14:paraId="02418E65">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（1）农林水支出（类）农业农村（款）一般行政管理事务（项）17.05万元。主要是涉农社区田间作业路维修费支出。完成年初预算的</w:t>
      </w:r>
      <w:r>
        <w:rPr>
          <w:rFonts w:hint="eastAsia" w:ascii="仿宋_GB2312" w:hAnsi="宋体" w:eastAsia="仿宋_GB2312"/>
          <w:sz w:val="32"/>
          <w:szCs w:val="32"/>
          <w:lang w:val="en-US" w:eastAsia="zh-CN"/>
        </w:rPr>
        <w:t>99.71</w:t>
      </w:r>
      <w:r>
        <w:rPr>
          <w:rFonts w:ascii="仿宋_GB2312" w:hAnsi="宋体" w:eastAsia="仿宋_GB2312"/>
          <w:sz w:val="32"/>
          <w:szCs w:val="32"/>
        </w:rPr>
        <w:t>%。决算数</w:t>
      </w:r>
      <w:r>
        <w:rPr>
          <w:rFonts w:hint="eastAsia" w:ascii="仿宋_GB2312" w:hAnsi="宋体" w:eastAsia="仿宋_GB2312"/>
          <w:sz w:val="32"/>
          <w:szCs w:val="32"/>
          <w:lang w:val="en-US" w:eastAsia="zh-CN"/>
        </w:rPr>
        <w:t>小</w:t>
      </w:r>
      <w:r>
        <w:rPr>
          <w:rFonts w:ascii="仿宋_GB2312" w:hAnsi="宋体" w:eastAsia="仿宋_GB2312"/>
          <w:sz w:val="32"/>
          <w:szCs w:val="32"/>
        </w:rPr>
        <w:t>于年初预算数的原因是</w:t>
      </w:r>
      <w:r>
        <w:rPr>
          <w:rFonts w:hint="eastAsia" w:ascii="仿宋_GB2312" w:hAnsi="宋体" w:eastAsia="仿宋_GB2312"/>
          <w:sz w:val="32"/>
          <w:szCs w:val="32"/>
          <w:lang w:val="en-US" w:eastAsia="zh-CN"/>
        </w:rPr>
        <w:t>加强资金管控，减少经费支出。</w:t>
      </w:r>
    </w:p>
    <w:p w14:paraId="71C12B46">
      <w:pPr>
        <w:spacing w:line="560" w:lineRule="exact"/>
        <w:ind w:firstLine="660"/>
        <w:rPr>
          <w:rFonts w:hint="default" w:ascii="仿宋_GB2312" w:hAnsi="宋体" w:eastAsia="仿宋_GB2312"/>
          <w:sz w:val="32"/>
          <w:szCs w:val="32"/>
        </w:rPr>
      </w:pPr>
      <w:r>
        <w:rPr>
          <w:rFonts w:ascii="仿宋_GB2312" w:hAnsi="宋体" w:eastAsia="仿宋_GB2312"/>
          <w:sz w:val="32"/>
          <w:szCs w:val="32"/>
        </w:rPr>
        <w:t>（2）农林水支出（类）农业农村（款）行业业务管理（项）15万元。主要是村务监督委员会工作经费支出。完成年初预算的</w:t>
      </w:r>
      <w:r>
        <w:rPr>
          <w:rFonts w:hint="eastAsia" w:ascii="仿宋_GB2312" w:hAnsi="宋体" w:eastAsia="仿宋_GB2312"/>
          <w:sz w:val="32"/>
          <w:szCs w:val="32"/>
          <w:lang w:val="en-US" w:eastAsia="zh-CN"/>
        </w:rPr>
        <w:t>100</w:t>
      </w:r>
      <w:r>
        <w:rPr>
          <w:rFonts w:ascii="仿宋_GB2312" w:hAnsi="宋体" w:eastAsia="仿宋_GB2312"/>
          <w:sz w:val="32"/>
          <w:szCs w:val="32"/>
        </w:rPr>
        <w:t>%。</w:t>
      </w:r>
    </w:p>
    <w:p w14:paraId="408C90D8">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（3）农林水支出（类）农业农村（款）农村社会事业（项）172.75万元。主要是秸秆禁烧和秸秆处置费用支出。完成年初预算的</w:t>
      </w:r>
      <w:r>
        <w:rPr>
          <w:rFonts w:hint="eastAsia" w:ascii="仿宋_GB2312" w:hAnsi="宋体" w:eastAsia="仿宋_GB2312"/>
          <w:sz w:val="32"/>
          <w:szCs w:val="32"/>
          <w:lang w:val="en-US" w:eastAsia="zh-CN"/>
        </w:rPr>
        <w:t>73.45</w:t>
      </w:r>
      <w:r>
        <w:rPr>
          <w:rFonts w:ascii="仿宋_GB2312" w:hAnsi="宋体" w:eastAsia="仿宋_GB2312"/>
          <w:sz w:val="32"/>
          <w:szCs w:val="32"/>
        </w:rPr>
        <w:t>%。决算数</w:t>
      </w:r>
      <w:r>
        <w:rPr>
          <w:rFonts w:hint="eastAsia" w:ascii="仿宋_GB2312" w:hAnsi="宋体" w:eastAsia="仿宋_GB2312"/>
          <w:sz w:val="32"/>
          <w:szCs w:val="32"/>
          <w:lang w:val="en-US" w:eastAsia="zh-CN"/>
        </w:rPr>
        <w:t>小</w:t>
      </w:r>
      <w:r>
        <w:rPr>
          <w:rFonts w:ascii="仿宋_GB2312" w:hAnsi="宋体" w:eastAsia="仿宋_GB2312"/>
          <w:sz w:val="32"/>
          <w:szCs w:val="32"/>
        </w:rPr>
        <w:t>于年初预算数的原因是</w:t>
      </w:r>
      <w:r>
        <w:rPr>
          <w:rFonts w:hint="eastAsia" w:ascii="仿宋_GB2312" w:hAnsi="宋体" w:eastAsia="仿宋_GB2312"/>
          <w:sz w:val="32"/>
          <w:szCs w:val="32"/>
          <w:lang w:val="en-US" w:eastAsia="zh-CN"/>
        </w:rPr>
        <w:t>加强资金管控，减少经费支出。</w:t>
      </w:r>
    </w:p>
    <w:p w14:paraId="4E7FB223">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（4）农林水支出（类）农业农村（款）农业资源保护修复与利用（项）25万元。主要是秸秆处置费用支出。</w:t>
      </w:r>
      <w:r>
        <w:rPr>
          <w:rFonts w:hint="eastAsia" w:ascii="仿宋_GB2312" w:hAnsi="宋体" w:eastAsia="仿宋_GB2312"/>
          <w:sz w:val="32"/>
          <w:szCs w:val="32"/>
          <w:lang w:val="en-US" w:eastAsia="zh-CN"/>
        </w:rPr>
        <w:t>年初无此编码预算。</w:t>
      </w:r>
    </w:p>
    <w:p w14:paraId="2599240A">
      <w:pPr>
        <w:spacing w:line="560" w:lineRule="exact"/>
        <w:ind w:firstLine="660"/>
        <w:rPr>
          <w:rFonts w:hint="default" w:ascii="仿宋_GB2312" w:hAnsi="宋体" w:eastAsia="仿宋_GB2312"/>
          <w:sz w:val="32"/>
          <w:szCs w:val="32"/>
        </w:rPr>
      </w:pPr>
      <w:r>
        <w:rPr>
          <w:rFonts w:ascii="仿宋_GB2312" w:hAnsi="宋体" w:eastAsia="仿宋_GB2312"/>
          <w:sz w:val="32"/>
          <w:szCs w:val="32"/>
        </w:rPr>
        <w:t>（5）农林水支出（类）农业农村（款）其他农业农村支出（项）45.86万元。主要是农村改厕工作经费支出。</w:t>
      </w:r>
      <w:r>
        <w:rPr>
          <w:rFonts w:hint="eastAsia" w:ascii="仿宋_GB2312" w:hAnsi="宋体" w:eastAsia="仿宋_GB2312"/>
          <w:sz w:val="32"/>
          <w:szCs w:val="32"/>
          <w:lang w:val="en-US" w:eastAsia="zh-CN"/>
        </w:rPr>
        <w:t>年初无此项预算。</w:t>
      </w:r>
    </w:p>
    <w:p w14:paraId="11D627E1">
      <w:pPr>
        <w:numPr>
          <w:ilvl w:val="0"/>
          <w:numId w:val="0"/>
        </w:numPr>
        <w:spacing w:line="540" w:lineRule="exact"/>
        <w:ind w:firstLine="640"/>
        <w:rPr>
          <w:rFonts w:hint="default" w:ascii="仿宋_GB2312" w:hAnsi="宋体" w:eastAsia="仿宋_GB2312"/>
          <w:sz w:val="32"/>
          <w:szCs w:val="32"/>
        </w:rPr>
      </w:pPr>
      <w:r>
        <w:rPr>
          <w:rFonts w:ascii="仿宋_GB2312" w:hAnsi="宋体" w:eastAsia="仿宋_GB2312"/>
          <w:sz w:val="32"/>
          <w:szCs w:val="32"/>
        </w:rPr>
        <w:t>（6）农林水支出（类）水利（款）防汛（项）6.56万元。主要用于街道防汛期间的工作经费。完成年初预算的</w:t>
      </w:r>
      <w:r>
        <w:rPr>
          <w:rFonts w:hint="eastAsia" w:ascii="仿宋_GB2312" w:hAnsi="宋体" w:eastAsia="仿宋_GB2312"/>
          <w:sz w:val="32"/>
          <w:szCs w:val="32"/>
          <w:lang w:val="en-US" w:eastAsia="zh-CN"/>
        </w:rPr>
        <w:t>65.6%，</w:t>
      </w:r>
      <w:r>
        <w:rPr>
          <w:rFonts w:ascii="仿宋_GB2312" w:hAnsi="宋体" w:eastAsia="仿宋_GB2312"/>
          <w:sz w:val="32"/>
          <w:szCs w:val="32"/>
        </w:rPr>
        <w:t>决算数</w:t>
      </w:r>
      <w:r>
        <w:rPr>
          <w:rFonts w:hint="eastAsia" w:ascii="仿宋_GB2312" w:hAnsi="宋体" w:eastAsia="仿宋_GB2312"/>
          <w:sz w:val="32"/>
          <w:szCs w:val="32"/>
          <w:lang w:val="en-US" w:eastAsia="zh-CN"/>
        </w:rPr>
        <w:t>小</w:t>
      </w:r>
      <w:r>
        <w:rPr>
          <w:rFonts w:ascii="仿宋_GB2312" w:hAnsi="宋体" w:eastAsia="仿宋_GB2312"/>
          <w:sz w:val="32"/>
          <w:szCs w:val="32"/>
        </w:rPr>
        <w:t>于年初预算数的原因是</w:t>
      </w:r>
      <w:r>
        <w:rPr>
          <w:rFonts w:hint="eastAsia" w:ascii="仿宋_GB2312" w:hAnsi="宋体" w:eastAsia="仿宋_GB2312"/>
          <w:sz w:val="32"/>
          <w:szCs w:val="32"/>
          <w:lang w:val="en-US" w:eastAsia="zh-CN"/>
        </w:rPr>
        <w:t>根据汛期实际情况，加强资金管控减少支出。</w:t>
      </w:r>
    </w:p>
    <w:p w14:paraId="59C658F7">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（7）农林水支出（类）水利（款）农村人畜饮水（项）4.48万元。主要是农村饮水管维修、维护费支出。完成年初预算的</w:t>
      </w:r>
      <w:r>
        <w:rPr>
          <w:rFonts w:hint="eastAsia" w:ascii="仿宋_GB2312" w:hAnsi="宋体" w:eastAsia="仿宋_GB2312"/>
          <w:sz w:val="32"/>
          <w:szCs w:val="32"/>
          <w:lang w:val="en-US" w:eastAsia="zh-CN"/>
        </w:rPr>
        <w:t>199.11%，</w:t>
      </w:r>
      <w:r>
        <w:rPr>
          <w:rFonts w:ascii="仿宋_GB2312" w:hAnsi="宋体" w:eastAsia="仿宋_GB2312"/>
          <w:sz w:val="32"/>
          <w:szCs w:val="32"/>
        </w:rPr>
        <w:t>决算数</w:t>
      </w:r>
      <w:r>
        <w:rPr>
          <w:rFonts w:hint="eastAsia" w:ascii="仿宋_GB2312" w:hAnsi="宋体" w:eastAsia="仿宋_GB2312"/>
          <w:sz w:val="32"/>
          <w:szCs w:val="32"/>
          <w:lang w:val="en-US" w:eastAsia="zh-CN"/>
        </w:rPr>
        <w:t>大</w:t>
      </w:r>
      <w:r>
        <w:rPr>
          <w:rFonts w:ascii="仿宋_GB2312" w:hAnsi="宋体" w:eastAsia="仿宋_GB2312"/>
          <w:sz w:val="32"/>
          <w:szCs w:val="32"/>
        </w:rPr>
        <w:t>于年初预算数的原因是</w:t>
      </w:r>
      <w:r>
        <w:rPr>
          <w:rFonts w:hint="eastAsia" w:ascii="仿宋_GB2312" w:hAnsi="宋体" w:eastAsia="仿宋_GB2312"/>
          <w:sz w:val="32"/>
          <w:szCs w:val="32"/>
          <w:lang w:val="en-US" w:eastAsia="zh-CN"/>
        </w:rPr>
        <w:t>根据饮用水管破损的实际情况进行维护，增加支出。</w:t>
      </w:r>
    </w:p>
    <w:p w14:paraId="4E0385DC">
      <w:pPr>
        <w:spacing w:line="560" w:lineRule="exact"/>
        <w:ind w:firstLine="660"/>
        <w:rPr>
          <w:rFonts w:hint="eastAsia" w:ascii="仿宋_GB2312" w:hAnsi="宋体" w:eastAsia="仿宋_GB2312"/>
          <w:sz w:val="32"/>
          <w:szCs w:val="32"/>
          <w:lang w:eastAsia="zh-CN"/>
        </w:rPr>
      </w:pPr>
      <w:r>
        <w:rPr>
          <w:rFonts w:ascii="仿宋_GB2312" w:hAnsi="宋体" w:eastAsia="仿宋_GB2312"/>
          <w:sz w:val="32"/>
          <w:szCs w:val="32"/>
        </w:rPr>
        <w:t>（8）农林水支出（类）农村综合改革（款）对村民委员会和村党支部的补助（项）86.5万元。主要是涉农社区党建及办公经费支出。预算项目的编码调整</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年初无此编码预算</w:t>
      </w:r>
      <w:r>
        <w:rPr>
          <w:rFonts w:hint="eastAsia" w:ascii="仿宋_GB2312" w:hAnsi="宋体" w:eastAsia="仿宋_GB2312"/>
          <w:sz w:val="32"/>
          <w:szCs w:val="32"/>
          <w:lang w:eastAsia="zh-CN"/>
        </w:rPr>
        <w:t>。</w:t>
      </w:r>
    </w:p>
    <w:p w14:paraId="346073D6">
      <w:pPr>
        <w:spacing w:line="560" w:lineRule="exact"/>
        <w:ind w:firstLine="660"/>
        <w:rPr>
          <w:rFonts w:hint="default" w:ascii="仿宋_GB2312" w:hAnsi="宋体" w:eastAsia="仿宋_GB2312"/>
          <w:sz w:val="32"/>
          <w:szCs w:val="32"/>
          <w:lang w:val="en-US" w:eastAsia="zh-CN"/>
        </w:rPr>
      </w:pPr>
      <w:r>
        <w:rPr>
          <w:rFonts w:ascii="仿宋_GB2312" w:hAnsi="宋体" w:eastAsia="仿宋_GB2312"/>
          <w:sz w:val="32"/>
          <w:szCs w:val="32"/>
        </w:rPr>
        <w:t>（9）农林水支出（类）农村综合改革（款）对村集体经济组织的补助（项）150万元。主要是壮大村集体经济补助支出。</w:t>
      </w:r>
      <w:r>
        <w:rPr>
          <w:rFonts w:hint="eastAsia" w:ascii="仿宋_GB2312" w:hAnsi="宋体" w:eastAsia="仿宋_GB2312"/>
          <w:sz w:val="32"/>
          <w:szCs w:val="32"/>
          <w:lang w:val="en-US" w:eastAsia="zh-CN"/>
        </w:rPr>
        <w:t>年初无此项预算。</w:t>
      </w:r>
    </w:p>
    <w:p w14:paraId="5B1214A0">
      <w:pPr>
        <w:spacing w:line="560" w:lineRule="exact"/>
        <w:ind w:firstLine="660"/>
        <w:rPr>
          <w:rFonts w:hint="default" w:ascii="仿宋_GB2312" w:hAnsi="宋体" w:eastAsia="仿宋_GB2312"/>
          <w:sz w:val="32"/>
          <w:szCs w:val="32"/>
        </w:rPr>
      </w:pPr>
      <w:r>
        <w:rPr>
          <w:rFonts w:ascii="仿宋_GB2312" w:hAnsi="宋体" w:eastAsia="仿宋_GB2312"/>
          <w:sz w:val="32"/>
          <w:szCs w:val="32"/>
        </w:rPr>
        <w:t>（10）农林水支出（类）农村综合改革（款）农村综合改革示范试点补助（项）3.11万元。主要维修费用专项支出。</w:t>
      </w:r>
      <w:r>
        <w:rPr>
          <w:rFonts w:hint="eastAsia" w:ascii="仿宋_GB2312" w:hAnsi="宋体" w:eastAsia="仿宋_GB2312"/>
          <w:sz w:val="32"/>
          <w:szCs w:val="32"/>
          <w:lang w:val="en-US" w:eastAsia="zh-CN"/>
        </w:rPr>
        <w:t>年初无此项预算，</w:t>
      </w:r>
      <w:r>
        <w:rPr>
          <w:rFonts w:ascii="仿宋_GB2312" w:hAnsi="宋体" w:eastAsia="仿宋_GB2312"/>
          <w:sz w:val="32"/>
          <w:szCs w:val="32"/>
        </w:rPr>
        <w:t>2018年的项目结余做返还财政处理。</w:t>
      </w:r>
    </w:p>
    <w:p w14:paraId="7BE5998E">
      <w:pPr>
        <w:spacing w:line="560" w:lineRule="exact"/>
        <w:ind w:firstLine="660"/>
        <w:rPr>
          <w:rFonts w:hint="default" w:ascii="仿宋_GB2312" w:hAnsi="宋体" w:eastAsia="仿宋_GB2312"/>
          <w:sz w:val="32"/>
          <w:szCs w:val="32"/>
        </w:rPr>
      </w:pPr>
      <w:r>
        <w:rPr>
          <w:rFonts w:ascii="仿宋_GB2312" w:hAnsi="宋体" w:eastAsia="仿宋_GB2312"/>
          <w:sz w:val="32"/>
          <w:szCs w:val="32"/>
        </w:rPr>
        <w:t>9.交通运输支出10.24万元，具体包括：</w:t>
      </w:r>
    </w:p>
    <w:p w14:paraId="1FE75D7F">
      <w:pPr>
        <w:spacing w:line="560" w:lineRule="exact"/>
        <w:ind w:firstLine="660"/>
        <w:rPr>
          <w:rFonts w:hint="default" w:ascii="仿宋_GB2312" w:hAnsi="宋体" w:eastAsia="仿宋_GB2312"/>
          <w:sz w:val="32"/>
          <w:szCs w:val="32"/>
        </w:rPr>
      </w:pPr>
      <w:r>
        <w:rPr>
          <w:rFonts w:ascii="仿宋_GB2312" w:hAnsi="宋体" w:eastAsia="仿宋_GB2312"/>
          <w:sz w:val="32"/>
          <w:szCs w:val="32"/>
        </w:rPr>
        <w:t>（1）交通运输支出（类）公路水路运输（款）其他公路水路运输支出（项）10.24万元。主要是四好农村路建设日常养护费用支出。</w:t>
      </w:r>
      <w:r>
        <w:rPr>
          <w:rFonts w:hint="eastAsia" w:ascii="仿宋_GB2312" w:hAnsi="宋体" w:eastAsia="仿宋_GB2312"/>
          <w:sz w:val="32"/>
          <w:szCs w:val="32"/>
          <w:lang w:val="en-US" w:eastAsia="zh-CN"/>
        </w:rPr>
        <w:t>年初无此项预算。</w:t>
      </w:r>
    </w:p>
    <w:p w14:paraId="41B48FE9">
      <w:pPr>
        <w:spacing w:line="560" w:lineRule="exact"/>
        <w:ind w:firstLine="660"/>
        <w:rPr>
          <w:rFonts w:hint="default" w:ascii="仿宋_GB2312" w:hAnsi="宋体" w:eastAsia="仿宋_GB2312"/>
          <w:sz w:val="32"/>
          <w:szCs w:val="32"/>
        </w:rPr>
      </w:pPr>
      <w:r>
        <w:rPr>
          <w:rFonts w:ascii="仿宋_GB2312" w:hAnsi="宋体" w:eastAsia="仿宋_GB2312"/>
          <w:sz w:val="32"/>
          <w:szCs w:val="32"/>
        </w:rPr>
        <w:t>10.住房保障支出84.55万元，具体包括：</w:t>
      </w:r>
    </w:p>
    <w:p w14:paraId="7678C4FD">
      <w:pPr>
        <w:spacing w:line="560" w:lineRule="exact"/>
        <w:ind w:firstLine="660"/>
        <w:rPr>
          <w:rFonts w:hint="default" w:ascii="仿宋_GB2312" w:hAnsi="宋体" w:eastAsia="仿宋_GB2312"/>
          <w:sz w:val="32"/>
          <w:szCs w:val="32"/>
        </w:rPr>
      </w:pPr>
      <w:r>
        <w:rPr>
          <w:rFonts w:ascii="仿宋_GB2312" w:hAnsi="宋体" w:eastAsia="仿宋_GB2312"/>
          <w:sz w:val="32"/>
          <w:szCs w:val="32"/>
        </w:rPr>
        <w:t>（1）住房保障支出（类）住房改革支出（款）住房公积金（项）80.75万元。主要用于街道在职人员公积金单位承担部分。完成年初预算的</w:t>
      </w:r>
      <w:r>
        <w:rPr>
          <w:rFonts w:hint="eastAsia" w:ascii="仿宋_GB2312" w:hAnsi="宋体" w:eastAsia="仿宋_GB2312"/>
          <w:sz w:val="32"/>
          <w:szCs w:val="32"/>
          <w:lang w:val="en-US" w:eastAsia="zh-CN"/>
        </w:rPr>
        <w:t>111.61%，决算数大于</w:t>
      </w:r>
      <w:r>
        <w:rPr>
          <w:rFonts w:hint="eastAsia" w:ascii="仿宋_GB2312" w:hAnsi="宋体" w:eastAsia="仿宋_GB2312"/>
          <w:sz w:val="32"/>
          <w:szCs w:val="32"/>
        </w:rPr>
        <w:t>年初预算数的原因</w:t>
      </w:r>
      <w:r>
        <w:rPr>
          <w:rFonts w:hint="eastAsia" w:ascii="仿宋_GB2312" w:hAnsi="宋体" w:eastAsia="仿宋_GB2312"/>
          <w:sz w:val="32"/>
          <w:szCs w:val="32"/>
          <w:lang w:val="en-US" w:eastAsia="zh-CN"/>
        </w:rPr>
        <w:t>是街道人员变化，公积金缴费基数提高。</w:t>
      </w:r>
    </w:p>
    <w:p w14:paraId="234F2412">
      <w:pPr>
        <w:spacing w:line="540" w:lineRule="exact"/>
        <w:ind w:firstLine="640"/>
        <w:rPr>
          <w:rFonts w:hint="default" w:ascii="仿宋_GB2312" w:hAnsi="宋体" w:eastAsia="仿宋_GB2312"/>
          <w:sz w:val="32"/>
          <w:szCs w:val="32"/>
        </w:rPr>
      </w:pPr>
      <w:r>
        <w:rPr>
          <w:rFonts w:ascii="仿宋_GB2312" w:hAnsi="宋体" w:eastAsia="仿宋_GB2312"/>
          <w:sz w:val="32"/>
          <w:szCs w:val="32"/>
        </w:rPr>
        <w:t>（2）住房保障支出（类）住房改革支出（款）购房补贴（项）3.8万元。主要是职工住房分配货币化补贴，年初无</w:t>
      </w:r>
      <w:r>
        <w:rPr>
          <w:rFonts w:hint="eastAsia" w:ascii="仿宋_GB2312" w:hAnsi="宋体" w:eastAsia="仿宋_GB2312"/>
          <w:sz w:val="32"/>
          <w:szCs w:val="32"/>
          <w:lang w:val="en-US" w:eastAsia="zh-CN"/>
        </w:rPr>
        <w:t>此项目</w:t>
      </w:r>
      <w:r>
        <w:rPr>
          <w:rFonts w:ascii="仿宋_GB2312" w:hAnsi="宋体" w:eastAsia="仿宋_GB2312"/>
          <w:sz w:val="32"/>
          <w:szCs w:val="32"/>
        </w:rPr>
        <w:t>预算。</w:t>
      </w:r>
    </w:p>
    <w:p w14:paraId="3B465317">
      <w:pPr>
        <w:spacing w:line="560" w:lineRule="exact"/>
        <w:ind w:firstLine="660"/>
        <w:rPr>
          <w:rFonts w:hint="default" w:ascii="仿宋_GB2312" w:hAnsi="宋体" w:eastAsia="仿宋_GB2312"/>
          <w:sz w:val="32"/>
          <w:szCs w:val="32"/>
        </w:rPr>
      </w:pPr>
      <w:r>
        <w:rPr>
          <w:rFonts w:ascii="仿宋_GB2312" w:hAnsi="宋体" w:eastAsia="仿宋_GB2312"/>
          <w:sz w:val="32"/>
          <w:szCs w:val="32"/>
        </w:rPr>
        <w:t>11.灾害防治及应急管理支出55.69万元，具体包括：</w:t>
      </w:r>
    </w:p>
    <w:p w14:paraId="703A0B06">
      <w:pPr>
        <w:spacing w:line="560" w:lineRule="exact"/>
        <w:ind w:firstLine="660"/>
        <w:rPr>
          <w:rFonts w:hint="default" w:ascii="仿宋_GB2312" w:hAnsi="宋体" w:eastAsia="仿宋_GB2312"/>
          <w:sz w:val="32"/>
          <w:szCs w:val="32"/>
        </w:rPr>
      </w:pPr>
      <w:r>
        <w:rPr>
          <w:rFonts w:ascii="仿宋_GB2312" w:hAnsi="宋体" w:eastAsia="仿宋_GB2312"/>
          <w:sz w:val="32"/>
          <w:szCs w:val="32"/>
        </w:rPr>
        <w:t>（1）灾害防治及应急管理支出(类）应急管理事务（款）安全监管（项）4.76万元。主要是安全生</w:t>
      </w:r>
      <w:r>
        <w:rPr>
          <w:rFonts w:hint="eastAsia" w:ascii="仿宋_GB2312" w:hAnsi="宋体" w:eastAsia="仿宋_GB2312"/>
          <w:sz w:val="32"/>
          <w:szCs w:val="32"/>
          <w:lang w:val="en-US" w:eastAsia="zh-CN"/>
        </w:rPr>
        <w:t>产</w:t>
      </w:r>
      <w:r>
        <w:rPr>
          <w:rFonts w:ascii="仿宋_GB2312" w:hAnsi="宋体" w:eastAsia="仿宋_GB2312"/>
          <w:sz w:val="32"/>
          <w:szCs w:val="32"/>
        </w:rPr>
        <w:t>工作经费支出。完成年初预算的</w:t>
      </w:r>
      <w:r>
        <w:rPr>
          <w:rFonts w:hint="eastAsia" w:ascii="仿宋_GB2312" w:hAnsi="宋体" w:eastAsia="仿宋_GB2312"/>
          <w:sz w:val="32"/>
          <w:szCs w:val="32"/>
          <w:lang w:val="en-US" w:eastAsia="zh-CN"/>
        </w:rPr>
        <w:t>95.2%，决算数小于</w:t>
      </w:r>
      <w:r>
        <w:rPr>
          <w:rFonts w:hint="eastAsia" w:ascii="仿宋_GB2312" w:hAnsi="宋体" w:eastAsia="仿宋_GB2312"/>
          <w:sz w:val="32"/>
          <w:szCs w:val="32"/>
        </w:rPr>
        <w:t>年初预算数的原因</w:t>
      </w:r>
      <w:r>
        <w:rPr>
          <w:rFonts w:hint="eastAsia" w:ascii="仿宋_GB2312" w:hAnsi="宋体" w:eastAsia="仿宋_GB2312"/>
          <w:sz w:val="32"/>
          <w:szCs w:val="32"/>
          <w:lang w:val="en-US" w:eastAsia="zh-CN"/>
        </w:rPr>
        <w:t>是加强资金管控减少经费支出。</w:t>
      </w:r>
    </w:p>
    <w:p w14:paraId="2F73D579">
      <w:pPr>
        <w:spacing w:line="560" w:lineRule="exact"/>
        <w:ind w:firstLine="660"/>
        <w:rPr>
          <w:rFonts w:hint="default" w:ascii="仿宋_GB2312" w:hAnsi="宋体" w:eastAsia="仿宋_GB2312"/>
          <w:sz w:val="32"/>
          <w:szCs w:val="32"/>
        </w:rPr>
      </w:pPr>
      <w:r>
        <w:rPr>
          <w:rFonts w:ascii="仿宋_GB2312" w:hAnsi="宋体" w:eastAsia="仿宋_GB2312"/>
          <w:sz w:val="32"/>
          <w:szCs w:val="32"/>
        </w:rPr>
        <w:t>（2）灾害防治及应急管理支出(类）应急管理事务（款）其他应急管理支出（项）37.43万元。</w:t>
      </w:r>
      <w:r>
        <w:rPr>
          <w:rFonts w:hint="eastAsia" w:ascii="仿宋_GB2312" w:hAnsi="宋体" w:eastAsia="仿宋_GB2312"/>
          <w:sz w:val="32"/>
          <w:szCs w:val="32"/>
          <w:lang w:val="en-US" w:eastAsia="zh-CN"/>
        </w:rPr>
        <w:t>主要</w:t>
      </w:r>
      <w:r>
        <w:rPr>
          <w:rFonts w:ascii="仿宋_GB2312" w:hAnsi="宋体" w:eastAsia="仿宋_GB2312"/>
          <w:sz w:val="32"/>
          <w:szCs w:val="32"/>
        </w:rPr>
        <w:t>是2020社区</w:t>
      </w:r>
      <w:r>
        <w:rPr>
          <w:rFonts w:hint="eastAsia" w:ascii="仿宋_GB2312" w:hAnsi="宋体" w:eastAsia="仿宋_GB2312"/>
          <w:sz w:val="32"/>
          <w:szCs w:val="32"/>
          <w:lang w:val="en-US" w:eastAsia="zh-CN"/>
        </w:rPr>
        <w:t>及街道</w:t>
      </w:r>
      <w:r>
        <w:rPr>
          <w:rFonts w:ascii="仿宋_GB2312" w:hAnsi="宋体" w:eastAsia="仿宋_GB2312"/>
          <w:sz w:val="32"/>
          <w:szCs w:val="32"/>
        </w:rPr>
        <w:t>安全奖补贴</w:t>
      </w: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防火应急物资采购等</w:t>
      </w:r>
      <w:r>
        <w:rPr>
          <w:rFonts w:ascii="仿宋_GB2312" w:hAnsi="宋体" w:eastAsia="仿宋_GB2312"/>
          <w:sz w:val="32"/>
          <w:szCs w:val="32"/>
        </w:rPr>
        <w:t>支出。</w:t>
      </w:r>
      <w:r>
        <w:rPr>
          <w:rFonts w:hint="eastAsia" w:ascii="仿宋_GB2312" w:hAnsi="宋体" w:eastAsia="仿宋_GB2312"/>
          <w:sz w:val="32"/>
          <w:szCs w:val="32"/>
          <w:lang w:val="en-US" w:eastAsia="zh-CN"/>
        </w:rPr>
        <w:t>年初无此项目预算，20</w:t>
      </w:r>
      <w:r>
        <w:rPr>
          <w:rFonts w:ascii="仿宋_GB2312" w:hAnsi="宋体" w:eastAsia="仿宋_GB2312"/>
          <w:sz w:val="32"/>
          <w:szCs w:val="32"/>
        </w:rPr>
        <w:t>19年417</w:t>
      </w:r>
      <w:r>
        <w:rPr>
          <w:rFonts w:hint="eastAsia" w:ascii="仿宋_GB2312" w:hAnsi="宋体" w:eastAsia="仿宋_GB2312"/>
          <w:sz w:val="32"/>
          <w:szCs w:val="32"/>
          <w:lang w:val="en-US" w:eastAsia="zh-CN"/>
        </w:rPr>
        <w:t>大火</w:t>
      </w:r>
      <w:r>
        <w:rPr>
          <w:rFonts w:ascii="仿宋_GB2312" w:hAnsi="宋体" w:eastAsia="仿宋_GB2312"/>
          <w:sz w:val="32"/>
          <w:szCs w:val="32"/>
        </w:rPr>
        <w:t>应急</w:t>
      </w:r>
      <w:r>
        <w:rPr>
          <w:rFonts w:hint="eastAsia" w:ascii="仿宋_GB2312" w:hAnsi="宋体" w:eastAsia="仿宋_GB2312"/>
          <w:sz w:val="32"/>
          <w:szCs w:val="32"/>
          <w:lang w:val="en-US" w:eastAsia="zh-CN"/>
        </w:rPr>
        <w:t>专项</w:t>
      </w:r>
      <w:r>
        <w:rPr>
          <w:rFonts w:ascii="仿宋_GB2312" w:hAnsi="宋体" w:eastAsia="仿宋_GB2312"/>
          <w:sz w:val="32"/>
          <w:szCs w:val="32"/>
        </w:rPr>
        <w:t>结余做返还财政处理。</w:t>
      </w:r>
    </w:p>
    <w:p w14:paraId="1040A74E">
      <w:pPr>
        <w:spacing w:line="560" w:lineRule="exact"/>
        <w:ind w:firstLine="660"/>
        <w:rPr>
          <w:rFonts w:hint="default" w:ascii="仿宋_GB2312" w:hAnsi="宋体" w:eastAsia="仿宋_GB2312"/>
          <w:sz w:val="32"/>
          <w:szCs w:val="32"/>
        </w:rPr>
      </w:pPr>
      <w:r>
        <w:rPr>
          <w:rFonts w:ascii="仿宋_GB2312" w:hAnsi="宋体" w:eastAsia="仿宋_GB2312"/>
          <w:sz w:val="32"/>
          <w:szCs w:val="32"/>
        </w:rPr>
        <w:t>（3）灾害防治及应急管理支出(类）森林消防事务（款）其他森林消防事务支出（项）13.5万元。主要是森林防火支出。</w:t>
      </w:r>
      <w:r>
        <w:rPr>
          <w:rFonts w:hint="eastAsia" w:ascii="仿宋_GB2312" w:hAnsi="宋体" w:eastAsia="仿宋_GB2312"/>
          <w:sz w:val="32"/>
          <w:szCs w:val="32"/>
          <w:lang w:val="en-US" w:eastAsia="zh-CN"/>
        </w:rPr>
        <w:t>完成年初预算的30%，</w:t>
      </w:r>
      <w:r>
        <w:rPr>
          <w:rFonts w:hint="eastAsia" w:ascii="仿宋_GB2312" w:hAnsi="宋体" w:eastAsia="仿宋_GB2312"/>
          <w:sz w:val="32"/>
          <w:szCs w:val="32"/>
        </w:rPr>
        <w:t>决算数</w:t>
      </w:r>
      <w:r>
        <w:rPr>
          <w:rFonts w:hint="eastAsia" w:ascii="仿宋_GB2312" w:hAnsi="宋体" w:eastAsia="仿宋_GB2312"/>
          <w:sz w:val="32"/>
          <w:szCs w:val="32"/>
          <w:lang w:val="en-US" w:eastAsia="zh-CN"/>
        </w:rPr>
        <w:t>小</w:t>
      </w:r>
      <w:r>
        <w:rPr>
          <w:rFonts w:hint="eastAsia" w:ascii="仿宋_GB2312" w:hAnsi="宋体" w:eastAsia="仿宋_GB2312"/>
          <w:sz w:val="32"/>
          <w:szCs w:val="32"/>
        </w:rPr>
        <w:t>于年初预算数的原因</w:t>
      </w:r>
      <w:r>
        <w:rPr>
          <w:rFonts w:hint="eastAsia" w:ascii="仿宋_GB2312" w:hAnsi="宋体" w:eastAsia="仿宋_GB2312"/>
          <w:sz w:val="32"/>
          <w:szCs w:val="32"/>
          <w:lang w:val="en-US" w:eastAsia="zh-CN"/>
        </w:rPr>
        <w:t>是区里统筹安排，减少街道支出。</w:t>
      </w:r>
    </w:p>
    <w:p w14:paraId="658C6B89">
      <w:pPr>
        <w:numPr>
          <w:ilvl w:val="0"/>
          <w:numId w:val="0"/>
        </w:numPr>
        <w:spacing w:line="540" w:lineRule="exact"/>
        <w:ind w:firstLine="643" w:firstLineChars="200"/>
        <w:outlineLvl w:val="2"/>
        <w:rPr>
          <w:rFonts w:hint="default" w:ascii="黑体" w:hAnsi="黑体" w:eastAsia="黑体" w:cs="黑体"/>
          <w:b/>
          <w:color w:val="FF0000"/>
          <w:sz w:val="32"/>
          <w:szCs w:val="32"/>
        </w:rPr>
      </w:pPr>
      <w:r>
        <w:rPr>
          <w:rFonts w:ascii="楷体_GB2312" w:hAnsi="宋体" w:eastAsia="楷体_GB2312"/>
          <w:b/>
          <w:sz w:val="32"/>
          <w:szCs w:val="32"/>
        </w:rPr>
        <w:t>（三）政府性基金预算财政拨款支出情况。</w:t>
      </w:r>
    </w:p>
    <w:p w14:paraId="591B9C4E">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2021年度政府性基金预算财政拨款支出</w:t>
      </w:r>
      <w:r>
        <w:rPr>
          <w:rFonts w:hint="eastAsia" w:ascii="仿宋_GB2312" w:hAnsi="宋体" w:eastAsia="仿宋_GB2312"/>
          <w:sz w:val="32"/>
          <w:szCs w:val="32"/>
          <w:lang w:val="en-US" w:eastAsia="zh-CN"/>
        </w:rPr>
        <w:t>1373.5</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城乡社区支出1373.5万元，占100%</w:t>
      </w:r>
      <w:r>
        <w:rPr>
          <w:rFonts w:ascii="仿宋_GB2312" w:hAnsi="宋体" w:eastAsia="仿宋_GB2312"/>
          <w:sz w:val="32"/>
          <w:szCs w:val="32"/>
        </w:rPr>
        <w:t>。</w:t>
      </w:r>
    </w:p>
    <w:p w14:paraId="34843FF1">
      <w:pPr>
        <w:spacing w:line="560" w:lineRule="exact"/>
        <w:ind w:firstLine="660"/>
        <w:rPr>
          <w:rFonts w:hint="default" w:ascii="仿宋_GB2312" w:hAnsi="宋体" w:eastAsia="仿宋_GB2312"/>
          <w:sz w:val="32"/>
          <w:szCs w:val="32"/>
          <w:lang w:val="en-US"/>
        </w:rPr>
      </w:pPr>
      <w:r>
        <w:rPr>
          <w:rFonts w:ascii="仿宋_GB2312" w:hAnsi="宋体" w:eastAsia="仿宋_GB2312"/>
          <w:sz w:val="32"/>
          <w:szCs w:val="32"/>
        </w:rPr>
        <w:t>1.</w:t>
      </w:r>
      <w:r>
        <w:rPr>
          <w:rFonts w:hint="eastAsia" w:ascii="仿宋_GB2312" w:hAnsi="宋体" w:eastAsia="仿宋_GB2312"/>
          <w:sz w:val="32"/>
          <w:szCs w:val="32"/>
          <w:lang w:val="en-US" w:eastAsia="zh-CN"/>
        </w:rPr>
        <w:t>城乡社区支出1373.5万元，具体包括：</w:t>
      </w:r>
    </w:p>
    <w:p w14:paraId="70B8119E">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（1）城乡社区支出（类）国有土地使用权出让收入安排的支出（款）征地和拆迁补偿支出（项）1372.5万元。主要是征收补偿款支出。年初无此项预算。</w:t>
      </w:r>
    </w:p>
    <w:p w14:paraId="5E5F4CD5">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（2）城乡社区支出（类）国有土地使用权出让收入安排的支出（款）土地开发支出（项）1万元。主要是2018年度征收补偿款做返还财政处理。</w:t>
      </w:r>
    </w:p>
    <w:p w14:paraId="34823A14">
      <w:pPr>
        <w:spacing w:line="560" w:lineRule="exact"/>
        <w:ind w:firstLine="660"/>
        <w:rPr>
          <w:rFonts w:ascii="楷体_GB2312" w:hAnsi="宋体" w:eastAsia="楷体_GB2312"/>
          <w:b/>
          <w:sz w:val="32"/>
          <w:szCs w:val="32"/>
        </w:rPr>
      </w:pPr>
      <w:r>
        <w:rPr>
          <w:rFonts w:ascii="楷体_GB2312" w:hAnsi="宋体" w:eastAsia="楷体_GB2312"/>
          <w:b/>
          <w:sz w:val="32"/>
          <w:szCs w:val="32"/>
        </w:rPr>
        <w:t>（四）国有资本经营预算财政拨款支出情况。</w:t>
      </w:r>
    </w:p>
    <w:p w14:paraId="40B95453">
      <w:pPr>
        <w:spacing w:line="560" w:lineRule="exact"/>
        <w:ind w:firstLine="660"/>
        <w:rPr>
          <w:rFonts w:hint="default" w:ascii="楷体_GB2312" w:hAnsi="宋体" w:eastAsia="楷体_GB2312"/>
          <w:b/>
          <w:sz w:val="32"/>
          <w:szCs w:val="32"/>
        </w:rPr>
      </w:pPr>
      <w:r>
        <w:rPr>
          <w:rFonts w:ascii="楷体_GB2312" w:hAnsi="宋体" w:eastAsia="楷体_GB2312"/>
          <w:b w:val="0"/>
          <w:bCs/>
          <w:sz w:val="32"/>
          <w:szCs w:val="32"/>
        </w:rPr>
        <w:t>本年未发生此项资金。</w:t>
      </w:r>
    </w:p>
    <w:p w14:paraId="17E8E418">
      <w:pPr>
        <w:pStyle w:val="6"/>
        <w:numPr>
          <w:ilvl w:val="0"/>
          <w:numId w:val="1"/>
        </w:numPr>
        <w:spacing w:line="560" w:lineRule="exact"/>
        <w:ind w:firstLine="660"/>
        <w:rPr>
          <w:rFonts w:ascii="黑体" w:eastAsia="黑体"/>
          <w:sz w:val="32"/>
        </w:rPr>
      </w:pPr>
      <w:r>
        <w:rPr>
          <w:rFonts w:ascii="黑体" w:eastAsia="黑体"/>
          <w:sz w:val="32"/>
        </w:rPr>
        <w:t>一般公共预算财政拨款“三公”经费支出决算情况说明</w:t>
      </w:r>
    </w:p>
    <w:p w14:paraId="54CA0D54">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2021年度一般公共预算财政拨款安排的“三公”经费支出0万元，完成年初预算的0%。其中：因公出国（境）费0万元，公务接待费0万元，公务用车购置及运行维护费0万元。</w:t>
      </w:r>
    </w:p>
    <w:p w14:paraId="6D2F3FAA">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1.因公出国（境）费0万元，占“三公”经费支出的0%。完成年初预算的0%。2021年参加出国（境）团组0个，累计0人次。</w:t>
      </w:r>
      <w:r>
        <w:rPr>
          <w:rFonts w:ascii="仿宋_GB2312" w:hAnsi="Times New Roman" w:eastAsia="仿宋_GB2312" w:cs="Times New Roman"/>
          <w:kern w:val="0"/>
          <w:sz w:val="32"/>
          <w:szCs w:val="32"/>
        </w:rPr>
        <w:t>2021年因公出国（境）费比上年减少0万元，下降0%，主要是2020年及2021年均无出国任务。</w:t>
      </w:r>
    </w:p>
    <w:p w14:paraId="76225EC7">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2.公务接待费0万元，占“三公”经费支出的0%。完成年初预算的0%。2021年国内公务接待累计0批次、0人、0万元;其中外事接待累计0批次、0人、0万元。</w:t>
      </w:r>
      <w:r>
        <w:rPr>
          <w:rFonts w:ascii="仿宋_GB2312" w:hAnsi="Times New Roman" w:eastAsia="仿宋_GB2312" w:cs="Times New Roman"/>
          <w:kern w:val="0"/>
          <w:sz w:val="32"/>
          <w:szCs w:val="32"/>
        </w:rPr>
        <w:t>2021年公务接待费比上年减少0万元，下降0%，主要是无此业务。</w:t>
      </w:r>
    </w:p>
    <w:p w14:paraId="5C989268">
      <w:pPr>
        <w:pStyle w:val="6"/>
        <w:spacing w:line="560" w:lineRule="exact"/>
        <w:ind w:firstLine="640" w:firstLineChars="200"/>
        <w:rPr>
          <w:rFonts w:hint="default" w:ascii="Times New Roman" w:hAnsi="Times New Roman" w:cs="Times New Roman"/>
          <w:kern w:val="0"/>
          <w:szCs w:val="21"/>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公务用车购置及运行费0万元，占“三公”经费支出的0%。完成年初预算的0%。</w:t>
      </w:r>
      <w:r>
        <w:rPr>
          <w:rFonts w:ascii="仿宋_GB2312" w:hAnsi="Times New Roman" w:eastAsia="仿宋_GB2312" w:cs="Times New Roman"/>
          <w:kern w:val="0"/>
          <w:sz w:val="32"/>
          <w:szCs w:val="32"/>
        </w:rPr>
        <w:t>比上年减少0万元，下降0%，主要是无此业务。</w:t>
      </w:r>
    </w:p>
    <w:p w14:paraId="69960C4F">
      <w:pPr>
        <w:pStyle w:val="6"/>
        <w:autoSpaceDN w:val="0"/>
        <w:spacing w:line="560" w:lineRule="exact"/>
        <w:ind w:firstLine="645"/>
        <w:rPr>
          <w:rFonts w:hint="default" w:ascii="仿宋_GB2312" w:eastAsia="仿宋_GB2312"/>
          <w:sz w:val="32"/>
        </w:rPr>
      </w:pPr>
      <w:r>
        <w:rPr>
          <w:rFonts w:ascii="仿宋_GB2312" w:eastAsia="仿宋_GB2312"/>
          <w:sz w:val="32"/>
        </w:rPr>
        <w:t>其中：公务用车购置费0万元,当年购置公务用车0辆。完成年初预算的0%。</w:t>
      </w:r>
    </w:p>
    <w:p w14:paraId="504FEEF4">
      <w:pPr>
        <w:pStyle w:val="6"/>
        <w:autoSpaceDN w:val="0"/>
        <w:spacing w:line="560" w:lineRule="exact"/>
        <w:ind w:firstLine="640"/>
        <w:rPr>
          <w:rFonts w:hint="default" w:ascii="仿宋_GB2312" w:eastAsia="仿宋_GB2312"/>
          <w:sz w:val="32"/>
        </w:rPr>
      </w:pPr>
      <w:r>
        <w:rPr>
          <w:rFonts w:ascii="仿宋_GB2312" w:eastAsia="仿宋_GB2312"/>
          <w:sz w:val="32"/>
        </w:rPr>
        <w:t>公务用车运行维护费0万元，截至年末使用一般公共预算财政拨款开支的公务用车保有量0辆。完成年初预算的0%。</w:t>
      </w:r>
    </w:p>
    <w:p w14:paraId="4B0EF0F3">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14:paraId="293F517F">
      <w:pPr>
        <w:pStyle w:val="6"/>
        <w:spacing w:line="560" w:lineRule="exact"/>
        <w:ind w:firstLine="645"/>
        <w:rPr>
          <w:rFonts w:hint="default" w:ascii="仿宋_GB2312" w:eastAsia="仿宋_GB2312"/>
          <w:sz w:val="32"/>
        </w:rPr>
      </w:pPr>
      <w:r>
        <w:rPr>
          <w:rFonts w:ascii="仿宋_GB2312" w:eastAsia="仿宋_GB2312"/>
          <w:sz w:val="32"/>
        </w:rPr>
        <w:t>2021年度一般公共预算财政拨款基本支出</w:t>
      </w:r>
      <w:r>
        <w:rPr>
          <w:rFonts w:hint="eastAsia" w:ascii="仿宋_GB2312" w:eastAsia="仿宋_GB2312"/>
          <w:sz w:val="32"/>
          <w:lang w:val="en-US" w:eastAsia="zh-CN"/>
        </w:rPr>
        <w:t>519.5</w:t>
      </w:r>
      <w:r>
        <w:rPr>
          <w:rFonts w:ascii="仿宋_GB2312" w:eastAsia="仿宋_GB2312"/>
          <w:sz w:val="32"/>
        </w:rPr>
        <w:t>万元，其中：人员经费</w:t>
      </w:r>
      <w:r>
        <w:rPr>
          <w:rFonts w:hint="eastAsia" w:ascii="仿宋_GB2312" w:eastAsia="仿宋_GB2312"/>
          <w:sz w:val="32"/>
          <w:lang w:val="en-US" w:eastAsia="zh-CN"/>
        </w:rPr>
        <w:t>414.44</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105.06</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14:paraId="3F16B460">
      <w:pPr>
        <w:pStyle w:val="6"/>
        <w:spacing w:line="560" w:lineRule="exact"/>
        <w:ind w:firstLine="640"/>
        <w:rPr>
          <w:rFonts w:hint="default" w:ascii="黑体" w:eastAsia="黑体"/>
          <w:sz w:val="32"/>
        </w:rPr>
      </w:pPr>
      <w:r>
        <w:rPr>
          <w:rFonts w:ascii="黑体" w:eastAsia="黑体"/>
          <w:sz w:val="32"/>
        </w:rPr>
        <w:t>五、其他重要事项的情况说明</w:t>
      </w:r>
    </w:p>
    <w:p w14:paraId="538F50FF">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14:paraId="4BA83C83">
      <w:pPr>
        <w:pStyle w:val="6"/>
        <w:spacing w:line="560" w:lineRule="exact"/>
        <w:ind w:firstLine="640"/>
        <w:rPr>
          <w:rFonts w:hint="default" w:ascii="仿宋_GB2312" w:eastAsia="仿宋_GB2312"/>
          <w:sz w:val="32"/>
        </w:rPr>
      </w:pPr>
      <w:r>
        <w:rPr>
          <w:rFonts w:ascii="仿宋_GB2312" w:eastAsia="仿宋_GB2312"/>
          <w:sz w:val="32"/>
        </w:rPr>
        <w:t>2021年度机关运行经费支出</w:t>
      </w:r>
      <w:r>
        <w:rPr>
          <w:rFonts w:hint="eastAsia" w:ascii="仿宋_GB2312" w:eastAsia="仿宋_GB2312"/>
          <w:sz w:val="32"/>
          <w:lang w:val="en-US" w:eastAsia="zh-CN"/>
        </w:rPr>
        <w:t>105.06</w:t>
      </w:r>
      <w:r>
        <w:rPr>
          <w:rFonts w:ascii="仿宋_GB2312" w:eastAsia="仿宋_GB2312"/>
          <w:sz w:val="32"/>
        </w:rPr>
        <w:t>万元，（与部门决算中行政单位和参照公务员法管理事业单位一般公共预算财政拨款基本支出中公用经费之和一致）</w:t>
      </w:r>
      <w:r>
        <w:rPr>
          <w:rFonts w:hint="eastAsia" w:ascii="仿宋_GB2312" w:eastAsia="仿宋_GB2312"/>
          <w:sz w:val="32"/>
          <w:lang w:eastAsia="zh-CN"/>
        </w:rPr>
        <w:t>，</w:t>
      </w:r>
      <w:r>
        <w:rPr>
          <w:rFonts w:ascii="仿宋_GB2312" w:eastAsia="仿宋_GB2312"/>
          <w:sz w:val="32"/>
        </w:rPr>
        <w:t>比上年决算数减少</w:t>
      </w:r>
      <w:r>
        <w:rPr>
          <w:rFonts w:hint="eastAsia" w:ascii="仿宋_GB2312" w:eastAsia="仿宋_GB2312"/>
          <w:sz w:val="32"/>
          <w:lang w:val="en-US" w:eastAsia="zh-CN"/>
        </w:rPr>
        <w:t>19.72</w:t>
      </w:r>
      <w:r>
        <w:rPr>
          <w:rFonts w:ascii="仿宋_GB2312" w:eastAsia="仿宋_GB2312"/>
          <w:sz w:val="32"/>
        </w:rPr>
        <w:t>万元，降低</w:t>
      </w:r>
      <w:r>
        <w:rPr>
          <w:rFonts w:hint="eastAsia" w:ascii="仿宋_GB2312" w:eastAsia="仿宋_GB2312"/>
          <w:sz w:val="32"/>
          <w:lang w:val="en-US" w:eastAsia="zh-CN"/>
        </w:rPr>
        <w:t>15.8</w:t>
      </w:r>
      <w:r>
        <w:rPr>
          <w:rFonts w:ascii="仿宋_GB2312" w:eastAsia="仿宋_GB2312"/>
          <w:sz w:val="32"/>
        </w:rPr>
        <w:t>%，主要原因是</w:t>
      </w:r>
      <w:r>
        <w:rPr>
          <w:rFonts w:hint="eastAsia" w:ascii="仿宋_GB2312" w:eastAsia="仿宋_GB2312"/>
          <w:sz w:val="32"/>
          <w:lang w:val="en-US" w:eastAsia="zh-CN"/>
        </w:rPr>
        <w:t>加强资金管理，减少公用经费支出</w:t>
      </w:r>
      <w:r>
        <w:rPr>
          <w:rFonts w:ascii="仿宋_GB2312" w:eastAsia="仿宋_GB2312"/>
          <w:sz w:val="32"/>
        </w:rPr>
        <w:t>。</w:t>
      </w:r>
    </w:p>
    <w:p w14:paraId="253CA97B">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14:paraId="7FA55FC1">
      <w:pPr>
        <w:pStyle w:val="6"/>
        <w:spacing w:line="560" w:lineRule="exact"/>
        <w:ind w:firstLine="640"/>
        <w:rPr>
          <w:rFonts w:ascii="仿宋_GB2312" w:eastAsia="仿宋_GB2312"/>
          <w:sz w:val="32"/>
        </w:rPr>
      </w:pPr>
      <w:r>
        <w:rPr>
          <w:rFonts w:ascii="仿宋_GB2312" w:eastAsia="仿宋_GB2312"/>
          <w:sz w:val="32"/>
        </w:rPr>
        <w:t>2021年政府采购支出总额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14:paraId="114253D4">
      <w:pPr>
        <w:pStyle w:val="6"/>
        <w:spacing w:line="560" w:lineRule="exact"/>
        <w:ind w:firstLine="640"/>
        <w:rPr>
          <w:rFonts w:ascii="仿宋_GB2312" w:eastAsia="仿宋_GB2312"/>
          <w:sz w:val="32"/>
        </w:rPr>
      </w:pPr>
    </w:p>
    <w:p w14:paraId="59B5F931">
      <w:pPr>
        <w:pStyle w:val="6"/>
        <w:spacing w:line="560" w:lineRule="exact"/>
        <w:ind w:firstLine="640"/>
        <w:rPr>
          <w:rFonts w:hint="default" w:ascii="仿宋_GB2312" w:eastAsia="仿宋_GB2312"/>
          <w:sz w:val="32"/>
        </w:rPr>
      </w:pPr>
    </w:p>
    <w:p w14:paraId="2E41E83A">
      <w:pPr>
        <w:pStyle w:val="6"/>
        <w:numPr>
          <w:ilvl w:val="0"/>
          <w:numId w:val="2"/>
        </w:numPr>
        <w:spacing w:line="560" w:lineRule="exact"/>
        <w:ind w:firstLine="640"/>
        <w:rPr>
          <w:rFonts w:ascii="楷体_GB2312" w:eastAsia="楷体_GB2312"/>
          <w:b/>
          <w:sz w:val="32"/>
        </w:rPr>
      </w:pPr>
      <w:r>
        <w:rPr>
          <w:rFonts w:ascii="楷体_GB2312" w:eastAsia="楷体_GB2312"/>
          <w:b/>
          <w:sz w:val="32"/>
        </w:rPr>
        <w:t>国有资产占用情况。</w:t>
      </w:r>
    </w:p>
    <w:p w14:paraId="5C6AEA19">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截至2021年12月31日，共有车辆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辆，其他用车主要是……；单位价值50万元以上通用设备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14:paraId="164597BB">
      <w:pPr>
        <w:widowControl/>
        <w:spacing w:line="540" w:lineRule="exact"/>
        <w:ind w:firstLine="643" w:firstLineChars="200"/>
        <w:jc w:val="left"/>
        <w:rPr>
          <w:rFonts w:hint="default"/>
          <w:b/>
          <w:color w:val="FF0000"/>
        </w:rPr>
      </w:pPr>
      <w:r>
        <w:rPr>
          <w:rFonts w:ascii="楷体_GB2312" w:eastAsia="楷体_GB2312"/>
          <w:b/>
          <w:sz w:val="32"/>
        </w:rPr>
        <w:t>（四）预算绩效管理工作开展情况。</w:t>
      </w:r>
    </w:p>
    <w:p w14:paraId="0BB68116">
      <w:pPr>
        <w:widowControl/>
        <w:spacing w:line="560" w:lineRule="exact"/>
        <w:ind w:firstLine="640" w:firstLineChars="200"/>
        <w:rPr>
          <w:rFonts w:hint="default" w:ascii="仿宋_GB2312" w:eastAsia="仿宋_GB2312"/>
          <w:sz w:val="32"/>
        </w:rPr>
      </w:pPr>
      <w:r>
        <w:rPr>
          <w:rFonts w:hint="default" w:ascii="仿宋_GB2312" w:eastAsia="仿宋_GB2312"/>
          <w:sz w:val="32"/>
        </w:rPr>
        <w:t>1.整体绩效自评情况（附部门整体绩效自评表）。</w:t>
      </w:r>
    </w:p>
    <w:p w14:paraId="41D6EEB0">
      <w:pPr>
        <w:widowControl/>
        <w:spacing w:line="560" w:lineRule="exact"/>
        <w:ind w:firstLine="640" w:firstLineChars="200"/>
        <w:rPr>
          <w:rFonts w:hint="default" w:ascii="仿宋_GB2312" w:eastAsia="仿宋_GB2312"/>
          <w:sz w:val="32"/>
          <w:lang w:val="en-US" w:eastAsia="zh-CN"/>
        </w:rPr>
      </w:pPr>
      <w:r>
        <w:rPr>
          <w:rFonts w:hint="eastAsia" w:ascii="仿宋_GB2312" w:eastAsia="仿宋_GB2312"/>
          <w:sz w:val="32"/>
          <w:lang w:val="en-US" w:eastAsia="zh-CN"/>
        </w:rPr>
        <w:t>我单位2021年度未开展整体绩效自评工作。</w:t>
      </w:r>
    </w:p>
    <w:p w14:paraId="37E96A8F">
      <w:pPr>
        <w:widowControl/>
        <w:spacing w:line="560" w:lineRule="exact"/>
        <w:ind w:firstLine="640" w:firstLineChars="200"/>
        <w:rPr>
          <w:rFonts w:hint="default" w:ascii="仿宋_GB2312" w:eastAsia="仿宋_GB2312"/>
          <w:sz w:val="32"/>
        </w:rPr>
      </w:pPr>
      <w:r>
        <w:rPr>
          <w:rFonts w:hint="default" w:ascii="仿宋_GB2312" w:eastAsia="仿宋_GB2312"/>
          <w:sz w:val="32"/>
        </w:rPr>
        <w:t>2.项目绩效自评情况（附预算项目绩效自评表）。</w:t>
      </w:r>
    </w:p>
    <w:p w14:paraId="1423F006">
      <w:pPr>
        <w:widowControl/>
        <w:spacing w:line="560" w:lineRule="exact"/>
        <w:ind w:firstLine="640" w:firstLineChars="200"/>
        <w:rPr>
          <w:rFonts w:hint="default" w:ascii="仿宋_GB2312" w:eastAsia="仿宋_GB2312"/>
          <w:sz w:val="32"/>
        </w:rPr>
      </w:pPr>
      <w:r>
        <w:rPr>
          <w:rFonts w:hint="eastAsia" w:ascii="仿宋_GB2312" w:eastAsia="仿宋_GB2312"/>
          <w:sz w:val="32"/>
          <w:lang w:val="en-US" w:eastAsia="zh-CN"/>
        </w:rPr>
        <w:t>我单位2021年度未开展项目绩效自评工作。</w:t>
      </w:r>
    </w:p>
    <w:p w14:paraId="6FB3C27C">
      <w:pPr>
        <w:pStyle w:val="6"/>
        <w:spacing w:line="560" w:lineRule="exact"/>
        <w:ind w:firstLine="640" w:firstLineChars="200"/>
        <w:rPr>
          <w:rFonts w:hint="default" w:ascii="仿宋_GB2312" w:eastAsia="仿宋_GB2312"/>
          <w:sz w:val="32"/>
        </w:rPr>
      </w:pPr>
      <w:r>
        <w:rPr>
          <w:rFonts w:hint="default" w:ascii="仿宋_GB2312" w:eastAsia="仿宋_GB2312"/>
          <w:sz w:val="32"/>
        </w:rPr>
        <w:t>3.部门重点评价情况。</w:t>
      </w:r>
    </w:p>
    <w:p w14:paraId="0C5BC3F9">
      <w:pPr>
        <w:pStyle w:val="6"/>
        <w:spacing w:line="560" w:lineRule="exact"/>
        <w:ind w:firstLine="640" w:firstLineChars="200"/>
        <w:rPr>
          <w:rFonts w:hint="default" w:ascii="Times New Roman" w:hAnsi="Times New Roman" w:cs="Times New Roman"/>
          <w:kern w:val="0"/>
          <w:szCs w:val="21"/>
        </w:rPr>
      </w:pPr>
      <w:r>
        <w:rPr>
          <w:rFonts w:hint="eastAsia" w:ascii="仿宋_GB2312" w:eastAsia="仿宋_GB2312"/>
          <w:sz w:val="32"/>
          <w:lang w:val="en-US" w:eastAsia="zh-CN"/>
        </w:rPr>
        <w:t>我单位2021年度未开展重点评价工作。</w:t>
      </w:r>
    </w:p>
    <w:p w14:paraId="218ECBEA">
      <w:pPr>
        <w:widowControl/>
        <w:spacing w:line="560" w:lineRule="exact"/>
        <w:ind w:firstLine="640" w:firstLineChars="200"/>
        <w:rPr>
          <w:rFonts w:hint="default"/>
          <w:b/>
          <w:sz w:val="36"/>
        </w:rPr>
      </w:pPr>
      <w:r>
        <w:rPr>
          <w:rFonts w:hint="default" w:ascii="仿宋_GB2312" w:eastAsia="仿宋_GB2312"/>
          <w:sz w:val="32"/>
        </w:rPr>
        <w:t>4.其他。</w:t>
      </w:r>
    </w:p>
    <w:p w14:paraId="4F838987">
      <w:pPr>
        <w:pStyle w:val="6"/>
        <w:spacing w:line="560" w:lineRule="exact"/>
        <w:rPr>
          <w:rFonts w:hint="default"/>
          <w:b/>
          <w:sz w:val="36"/>
        </w:rPr>
      </w:pPr>
    </w:p>
    <w:p w14:paraId="590CF09D">
      <w:pPr>
        <w:pStyle w:val="9"/>
        <w:autoSpaceDN w:val="0"/>
        <w:spacing w:line="560" w:lineRule="exact"/>
        <w:jc w:val="center"/>
        <w:rPr>
          <w:b/>
          <w:bCs/>
          <w:sz w:val="36"/>
          <w:szCs w:val="36"/>
        </w:rPr>
      </w:pPr>
      <w:r>
        <w:rPr>
          <w:rFonts w:hint="eastAsia"/>
          <w:b/>
          <w:bCs/>
          <w:sz w:val="36"/>
          <w:szCs w:val="36"/>
        </w:rPr>
        <w:t>第三部分 名词解释</w:t>
      </w:r>
    </w:p>
    <w:p w14:paraId="6D52B5FB">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14:paraId="56B706B5">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14:paraId="4B028005">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14:paraId="441AC100">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14:paraId="01ED5E1F">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14:paraId="7A5FD376">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14:paraId="23EEF84F">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14:paraId="4AF77C67">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14:paraId="71925932">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14:paraId="2700E982">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14:paraId="47DC5327">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14:paraId="1C89BC2C">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14:paraId="134FB8C2">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14:paraId="6BFEB437">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3E7D5A0B">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251BB53">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14:paraId="7D731692">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14:paraId="5E12D3A7">
      <w:pPr>
        <w:pStyle w:val="6"/>
        <w:spacing w:line="560" w:lineRule="exact"/>
        <w:ind w:firstLine="640"/>
        <w:rPr>
          <w:rFonts w:hint="default" w:ascii="仿宋_GB2312" w:eastAsia="仿宋_GB2312"/>
          <w:i/>
          <w:sz w:val="32"/>
          <w:u w:val="single"/>
        </w:rPr>
      </w:pPr>
    </w:p>
    <w:p w14:paraId="7F5C2ED4">
      <w:pPr>
        <w:pStyle w:val="6"/>
        <w:spacing w:line="560" w:lineRule="atLeast"/>
        <w:jc w:val="left"/>
        <w:rPr>
          <w:rFonts w:hint="default" w:ascii="仿宋_GB2312" w:hAnsi="仿宋_GB2312" w:eastAsia="仿宋_GB2312" w:cs="仿宋_GB2312"/>
          <w:b/>
          <w:sz w:val="52"/>
          <w:szCs w:val="52"/>
        </w:rPr>
      </w:pPr>
    </w:p>
    <w:p w14:paraId="4F9E5909">
      <w:pPr>
        <w:pStyle w:val="6"/>
        <w:spacing w:line="560" w:lineRule="atLeast"/>
        <w:jc w:val="left"/>
        <w:rPr>
          <w:rFonts w:hint="default" w:ascii="仿宋_GB2312" w:hAnsi="仿宋_GB2312" w:eastAsia="仿宋_GB2312" w:cs="仿宋_GB2312"/>
          <w:b/>
          <w:sz w:val="52"/>
          <w:szCs w:val="52"/>
        </w:rPr>
      </w:pPr>
    </w:p>
    <w:p w14:paraId="103B6754">
      <w:pPr>
        <w:pStyle w:val="6"/>
        <w:spacing w:line="560" w:lineRule="atLeast"/>
        <w:jc w:val="left"/>
        <w:rPr>
          <w:rFonts w:hint="default" w:ascii="仿宋_GB2312" w:hAnsi="仿宋_GB2312" w:eastAsia="仿宋_GB2312" w:cs="仿宋_GB2312"/>
          <w:b/>
          <w:sz w:val="52"/>
          <w:szCs w:val="52"/>
        </w:rPr>
      </w:pPr>
    </w:p>
    <w:p w14:paraId="283CEAAE">
      <w:pPr>
        <w:pStyle w:val="6"/>
        <w:spacing w:line="560" w:lineRule="atLeast"/>
        <w:jc w:val="center"/>
        <w:rPr>
          <w:rFonts w:hint="eastAsia" w:ascii="仿宋_GB2312" w:hAnsi="仿宋_GB2312" w:eastAsia="仿宋_GB2312" w:cs="仿宋_GB2312"/>
          <w:b/>
          <w:sz w:val="52"/>
          <w:szCs w:val="52"/>
          <w:lang w:val="en-US" w:eastAsia="zh-CN"/>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沈阳市浑南区高坎街道办事处</w:t>
      </w:r>
    </w:p>
    <w:p w14:paraId="1302906B">
      <w:pPr>
        <w:pStyle w:val="6"/>
        <w:spacing w:line="560" w:lineRule="atLeast"/>
        <w:jc w:val="center"/>
        <w:rPr>
          <w:rFonts w:hint="default"/>
          <w:b/>
          <w:sz w:val="36"/>
        </w:rPr>
      </w:pPr>
      <w:r>
        <w:rPr>
          <w:rFonts w:ascii="仿宋_GB2312" w:hAnsi="仿宋_GB2312" w:eastAsia="仿宋_GB2312" w:cs="仿宋_GB2312"/>
          <w:b/>
          <w:sz w:val="52"/>
          <w:szCs w:val="52"/>
        </w:rPr>
        <w:t>2021年度决算表</w:t>
      </w:r>
    </w:p>
    <w:p w14:paraId="32A283C9">
      <w:pPr>
        <w:rPr>
          <w:rFonts w:hint="default" w:ascii="仿宋_GB2312" w:hAnsi="宋体" w:eastAsia="仿宋_GB2312"/>
          <w:kern w:val="0"/>
          <w:sz w:val="32"/>
        </w:rPr>
      </w:pPr>
    </w:p>
    <w:p w14:paraId="740A3D23">
      <w:pPr>
        <w:rPr>
          <w:rFonts w:hint="default" w:ascii="仿宋_GB2312" w:hAnsi="宋体" w:eastAsia="仿宋_GB2312"/>
          <w:kern w:val="0"/>
          <w:sz w:val="32"/>
        </w:rPr>
      </w:pPr>
    </w:p>
    <w:p w14:paraId="5C11D673">
      <w:pPr>
        <w:rPr>
          <w:rFonts w:hint="default" w:ascii="仿宋_GB2312" w:hAnsi="宋体" w:eastAsia="仿宋_GB2312"/>
          <w:kern w:val="0"/>
          <w:sz w:val="32"/>
        </w:rPr>
      </w:pPr>
    </w:p>
    <w:p w14:paraId="5E06F0C1">
      <w:pPr>
        <w:rPr>
          <w:rFonts w:hint="default" w:ascii="仿宋_GB2312" w:hAnsi="宋体" w:eastAsia="仿宋_GB2312"/>
          <w:kern w:val="0"/>
          <w:sz w:val="32"/>
        </w:rPr>
      </w:pPr>
    </w:p>
    <w:p w14:paraId="39AD8DB0">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144EE">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71897">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24E11">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FEBD2">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C66343">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57D51">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68CFE8"/>
    <w:multiLevelType w:val="singleLevel"/>
    <w:tmpl w:val="C168CFE8"/>
    <w:lvl w:ilvl="0" w:tentative="0">
      <w:start w:val="3"/>
      <w:numFmt w:val="chineseCounting"/>
      <w:suff w:val="nothing"/>
      <w:lvlText w:val="（%1）"/>
      <w:lvlJc w:val="left"/>
      <w:rPr>
        <w:rFonts w:hint="eastAsia"/>
      </w:rPr>
    </w:lvl>
  </w:abstractNum>
  <w:abstractNum w:abstractNumId="1">
    <w:nsid w:val="5CABB3F2"/>
    <w:multiLevelType w:val="singleLevel"/>
    <w:tmpl w:val="5CABB3F2"/>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C278A"/>
    <w:rsid w:val="001D0B4A"/>
    <w:rsid w:val="00320394"/>
    <w:rsid w:val="00342E31"/>
    <w:rsid w:val="0038444A"/>
    <w:rsid w:val="00387684"/>
    <w:rsid w:val="00416308"/>
    <w:rsid w:val="0044142C"/>
    <w:rsid w:val="00454E08"/>
    <w:rsid w:val="0048006C"/>
    <w:rsid w:val="00485722"/>
    <w:rsid w:val="00505889"/>
    <w:rsid w:val="005708DD"/>
    <w:rsid w:val="005812D3"/>
    <w:rsid w:val="005814A4"/>
    <w:rsid w:val="00590A8D"/>
    <w:rsid w:val="005C4DCE"/>
    <w:rsid w:val="00641911"/>
    <w:rsid w:val="00703BD0"/>
    <w:rsid w:val="0073566D"/>
    <w:rsid w:val="00753B9D"/>
    <w:rsid w:val="00756329"/>
    <w:rsid w:val="007E2DB8"/>
    <w:rsid w:val="007F77B9"/>
    <w:rsid w:val="008040A1"/>
    <w:rsid w:val="00882C62"/>
    <w:rsid w:val="00887854"/>
    <w:rsid w:val="00954778"/>
    <w:rsid w:val="00962BDD"/>
    <w:rsid w:val="009C0990"/>
    <w:rsid w:val="00A17144"/>
    <w:rsid w:val="00A5357A"/>
    <w:rsid w:val="00A57A14"/>
    <w:rsid w:val="00AF78E9"/>
    <w:rsid w:val="00B23821"/>
    <w:rsid w:val="00B54181"/>
    <w:rsid w:val="00BC09C4"/>
    <w:rsid w:val="00BE1D33"/>
    <w:rsid w:val="00CC49AF"/>
    <w:rsid w:val="00D05859"/>
    <w:rsid w:val="00DC3915"/>
    <w:rsid w:val="00E4305D"/>
    <w:rsid w:val="00E6044E"/>
    <w:rsid w:val="00EB315F"/>
    <w:rsid w:val="00F16B2B"/>
    <w:rsid w:val="00F67249"/>
    <w:rsid w:val="00F724E9"/>
    <w:rsid w:val="01006CB0"/>
    <w:rsid w:val="011D17A7"/>
    <w:rsid w:val="01EF2B58"/>
    <w:rsid w:val="02242747"/>
    <w:rsid w:val="034F3BD1"/>
    <w:rsid w:val="03C265F6"/>
    <w:rsid w:val="06075FF1"/>
    <w:rsid w:val="07E9598A"/>
    <w:rsid w:val="087C2F45"/>
    <w:rsid w:val="0886328A"/>
    <w:rsid w:val="096F03C0"/>
    <w:rsid w:val="09C4782E"/>
    <w:rsid w:val="0A2C224D"/>
    <w:rsid w:val="0A7F0E46"/>
    <w:rsid w:val="0ADA5B23"/>
    <w:rsid w:val="0B6E638C"/>
    <w:rsid w:val="0C664E09"/>
    <w:rsid w:val="0DE21A59"/>
    <w:rsid w:val="0ECB7368"/>
    <w:rsid w:val="0EF91020"/>
    <w:rsid w:val="0F43357B"/>
    <w:rsid w:val="0F5122BE"/>
    <w:rsid w:val="0F6B5AFF"/>
    <w:rsid w:val="0FEC0AFC"/>
    <w:rsid w:val="11612EA5"/>
    <w:rsid w:val="12E24BD5"/>
    <w:rsid w:val="133304F9"/>
    <w:rsid w:val="13FC30E4"/>
    <w:rsid w:val="14A127E5"/>
    <w:rsid w:val="16EA2974"/>
    <w:rsid w:val="173F7261"/>
    <w:rsid w:val="17E723F6"/>
    <w:rsid w:val="19B07330"/>
    <w:rsid w:val="1AA759C9"/>
    <w:rsid w:val="1C635C29"/>
    <w:rsid w:val="1D145A4B"/>
    <w:rsid w:val="1D1619FD"/>
    <w:rsid w:val="1D601502"/>
    <w:rsid w:val="20F478A4"/>
    <w:rsid w:val="228039E4"/>
    <w:rsid w:val="255D565D"/>
    <w:rsid w:val="270E1F33"/>
    <w:rsid w:val="283205FE"/>
    <w:rsid w:val="28873A0A"/>
    <w:rsid w:val="2B05316D"/>
    <w:rsid w:val="2C3A179D"/>
    <w:rsid w:val="2E2A6BDB"/>
    <w:rsid w:val="2E4F6256"/>
    <w:rsid w:val="313A1850"/>
    <w:rsid w:val="31CE7B45"/>
    <w:rsid w:val="325D325A"/>
    <w:rsid w:val="32FF4D36"/>
    <w:rsid w:val="33BD29EE"/>
    <w:rsid w:val="34C44320"/>
    <w:rsid w:val="360927A9"/>
    <w:rsid w:val="36230505"/>
    <w:rsid w:val="373E6FB2"/>
    <w:rsid w:val="373F4A34"/>
    <w:rsid w:val="37913DB0"/>
    <w:rsid w:val="37CF7331"/>
    <w:rsid w:val="3950134D"/>
    <w:rsid w:val="39C24E8B"/>
    <w:rsid w:val="3A2F06C1"/>
    <w:rsid w:val="3A705B70"/>
    <w:rsid w:val="3AE55B2F"/>
    <w:rsid w:val="3C004E1B"/>
    <w:rsid w:val="3C30355D"/>
    <w:rsid w:val="3EB11AAA"/>
    <w:rsid w:val="3F495D63"/>
    <w:rsid w:val="41122DD0"/>
    <w:rsid w:val="425B5CE9"/>
    <w:rsid w:val="42AB766E"/>
    <w:rsid w:val="42BB7909"/>
    <w:rsid w:val="42EE65CE"/>
    <w:rsid w:val="43981C13"/>
    <w:rsid w:val="45EA5542"/>
    <w:rsid w:val="478F08AA"/>
    <w:rsid w:val="47DC3773"/>
    <w:rsid w:val="489354A0"/>
    <w:rsid w:val="4A667E0B"/>
    <w:rsid w:val="4C217977"/>
    <w:rsid w:val="4D1A110D"/>
    <w:rsid w:val="4DBC74FE"/>
    <w:rsid w:val="4E30670F"/>
    <w:rsid w:val="4F5716E1"/>
    <w:rsid w:val="4FF83AC3"/>
    <w:rsid w:val="50154DEC"/>
    <w:rsid w:val="50542A8D"/>
    <w:rsid w:val="52E80913"/>
    <w:rsid w:val="54B13848"/>
    <w:rsid w:val="54F6469B"/>
    <w:rsid w:val="570E3261"/>
    <w:rsid w:val="577D6455"/>
    <w:rsid w:val="57BD5FE2"/>
    <w:rsid w:val="57CF589D"/>
    <w:rsid w:val="5AAE5CD6"/>
    <w:rsid w:val="5B697371"/>
    <w:rsid w:val="5DA11199"/>
    <w:rsid w:val="5E8E6A04"/>
    <w:rsid w:val="5EE95CDA"/>
    <w:rsid w:val="5FD736CA"/>
    <w:rsid w:val="61280649"/>
    <w:rsid w:val="62770C42"/>
    <w:rsid w:val="634B43CD"/>
    <w:rsid w:val="646C2767"/>
    <w:rsid w:val="648733AC"/>
    <w:rsid w:val="6673784D"/>
    <w:rsid w:val="673C6F2C"/>
    <w:rsid w:val="68CD2463"/>
    <w:rsid w:val="6B693FC6"/>
    <w:rsid w:val="6BCA530F"/>
    <w:rsid w:val="6C514F22"/>
    <w:rsid w:val="6D5C3D9F"/>
    <w:rsid w:val="6F030473"/>
    <w:rsid w:val="6FEE7FB2"/>
    <w:rsid w:val="712E093E"/>
    <w:rsid w:val="71D80DD7"/>
    <w:rsid w:val="724179B2"/>
    <w:rsid w:val="728C5A76"/>
    <w:rsid w:val="735018BD"/>
    <w:rsid w:val="75512308"/>
    <w:rsid w:val="7A012A26"/>
    <w:rsid w:val="7A4F61B1"/>
    <w:rsid w:val="7A6A4855"/>
    <w:rsid w:val="7B596FA3"/>
    <w:rsid w:val="7B7923F6"/>
    <w:rsid w:val="7D024843"/>
    <w:rsid w:val="7DAF2EFD"/>
    <w:rsid w:val="7DE46224"/>
    <w:rsid w:val="7E271A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字符"/>
    <w:basedOn w:val="5"/>
    <w:link w:val="3"/>
    <w:qFormat/>
    <w:uiPriority w:val="0"/>
    <w:rPr>
      <w:rFonts w:ascii="Times New Roman" w:hAnsi="Times New Roman" w:eastAsia="宋体"/>
      <w:kern w:val="2"/>
      <w:sz w:val="18"/>
      <w:szCs w:val="18"/>
    </w:rPr>
  </w:style>
  <w:style w:type="character" w:customStyle="1" w:styleId="8">
    <w:name w:val="页脚 字符"/>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8474</Words>
  <Characters>9336</Characters>
  <Lines>74</Lines>
  <Paragraphs>20</Paragraphs>
  <TotalTime>10</TotalTime>
  <ScaleCrop>false</ScaleCrop>
  <LinksUpToDate>false</LinksUpToDate>
  <CharactersWithSpaces>9372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杨洋</cp:lastModifiedBy>
  <cp:lastPrinted>2022-09-19T10:34:00Z</cp:lastPrinted>
  <dcterms:modified xsi:type="dcterms:W3CDTF">2026-02-02T01:10:28Z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9C872CB057B74C43AB101636CEB4559F_13</vt:lpwstr>
  </property>
  <property fmtid="{D5CDD505-2E9C-101B-9397-08002B2CF9AE}" pid="4" name="KSOTemplateDocerSaveRecord">
    <vt:lpwstr>eyJoZGlkIjoiNzZiZTQ3ZmI1OTFmODUzNzgwMGRlNDBmMWZiZDQzMjEiLCJ1c2VySWQiOiIyMzQ0MjI2NjQifQ==</vt:lpwstr>
  </property>
</Properties>
</file>