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699C4">
      <w:pPr>
        <w:pStyle w:val="6"/>
        <w:rPr>
          <w:rFonts w:hint="default" w:ascii="黑体" w:eastAsia="黑体"/>
          <w:sz w:val="32"/>
        </w:rPr>
      </w:pPr>
      <w:r>
        <w:rPr>
          <w:rFonts w:ascii="黑体" w:eastAsia="黑体"/>
          <w:sz w:val="32"/>
        </w:rPr>
        <w:t>附件2</w:t>
      </w:r>
    </w:p>
    <w:p w14:paraId="07B4F66E">
      <w:pPr>
        <w:pStyle w:val="6"/>
        <w:rPr>
          <w:rFonts w:hint="default"/>
          <w:b/>
          <w:sz w:val="44"/>
        </w:rPr>
      </w:pPr>
    </w:p>
    <w:p w14:paraId="4D371E1E">
      <w:pPr>
        <w:pStyle w:val="6"/>
        <w:rPr>
          <w:rFonts w:hint="default"/>
          <w:b/>
          <w:sz w:val="44"/>
        </w:rPr>
      </w:pPr>
    </w:p>
    <w:p w14:paraId="64A1D278">
      <w:pPr>
        <w:pStyle w:val="6"/>
        <w:rPr>
          <w:rFonts w:hint="default"/>
          <w:b/>
          <w:sz w:val="44"/>
        </w:rPr>
      </w:pPr>
    </w:p>
    <w:p w14:paraId="46F12166">
      <w:pPr>
        <w:spacing w:line="540" w:lineRule="exact"/>
        <w:rPr>
          <w:rFonts w:hint="default" w:ascii="宋体" w:hAnsi="宋体"/>
          <w:b/>
          <w:sz w:val="44"/>
        </w:rPr>
      </w:pPr>
    </w:p>
    <w:p w14:paraId="537420D6">
      <w:pPr>
        <w:spacing w:line="540" w:lineRule="exact"/>
        <w:ind w:left="1446" w:hanging="1446" w:hangingChars="300"/>
        <w:rPr>
          <w:rFonts w:hint="default" w:ascii="宋体" w:hAnsi="宋体"/>
          <w:b/>
          <w:sz w:val="48"/>
          <w:szCs w:val="48"/>
        </w:rPr>
      </w:pPr>
    </w:p>
    <w:p w14:paraId="789DAFBC">
      <w:pPr>
        <w:spacing w:line="540" w:lineRule="exact"/>
        <w:ind w:left="1446" w:hanging="1446" w:hangingChars="300"/>
        <w:rPr>
          <w:rFonts w:hint="default" w:ascii="宋体" w:hAnsi="宋体"/>
          <w:b/>
          <w:sz w:val="48"/>
          <w:szCs w:val="48"/>
        </w:rPr>
      </w:pPr>
    </w:p>
    <w:p w14:paraId="4F2503DC">
      <w:pPr>
        <w:spacing w:line="540" w:lineRule="exact"/>
        <w:ind w:left="1446" w:hanging="1446" w:hangingChars="300"/>
        <w:rPr>
          <w:rFonts w:hint="default" w:ascii="宋体" w:hAnsi="宋体"/>
          <w:b/>
          <w:sz w:val="48"/>
          <w:szCs w:val="48"/>
        </w:rPr>
      </w:pPr>
      <w:r>
        <w:rPr>
          <w:rFonts w:ascii="宋体" w:hAnsi="宋体"/>
          <w:b/>
          <w:sz w:val="48"/>
          <w:szCs w:val="48"/>
        </w:rPr>
        <w:t>沈阳市浑南区应急管理事务服务中心2021年度决算说明</w:t>
      </w:r>
    </w:p>
    <w:p w14:paraId="2EDBD12F">
      <w:pPr>
        <w:pStyle w:val="6"/>
        <w:jc w:val="center"/>
        <w:rPr>
          <w:rFonts w:hint="default" w:ascii="仿宋_GB2312" w:eastAsia="仿宋_GB2312"/>
          <w:b/>
          <w:sz w:val="48"/>
          <w:szCs w:val="48"/>
        </w:rPr>
      </w:pPr>
    </w:p>
    <w:p w14:paraId="55AE8448">
      <w:pPr>
        <w:pStyle w:val="6"/>
        <w:jc w:val="center"/>
        <w:rPr>
          <w:rFonts w:hint="default" w:ascii="Times New Roman" w:eastAsia="Times New Roman"/>
          <w:b/>
          <w:sz w:val="44"/>
          <w:u w:val="single"/>
        </w:rPr>
      </w:pPr>
    </w:p>
    <w:p w14:paraId="47C6C72A">
      <w:pPr>
        <w:pStyle w:val="6"/>
        <w:jc w:val="center"/>
        <w:rPr>
          <w:rFonts w:hint="default" w:ascii="Times New Roman" w:eastAsia="Times New Roman"/>
          <w:b/>
          <w:sz w:val="44"/>
          <w:u w:val="single"/>
        </w:rPr>
      </w:pPr>
    </w:p>
    <w:p w14:paraId="40883F82">
      <w:pPr>
        <w:pStyle w:val="6"/>
        <w:jc w:val="center"/>
        <w:rPr>
          <w:rFonts w:hint="default" w:ascii="Times New Roman" w:eastAsia="Times New Roman"/>
          <w:b/>
          <w:sz w:val="44"/>
          <w:u w:val="single"/>
        </w:rPr>
      </w:pPr>
    </w:p>
    <w:p w14:paraId="385AB63D">
      <w:pPr>
        <w:pStyle w:val="6"/>
        <w:jc w:val="center"/>
        <w:rPr>
          <w:rFonts w:hint="default" w:ascii="Times New Roman" w:eastAsia="Times New Roman"/>
          <w:b/>
          <w:sz w:val="44"/>
          <w:u w:val="single"/>
        </w:rPr>
      </w:pPr>
    </w:p>
    <w:p w14:paraId="17F80ECF">
      <w:pPr>
        <w:pStyle w:val="6"/>
        <w:jc w:val="center"/>
        <w:rPr>
          <w:rFonts w:hint="default" w:ascii="Times New Roman" w:eastAsia="Times New Roman"/>
          <w:b/>
          <w:sz w:val="44"/>
          <w:u w:val="single"/>
        </w:rPr>
      </w:pPr>
    </w:p>
    <w:p w14:paraId="6E56EE90">
      <w:pPr>
        <w:pStyle w:val="6"/>
        <w:jc w:val="center"/>
        <w:rPr>
          <w:rFonts w:hint="default" w:ascii="Times New Roman" w:eastAsia="Times New Roman"/>
          <w:b/>
          <w:sz w:val="44"/>
          <w:u w:val="single"/>
        </w:rPr>
      </w:pPr>
    </w:p>
    <w:p w14:paraId="7D3F2C05">
      <w:pPr>
        <w:pStyle w:val="6"/>
        <w:jc w:val="center"/>
        <w:rPr>
          <w:rFonts w:hint="default" w:ascii="Times New Roman" w:eastAsia="Times New Roman"/>
          <w:b/>
          <w:sz w:val="44"/>
          <w:u w:val="single"/>
        </w:rPr>
      </w:pPr>
    </w:p>
    <w:p w14:paraId="208C3641">
      <w:pPr>
        <w:pStyle w:val="6"/>
        <w:jc w:val="center"/>
        <w:rPr>
          <w:rFonts w:hint="default" w:ascii="Times New Roman" w:eastAsia="Times New Roman"/>
          <w:b/>
          <w:sz w:val="44"/>
          <w:u w:val="single"/>
        </w:rPr>
      </w:pPr>
    </w:p>
    <w:p w14:paraId="15C116E6">
      <w:pPr>
        <w:pStyle w:val="6"/>
        <w:jc w:val="center"/>
        <w:rPr>
          <w:rFonts w:hint="default" w:ascii="Times New Roman" w:eastAsia="Times New Roman"/>
          <w:b/>
          <w:sz w:val="44"/>
          <w:u w:val="single"/>
        </w:rPr>
      </w:pPr>
    </w:p>
    <w:p w14:paraId="0C2B4D0F">
      <w:pPr>
        <w:pStyle w:val="6"/>
        <w:spacing w:line="560" w:lineRule="exact"/>
        <w:jc w:val="center"/>
        <w:rPr>
          <w:rFonts w:hint="default"/>
          <w:b/>
          <w:sz w:val="44"/>
        </w:rPr>
      </w:pPr>
    </w:p>
    <w:p w14:paraId="569C8C4F">
      <w:pPr>
        <w:pStyle w:val="6"/>
        <w:spacing w:line="560" w:lineRule="exact"/>
        <w:jc w:val="center"/>
        <w:rPr>
          <w:rFonts w:hint="default"/>
          <w:b/>
          <w:sz w:val="44"/>
        </w:rPr>
      </w:pPr>
    </w:p>
    <w:p w14:paraId="66EB67BA">
      <w:pPr>
        <w:pStyle w:val="6"/>
        <w:spacing w:line="560" w:lineRule="exact"/>
        <w:jc w:val="center"/>
        <w:rPr>
          <w:rFonts w:hint="default"/>
          <w:b/>
          <w:sz w:val="44"/>
        </w:rPr>
      </w:pPr>
    </w:p>
    <w:p w14:paraId="5D3E2308">
      <w:pPr>
        <w:pStyle w:val="6"/>
        <w:spacing w:line="560" w:lineRule="exact"/>
        <w:ind w:firstLine="3534" w:firstLineChars="800"/>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427C137C">
      <w:pPr>
        <w:spacing w:line="540" w:lineRule="exact"/>
        <w:outlineLvl w:val="0"/>
        <w:rPr>
          <w:rFonts w:hint="default" w:ascii="黑体" w:hAnsi="黑体" w:eastAsia="黑体"/>
          <w:sz w:val="36"/>
          <w:szCs w:val="36"/>
        </w:rPr>
      </w:pPr>
      <w:r>
        <w:rPr>
          <w:rFonts w:ascii="黑体" w:eastAsia="黑体"/>
          <w:sz w:val="32"/>
        </w:rPr>
        <w:t xml:space="preserve">第一部分   </w:t>
      </w:r>
      <w:r>
        <w:rPr>
          <w:rFonts w:ascii="宋体" w:hAnsi="宋体"/>
          <w:b/>
          <w:sz w:val="36"/>
          <w:szCs w:val="36"/>
        </w:rPr>
        <w:t>沈阳市浑南区应急管理事务服务中心概况</w:t>
      </w:r>
    </w:p>
    <w:p w14:paraId="521C3053">
      <w:pPr>
        <w:pStyle w:val="6"/>
        <w:spacing w:line="560" w:lineRule="exact"/>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630407CE">
      <w:pPr>
        <w:pStyle w:val="6"/>
        <w:spacing w:line="560" w:lineRule="exact"/>
        <w:rPr>
          <w:rFonts w:hint="default" w:ascii="仿宋_GB2312" w:eastAsia="仿宋_GB2312"/>
          <w:sz w:val="32"/>
        </w:rPr>
      </w:pPr>
      <w:r>
        <w:rPr>
          <w:rFonts w:ascii="仿宋_GB2312" w:eastAsia="仿宋_GB2312"/>
          <w:sz w:val="32"/>
        </w:rPr>
        <w:t>二、决算单位构成</w:t>
      </w:r>
    </w:p>
    <w:p w14:paraId="3BEE008F">
      <w:pPr>
        <w:pStyle w:val="6"/>
        <w:spacing w:line="560" w:lineRule="exact"/>
        <w:rPr>
          <w:rFonts w:hint="default" w:ascii="黑体" w:eastAsia="黑体"/>
          <w:sz w:val="32"/>
        </w:rPr>
      </w:pPr>
      <w:r>
        <w:rPr>
          <w:rFonts w:ascii="黑体" w:eastAsia="黑体"/>
          <w:sz w:val="32"/>
        </w:rPr>
        <w:t>第二部分 沈阳市浑南区应急管理事务服务中心2021年算情况说明</w:t>
      </w:r>
    </w:p>
    <w:p w14:paraId="724786B6">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10D7A7A0">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75DCE82B">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2C6E305C">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5F2FC8AB">
      <w:pPr>
        <w:pStyle w:val="6"/>
        <w:spacing w:line="560" w:lineRule="exact"/>
        <w:rPr>
          <w:rFonts w:hint="default" w:ascii="黑体" w:eastAsia="黑体"/>
          <w:sz w:val="32"/>
        </w:rPr>
      </w:pPr>
      <w:r>
        <w:rPr>
          <w:rFonts w:ascii="仿宋_GB2312" w:eastAsia="仿宋_GB2312"/>
          <w:sz w:val="32"/>
        </w:rPr>
        <w:t>五、其他重要事项的情况说明</w:t>
      </w:r>
    </w:p>
    <w:p w14:paraId="42B465C5">
      <w:pPr>
        <w:pStyle w:val="6"/>
        <w:spacing w:line="560" w:lineRule="exact"/>
        <w:rPr>
          <w:rFonts w:hint="default" w:ascii="黑体" w:eastAsia="黑体"/>
          <w:sz w:val="32"/>
        </w:rPr>
      </w:pPr>
      <w:r>
        <w:rPr>
          <w:rFonts w:ascii="黑体" w:eastAsia="黑体"/>
          <w:sz w:val="32"/>
        </w:rPr>
        <w:t>第三部分    名词解释</w:t>
      </w:r>
    </w:p>
    <w:p w14:paraId="26B6B5A1">
      <w:pPr>
        <w:pStyle w:val="6"/>
        <w:spacing w:line="560" w:lineRule="exact"/>
        <w:rPr>
          <w:rFonts w:hint="default" w:ascii="黑体" w:eastAsia="黑体"/>
          <w:sz w:val="32"/>
        </w:rPr>
      </w:pPr>
      <w:r>
        <w:rPr>
          <w:rFonts w:ascii="黑体" w:eastAsia="黑体"/>
          <w:sz w:val="32"/>
        </w:rPr>
        <w:t>第四部分 沈阳市浑南区应急管理事务服务中心2021年决算报表</w:t>
      </w:r>
    </w:p>
    <w:p w14:paraId="028A7CFD">
      <w:pPr>
        <w:pStyle w:val="6"/>
        <w:spacing w:line="560" w:lineRule="exact"/>
        <w:rPr>
          <w:rFonts w:hint="default" w:ascii="仿宋_GB2312" w:eastAsia="仿宋_GB2312"/>
          <w:sz w:val="32"/>
        </w:rPr>
      </w:pPr>
      <w:r>
        <w:rPr>
          <w:rFonts w:ascii="仿宋_GB2312" w:eastAsia="仿宋_GB2312"/>
          <w:sz w:val="32"/>
        </w:rPr>
        <w:t>一、2021年度收入支出决算总表</w:t>
      </w:r>
    </w:p>
    <w:p w14:paraId="63D037AD">
      <w:pPr>
        <w:pStyle w:val="6"/>
        <w:spacing w:line="560" w:lineRule="exact"/>
        <w:rPr>
          <w:rFonts w:hint="default" w:ascii="仿宋_GB2312" w:eastAsia="仿宋_GB2312"/>
          <w:sz w:val="32"/>
        </w:rPr>
      </w:pPr>
      <w:r>
        <w:rPr>
          <w:rFonts w:ascii="仿宋_GB2312" w:eastAsia="仿宋_GB2312"/>
          <w:sz w:val="32"/>
        </w:rPr>
        <w:t>二、2021年度收入决算表</w:t>
      </w:r>
    </w:p>
    <w:p w14:paraId="6308EFE4">
      <w:pPr>
        <w:pStyle w:val="6"/>
        <w:spacing w:line="560" w:lineRule="exact"/>
        <w:rPr>
          <w:rFonts w:hint="default" w:ascii="仿宋_GB2312" w:eastAsia="仿宋_GB2312"/>
          <w:sz w:val="32"/>
        </w:rPr>
      </w:pPr>
      <w:r>
        <w:rPr>
          <w:rFonts w:ascii="仿宋_GB2312" w:eastAsia="仿宋_GB2312"/>
          <w:sz w:val="32"/>
        </w:rPr>
        <w:t>三、2021年度支出决算表</w:t>
      </w:r>
    </w:p>
    <w:p w14:paraId="161BEE4E">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14:paraId="1211BF58">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14:paraId="3B61EDA9">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14:paraId="2715BA79">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14:paraId="0447437F">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14:paraId="64D7B0AA">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14:paraId="16F78170">
      <w:pPr>
        <w:pStyle w:val="6"/>
        <w:spacing w:line="560" w:lineRule="exact"/>
        <w:jc w:val="center"/>
        <w:rPr>
          <w:rFonts w:hint="default"/>
          <w:b/>
          <w:sz w:val="36"/>
        </w:rPr>
      </w:pPr>
    </w:p>
    <w:p w14:paraId="13D0744B">
      <w:pPr>
        <w:pStyle w:val="6"/>
        <w:spacing w:line="560" w:lineRule="exact"/>
        <w:jc w:val="center"/>
        <w:rPr>
          <w:rFonts w:hint="default"/>
          <w:b/>
          <w:sz w:val="36"/>
          <w:szCs w:val="36"/>
        </w:rPr>
      </w:pPr>
      <w:r>
        <w:rPr>
          <w:b/>
          <w:sz w:val="36"/>
        </w:rPr>
        <w:t xml:space="preserve">第一部分 </w:t>
      </w:r>
      <w:r>
        <w:rPr>
          <w:b/>
          <w:sz w:val="36"/>
          <w:szCs w:val="36"/>
        </w:rPr>
        <w:t>沈阳市浑南区应急管理事务服务中心概况</w:t>
      </w:r>
    </w:p>
    <w:p w14:paraId="5173E172">
      <w:pPr>
        <w:pStyle w:val="6"/>
        <w:spacing w:line="560" w:lineRule="exact"/>
        <w:jc w:val="center"/>
        <w:rPr>
          <w:rFonts w:hint="default" w:ascii="黑体" w:eastAsia="黑体"/>
          <w:sz w:val="32"/>
        </w:rPr>
      </w:pPr>
    </w:p>
    <w:p w14:paraId="7616ABFA">
      <w:pPr>
        <w:pStyle w:val="6"/>
        <w:spacing w:line="560" w:lineRule="exact"/>
        <w:ind w:firstLine="640"/>
        <w:rPr>
          <w:rFonts w:hint="default" w:ascii="黑体" w:hAnsi="黑体" w:eastAsia="黑体" w:cs="黑体"/>
          <w:b/>
          <w:bCs/>
          <w:color w:val="FF0000"/>
          <w:sz w:val="32"/>
          <w:szCs w:val="32"/>
        </w:rPr>
      </w:pPr>
      <w:r>
        <w:rPr>
          <w:rFonts w:ascii="黑体" w:eastAsia="黑体"/>
          <w:sz w:val="32"/>
        </w:rPr>
        <w:t>一、主要职责</w:t>
      </w:r>
    </w:p>
    <w:p w14:paraId="0AEF0D5F">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（一）负责城市管理案件的发现、受理、派遣、处置、督办和考评工作；</w:t>
      </w:r>
    </w:p>
    <w:p w14:paraId="7EE7A575">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（二）负责百姓诉求、企业诉求案件的受理、派遣、督查、督办及反馈工作；</w:t>
      </w:r>
    </w:p>
    <w:p w14:paraId="45EE9EC4">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（三）整合公共服务信息资源，搭建民生服务平台，为百姓提供优质便捷服务；</w:t>
      </w:r>
    </w:p>
    <w:p w14:paraId="4B898E8A">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（四）负责考评区内各相关职能部门、街道办事处、社区对派遣案件的完成情况，通过绩效考核，有效推进各项工作顺利开展；</w:t>
      </w:r>
    </w:p>
    <w:p w14:paraId="2A73082B">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（五）整合社会各类管理人员，建立大联动机制，维护社会安全稳定；</w:t>
      </w:r>
    </w:p>
    <w:p w14:paraId="78945B84">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 xml:space="preserve">（六）受安全生产行政部门委托，承担工矿商贸生产经营单位（除煤矿外）安全生产监察工作，查处生产经营单位安全生产违法行为并实施处罚；    </w:t>
      </w:r>
    </w:p>
    <w:p w14:paraId="6C3A7D93">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（七）受安全生产行政部门委托，承担安全生产“12350”举报受理和奖励工作；</w:t>
      </w:r>
    </w:p>
    <w:p w14:paraId="6FE35897">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（八）受安全生产行政部门委托，负责打击安全生产领域应取得未取得安全生产许可证的非法生产经营活动；</w:t>
      </w:r>
    </w:p>
    <w:p w14:paraId="0D5BBEBA">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（九）组织开展安全生产宣传、教育、培训、指导工作；</w:t>
      </w:r>
    </w:p>
    <w:p w14:paraId="3794D88D">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（十）负责全区安全生产和智慧化城管（数字化城管）网格化建立、日常巡查及报件工作；</w:t>
      </w:r>
    </w:p>
    <w:p w14:paraId="508422EC">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（十一）负责全区应急管理事务系统平台建立和维护；</w:t>
      </w:r>
    </w:p>
    <w:p w14:paraId="036843EA">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（十二）协助城市管理行政部门网格化大排查工作；</w:t>
      </w:r>
    </w:p>
    <w:p w14:paraId="1DAF1F5B">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（十三）协助应急管理行政部门，做好调度、指挥等应急服务工作；</w:t>
      </w:r>
    </w:p>
    <w:p w14:paraId="7D2B9D1D">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（十四）铁路道口日常管理工作；</w:t>
      </w:r>
    </w:p>
    <w:p w14:paraId="5F288716">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（十五）负责派驻各街道的应急中队人事，劳资工作。各街道办事处应急中队保留原工作职能，实行区应急局、浑南区应急管理事务服务中心、街道办事处三重管理，街道办事处为安全生产责任主体；</w:t>
      </w:r>
    </w:p>
    <w:p w14:paraId="6C35B7AF">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（十六）承担区委、区政府交办的其他事项。</w:t>
      </w:r>
    </w:p>
    <w:p w14:paraId="117B01B8">
      <w:pPr>
        <w:pStyle w:val="6"/>
        <w:spacing w:line="560" w:lineRule="exact"/>
        <w:ind w:firstLine="640"/>
        <w:rPr>
          <w:rFonts w:hint="default" w:ascii="黑体" w:eastAsia="黑体"/>
          <w:sz w:val="32"/>
        </w:rPr>
      </w:pPr>
      <w:r>
        <w:rPr>
          <w:rFonts w:ascii="黑体" w:eastAsia="黑体"/>
          <w:sz w:val="32"/>
        </w:rPr>
        <w:t>二、决算单位构成</w:t>
      </w:r>
    </w:p>
    <w:p w14:paraId="251480FE">
      <w:pPr>
        <w:pStyle w:val="6"/>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val="0"/>
          <w:bCs/>
          <w:sz w:val="32"/>
          <w:szCs w:val="32"/>
        </w:rPr>
        <w:t>纳入本单位202</w:t>
      </w:r>
      <w:r>
        <w:rPr>
          <w:rFonts w:hint="default" w:ascii="仿宋_GB2312" w:hAnsi="仿宋_GB2312" w:eastAsia="仿宋_GB2312" w:cs="仿宋_GB2312"/>
          <w:b w:val="0"/>
          <w:bCs/>
          <w:sz w:val="32"/>
          <w:szCs w:val="32"/>
        </w:rPr>
        <w:t>1</w:t>
      </w:r>
      <w:r>
        <w:rPr>
          <w:rFonts w:ascii="仿宋_GB2312" w:hAnsi="仿宋_GB2312" w:eastAsia="仿宋_GB2312" w:cs="仿宋_GB2312"/>
          <w:b w:val="0"/>
          <w:bCs/>
          <w:sz w:val="32"/>
          <w:szCs w:val="32"/>
        </w:rPr>
        <w:t>年决算编制范围的是沈阳浑南区应急管理事务服务中心本级，本单位无下设机构</w:t>
      </w:r>
      <w:r>
        <w:rPr>
          <w:rFonts w:ascii="仿宋_GB2312" w:hAnsi="仿宋_GB2312" w:eastAsia="仿宋_GB2312" w:cs="仿宋_GB2312"/>
          <w:b/>
          <w:bCs/>
          <w:sz w:val="32"/>
          <w:szCs w:val="32"/>
        </w:rPr>
        <w:t>。</w:t>
      </w:r>
    </w:p>
    <w:p w14:paraId="1E512BFE">
      <w:pPr>
        <w:pStyle w:val="6"/>
        <w:spacing w:line="560" w:lineRule="exact"/>
        <w:ind w:firstLine="640"/>
        <w:rPr>
          <w:rFonts w:hint="default" w:ascii="仿宋_GB2312" w:hAnsi="仿宋_GB2312" w:eastAsia="仿宋_GB2312" w:cs="仿宋_GB2312"/>
          <w:b/>
          <w:bCs/>
          <w:color w:val="FF0000"/>
          <w:sz w:val="32"/>
          <w:szCs w:val="32"/>
        </w:rPr>
      </w:pPr>
    </w:p>
    <w:p w14:paraId="72B0F9A2">
      <w:pPr>
        <w:pStyle w:val="6"/>
        <w:spacing w:line="560" w:lineRule="exact"/>
        <w:jc w:val="center"/>
        <w:rPr>
          <w:rFonts w:hint="default" w:ascii="黑体" w:eastAsia="黑体"/>
          <w:sz w:val="32"/>
        </w:rPr>
      </w:pPr>
      <w:r>
        <w:rPr>
          <w:b/>
          <w:sz w:val="36"/>
        </w:rPr>
        <w:t xml:space="preserve">第二部分 </w:t>
      </w:r>
      <w:r>
        <w:rPr>
          <w:b/>
          <w:sz w:val="36"/>
          <w:szCs w:val="36"/>
        </w:rPr>
        <w:t>沈阳市浑南区应急管理事务服务中心</w:t>
      </w:r>
      <w:r>
        <w:rPr>
          <w:b/>
          <w:sz w:val="36"/>
        </w:rPr>
        <w:t>2021年决算情况说明</w:t>
      </w:r>
    </w:p>
    <w:p w14:paraId="37A91B79">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14:paraId="29079D29">
      <w:pPr>
        <w:widowControl/>
        <w:rPr>
          <w:rFonts w:hint="default" w:ascii="宋体" w:hAnsi="宋体" w:cs="Arial"/>
          <w:color w:val="000000"/>
          <w:kern w:val="0"/>
          <w:sz w:val="22"/>
        </w:rPr>
      </w:pPr>
      <w:r>
        <w:rPr>
          <w:rFonts w:ascii="楷体_GB2312" w:eastAsia="楷体_GB2312"/>
          <w:b/>
          <w:sz w:val="32"/>
        </w:rPr>
        <w:t>（一）收入总计</w:t>
      </w:r>
      <w:r>
        <w:rPr>
          <w:rFonts w:ascii="仿宋_GB2312" w:eastAsia="仿宋_GB2312"/>
          <w:sz w:val="32"/>
        </w:rPr>
        <w:t>4,560.51</w:t>
      </w:r>
      <w:r>
        <w:rPr>
          <w:rFonts w:ascii="楷体_GB2312" w:eastAsia="楷体_GB2312"/>
          <w:b/>
          <w:sz w:val="32"/>
        </w:rPr>
        <w:t>万元，包括：</w:t>
      </w:r>
      <w:r>
        <w:rPr>
          <w:rFonts w:hint="default" w:ascii="宋体" w:hAnsi="宋体" w:cs="Arial"/>
          <w:color w:val="000000"/>
          <w:kern w:val="0"/>
          <w:sz w:val="22"/>
        </w:rPr>
        <w:t xml:space="preserve"> </w:t>
      </w:r>
    </w:p>
    <w:p w14:paraId="7D3E82AE">
      <w:pPr>
        <w:widowControl/>
        <w:rPr>
          <w:rFonts w:hint="default" w:ascii="宋体" w:hAnsi="宋体" w:cs="Arial"/>
          <w:color w:val="000000"/>
          <w:kern w:val="0"/>
          <w:sz w:val="22"/>
        </w:rPr>
      </w:pPr>
      <w:r>
        <w:rPr>
          <w:rFonts w:ascii="仿宋_GB2312" w:eastAsia="仿宋_GB2312"/>
          <w:sz w:val="32"/>
        </w:rPr>
        <w:t>1.财政拨款收入4,559.52万元，占收入总计的</w:t>
      </w:r>
      <w:r>
        <w:rPr>
          <w:rFonts w:hint="default" w:ascii="仿宋_GB2312" w:eastAsia="仿宋_GB2312"/>
          <w:sz w:val="32"/>
        </w:rPr>
        <w:t>99.98</w:t>
      </w:r>
      <w:r>
        <w:rPr>
          <w:rFonts w:ascii="仿宋_GB2312" w:eastAsia="仿宋_GB2312"/>
          <w:sz w:val="32"/>
        </w:rPr>
        <w:t>%。其中：一般公共预算财政拨款收入4,559.52万元，政府性基金收入</w:t>
      </w:r>
      <w:r>
        <w:rPr>
          <w:rFonts w:hint="default" w:ascii="仿宋_GB2312" w:eastAsia="仿宋_GB2312"/>
          <w:sz w:val="32"/>
        </w:rPr>
        <w:t>0</w:t>
      </w:r>
      <w:r>
        <w:rPr>
          <w:rFonts w:ascii="仿宋_GB2312" w:eastAsia="仿宋_GB2312"/>
          <w:sz w:val="32"/>
        </w:rPr>
        <w:t>万元，国有资本经营预算财政拨款收入</w:t>
      </w:r>
      <w:r>
        <w:rPr>
          <w:rFonts w:hint="default" w:ascii="仿宋_GB2312" w:eastAsia="仿宋_GB2312"/>
          <w:sz w:val="32"/>
        </w:rPr>
        <w:t>0</w:t>
      </w:r>
      <w:r>
        <w:rPr>
          <w:rFonts w:ascii="仿宋_GB2312" w:eastAsia="仿宋_GB2312"/>
          <w:sz w:val="32"/>
        </w:rPr>
        <w:t>万元。</w:t>
      </w:r>
    </w:p>
    <w:p w14:paraId="56E8BC54">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default" w:ascii="仿宋_GB2312" w:eastAsia="仿宋_GB2312"/>
          <w:sz w:val="32"/>
        </w:rPr>
        <w:t>0.99</w:t>
      </w:r>
      <w:r>
        <w:rPr>
          <w:rFonts w:ascii="仿宋_GB2312" w:eastAsia="仿宋_GB2312"/>
          <w:sz w:val="32"/>
        </w:rPr>
        <w:t>万元，占收入总计的</w:t>
      </w:r>
      <w:r>
        <w:rPr>
          <w:rFonts w:hint="default" w:ascii="仿宋_GB2312" w:eastAsia="仿宋_GB2312"/>
          <w:sz w:val="32"/>
        </w:rPr>
        <w:t>0.02</w:t>
      </w:r>
      <w:r>
        <w:rPr>
          <w:rFonts w:ascii="仿宋_GB2312" w:eastAsia="仿宋_GB2312"/>
          <w:sz w:val="32"/>
        </w:rPr>
        <w:t>%。主要是</w:t>
      </w:r>
    </w:p>
    <w:p w14:paraId="70B87FA2">
      <w:pPr>
        <w:pStyle w:val="6"/>
        <w:spacing w:line="560" w:lineRule="exact"/>
        <w:rPr>
          <w:rFonts w:hint="default" w:ascii="仿宋_GB2312" w:eastAsia="仿宋_GB2312"/>
          <w:sz w:val="32"/>
        </w:rPr>
      </w:pPr>
      <w:r>
        <w:rPr>
          <w:rFonts w:ascii="仿宋_GB2312" w:eastAsia="仿宋_GB2312"/>
          <w:sz w:val="32"/>
        </w:rPr>
        <w:t>其他收入。</w:t>
      </w:r>
    </w:p>
    <w:p w14:paraId="420F212D">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default" w:ascii="仿宋_GB2312" w:eastAsia="仿宋_GB2312"/>
          <w:sz w:val="32"/>
        </w:rPr>
        <w:t>0</w:t>
      </w:r>
      <w:r>
        <w:rPr>
          <w:rFonts w:ascii="仿宋_GB2312" w:eastAsia="仿宋_GB2312"/>
          <w:sz w:val="32"/>
        </w:rPr>
        <w:t>万元，占收入总计的</w:t>
      </w:r>
      <w:r>
        <w:rPr>
          <w:rFonts w:hint="default" w:ascii="仿宋_GB2312" w:eastAsia="仿宋_GB2312"/>
          <w:sz w:val="32"/>
        </w:rPr>
        <w:t>0</w:t>
      </w:r>
      <w:r>
        <w:rPr>
          <w:rFonts w:ascii="仿宋_GB2312" w:eastAsia="仿宋_GB2312"/>
          <w:sz w:val="32"/>
        </w:rPr>
        <w:t>%。</w:t>
      </w:r>
    </w:p>
    <w:p w14:paraId="642AEC6D">
      <w:pPr>
        <w:pStyle w:val="6"/>
        <w:spacing w:line="560" w:lineRule="exact"/>
        <w:ind w:firstLine="660"/>
        <w:rPr>
          <w:rFonts w:hint="default" w:ascii="仿宋_GB2312" w:eastAsia="仿宋_GB2312"/>
          <w:sz w:val="32"/>
          <w:szCs w:val="32"/>
        </w:rPr>
      </w:pPr>
      <w:r>
        <w:rPr>
          <w:rFonts w:ascii="仿宋_GB2312" w:eastAsia="仿宋_GB2312"/>
          <w:sz w:val="32"/>
        </w:rPr>
        <w:t>与上年相比，今年收入增加</w:t>
      </w:r>
      <w:r>
        <w:rPr>
          <w:rFonts w:hint="default" w:ascii="仿宋_GB2312" w:eastAsia="仿宋_GB2312"/>
          <w:sz w:val="32"/>
        </w:rPr>
        <w:t>295.24</w:t>
      </w:r>
      <w:r>
        <w:rPr>
          <w:rFonts w:ascii="仿宋_GB2312" w:eastAsia="仿宋_GB2312"/>
          <w:sz w:val="32"/>
        </w:rPr>
        <w:t>万元，增长</w:t>
      </w:r>
      <w:r>
        <w:rPr>
          <w:rFonts w:hint="default" w:ascii="仿宋_GB2312" w:eastAsia="仿宋_GB2312"/>
          <w:sz w:val="32"/>
        </w:rPr>
        <w:t>6.9</w:t>
      </w:r>
      <w:r>
        <w:rPr>
          <w:rFonts w:ascii="仿宋_GB2312" w:eastAsia="仿宋_GB2312"/>
          <w:sz w:val="32"/>
        </w:rPr>
        <w:t>%，主要原因：</w:t>
      </w:r>
      <w:r>
        <w:rPr>
          <w:rFonts w:ascii="黑体" w:eastAsia="黑体"/>
          <w:sz w:val="32"/>
        </w:rPr>
        <w:t>一是</w:t>
      </w:r>
      <w:r>
        <w:rPr>
          <w:rFonts w:ascii="仿宋_GB2312" w:eastAsia="仿宋_GB2312"/>
          <w:sz w:val="32"/>
          <w:szCs w:val="32"/>
        </w:rPr>
        <w:t>人员调整，业务增多；</w:t>
      </w:r>
      <w:r>
        <w:rPr>
          <w:rFonts w:ascii="黑体" w:eastAsia="黑体"/>
          <w:sz w:val="32"/>
        </w:rPr>
        <w:t>二是</w:t>
      </w:r>
      <w:r>
        <w:rPr>
          <w:rFonts w:ascii="仿宋_GB2312" w:eastAsia="仿宋_GB2312"/>
          <w:sz w:val="32"/>
          <w:szCs w:val="32"/>
        </w:rPr>
        <w:t>提质升级投入增加。</w:t>
      </w:r>
    </w:p>
    <w:p w14:paraId="650F6BFE">
      <w:pPr>
        <w:widowControl/>
        <w:rPr>
          <w:rFonts w:hint="default" w:ascii="宋体" w:hAnsi="宋体" w:cs="Arial"/>
          <w:color w:val="000000"/>
          <w:kern w:val="0"/>
          <w:sz w:val="22"/>
        </w:rPr>
      </w:pPr>
      <w:r>
        <w:rPr>
          <w:rFonts w:ascii="楷体_GB2312" w:eastAsia="楷体_GB2312"/>
          <w:b/>
          <w:sz w:val="32"/>
        </w:rPr>
        <w:t>（二）支出总计</w:t>
      </w:r>
      <w:r>
        <w:rPr>
          <w:rFonts w:ascii="仿宋_GB2312" w:hAnsi="宋体" w:eastAsia="仿宋_GB2312"/>
          <w:sz w:val="32"/>
        </w:rPr>
        <w:t>4,560.01</w:t>
      </w:r>
      <w:r>
        <w:rPr>
          <w:rFonts w:ascii="楷体_GB2312" w:eastAsia="楷体_GB2312"/>
          <w:b/>
          <w:sz w:val="32"/>
        </w:rPr>
        <w:t>万元，包括：</w:t>
      </w:r>
    </w:p>
    <w:p w14:paraId="367E30A7">
      <w:pPr>
        <w:widowControl/>
        <w:rPr>
          <w:rFonts w:hint="default" w:ascii="宋体" w:hAnsi="宋体" w:cs="Arial"/>
          <w:color w:val="000000"/>
          <w:kern w:val="0"/>
          <w:sz w:val="24"/>
          <w:szCs w:val="24"/>
        </w:rPr>
      </w:pPr>
      <w:r>
        <w:rPr>
          <w:rFonts w:ascii="仿宋_GB2312" w:eastAsia="仿宋_GB2312"/>
          <w:sz w:val="32"/>
        </w:rPr>
        <w:t>1.基本支出</w:t>
      </w:r>
      <w:r>
        <w:rPr>
          <w:rFonts w:ascii="仿宋_GB2312" w:hAnsi="宋体" w:eastAsia="仿宋_GB2312"/>
          <w:sz w:val="32"/>
        </w:rPr>
        <w:t>1,095.26</w:t>
      </w:r>
      <w:r>
        <w:rPr>
          <w:rFonts w:ascii="仿宋_GB2312" w:eastAsia="仿宋_GB2312"/>
          <w:sz w:val="32"/>
        </w:rPr>
        <w:t>万元，占支出总计的</w:t>
      </w:r>
      <w:r>
        <w:rPr>
          <w:rFonts w:hint="default" w:ascii="仿宋_GB2312" w:eastAsia="仿宋_GB2312"/>
          <w:sz w:val="32"/>
        </w:rPr>
        <w:t>24.02</w:t>
      </w:r>
      <w:r>
        <w:rPr>
          <w:rFonts w:ascii="仿宋_GB2312" w:eastAsia="仿宋_GB2312"/>
          <w:sz w:val="32"/>
        </w:rPr>
        <w:t>%。主要是为保障机构正常运转、完成日常工作任务而发生的各项支出，其中：工资福利支出</w:t>
      </w:r>
      <w:r>
        <w:rPr>
          <w:rFonts w:ascii="仿宋_GB2312" w:hAnsi="宋体" w:eastAsia="仿宋_GB2312"/>
          <w:sz w:val="32"/>
        </w:rPr>
        <w:t>870.14</w:t>
      </w:r>
      <w:r>
        <w:rPr>
          <w:rFonts w:ascii="仿宋_GB2312" w:eastAsia="仿宋_GB2312"/>
          <w:sz w:val="32"/>
        </w:rPr>
        <w:t>万元，对个人和家庭的补助支出</w:t>
      </w:r>
      <w:r>
        <w:rPr>
          <w:rFonts w:ascii="仿宋_GB2312" w:hAnsi="宋体" w:eastAsia="仿宋_GB2312"/>
          <w:sz w:val="32"/>
        </w:rPr>
        <w:t>19.99</w:t>
      </w:r>
      <w:r>
        <w:rPr>
          <w:rFonts w:ascii="仿宋_GB2312" w:eastAsia="仿宋_GB2312"/>
          <w:sz w:val="32"/>
        </w:rPr>
        <w:t>万元，商品和服务支出</w:t>
      </w:r>
      <w:r>
        <w:rPr>
          <w:rFonts w:ascii="仿宋_GB2312" w:hAnsi="宋体" w:eastAsia="仿宋_GB2312"/>
          <w:sz w:val="32"/>
        </w:rPr>
        <w:t>202.06万</w:t>
      </w:r>
      <w:r>
        <w:rPr>
          <w:rFonts w:ascii="仿宋_GB2312" w:eastAsia="仿宋_GB2312"/>
          <w:sz w:val="32"/>
        </w:rPr>
        <w:t>元等。</w:t>
      </w:r>
    </w:p>
    <w:p w14:paraId="030FBFB6">
      <w:pPr>
        <w:widowControl/>
        <w:rPr>
          <w:rFonts w:hint="default" w:ascii="宋体" w:hAnsi="宋体" w:cs="Arial"/>
          <w:b/>
          <w:bCs/>
          <w:color w:val="000000"/>
          <w:kern w:val="0"/>
          <w:sz w:val="22"/>
        </w:rPr>
      </w:pPr>
      <w:r>
        <w:rPr>
          <w:rFonts w:ascii="仿宋_GB2312" w:eastAsia="仿宋_GB2312"/>
          <w:sz w:val="32"/>
        </w:rPr>
        <w:t>2.项目支出</w:t>
      </w:r>
      <w:r>
        <w:rPr>
          <w:rFonts w:ascii="仿宋_GB2312" w:hAnsi="宋体" w:eastAsia="仿宋_GB2312"/>
          <w:sz w:val="32"/>
        </w:rPr>
        <w:t>3,464.75</w:t>
      </w:r>
      <w:r>
        <w:rPr>
          <w:rFonts w:ascii="仿宋_GB2312" w:eastAsia="仿宋_GB2312"/>
          <w:sz w:val="32"/>
        </w:rPr>
        <w:t>万元，占支出总计的</w:t>
      </w:r>
      <w:r>
        <w:rPr>
          <w:rFonts w:hint="default" w:ascii="仿宋_GB2312" w:eastAsia="仿宋_GB2312"/>
          <w:sz w:val="32"/>
        </w:rPr>
        <w:t>75.98</w:t>
      </w:r>
      <w:r>
        <w:rPr>
          <w:rFonts w:ascii="仿宋_GB2312" w:eastAsia="仿宋_GB2312"/>
          <w:sz w:val="32"/>
        </w:rPr>
        <w:t>%。主要包括</w:t>
      </w:r>
      <w:r>
        <w:rPr>
          <w:rFonts w:ascii="仿宋_GB2312" w:hAnsi="宋体" w:eastAsia="仿宋_GB2312"/>
          <w:sz w:val="32"/>
          <w:szCs w:val="32"/>
        </w:rPr>
        <w:t>应急管理事务和灾害防治及应急管理支出等业务支出</w:t>
      </w:r>
      <w:r>
        <w:rPr>
          <w:rFonts w:ascii="仿宋_GB2312" w:eastAsia="仿宋_GB2312"/>
          <w:sz w:val="32"/>
        </w:rPr>
        <w:t>。</w:t>
      </w:r>
    </w:p>
    <w:p w14:paraId="11C01EF7">
      <w:pPr>
        <w:pStyle w:val="6"/>
        <w:spacing w:line="560" w:lineRule="exact"/>
        <w:ind w:firstLine="660"/>
        <w:rPr>
          <w:rFonts w:hint="default" w:ascii="仿宋_GB2312" w:eastAsia="仿宋_GB2312"/>
          <w:sz w:val="32"/>
        </w:rPr>
      </w:pPr>
      <w:r>
        <w:rPr>
          <w:rFonts w:ascii="仿宋_GB2312" w:eastAsia="仿宋_GB2312"/>
          <w:sz w:val="32"/>
        </w:rPr>
        <w:t>与上年相比，今年支出增加2</w:t>
      </w:r>
      <w:r>
        <w:rPr>
          <w:rFonts w:hint="default" w:ascii="仿宋_GB2312" w:eastAsia="仿宋_GB2312"/>
          <w:sz w:val="32"/>
        </w:rPr>
        <w:t>95.24</w:t>
      </w:r>
      <w:r>
        <w:rPr>
          <w:rFonts w:ascii="仿宋_GB2312" w:eastAsia="仿宋_GB2312"/>
          <w:sz w:val="32"/>
        </w:rPr>
        <w:t>万元，增长</w:t>
      </w:r>
      <w:r>
        <w:rPr>
          <w:rFonts w:hint="default" w:ascii="仿宋_GB2312" w:eastAsia="仿宋_GB2312"/>
          <w:sz w:val="32"/>
        </w:rPr>
        <w:t>6.9</w:t>
      </w:r>
      <w:r>
        <w:rPr>
          <w:rFonts w:ascii="仿宋_GB2312" w:eastAsia="仿宋_GB2312"/>
          <w:sz w:val="32"/>
        </w:rPr>
        <w:t>%，主要原因：</w:t>
      </w:r>
      <w:r>
        <w:rPr>
          <w:rFonts w:ascii="黑体" w:eastAsia="黑体"/>
          <w:sz w:val="32"/>
        </w:rPr>
        <w:t>一是</w:t>
      </w:r>
      <w:r>
        <w:rPr>
          <w:rFonts w:ascii="仿宋_GB2312" w:eastAsia="仿宋_GB2312"/>
          <w:sz w:val="32"/>
          <w:szCs w:val="32"/>
        </w:rPr>
        <w:t>人员调整，业务增多</w:t>
      </w:r>
      <w:r>
        <w:rPr>
          <w:rFonts w:ascii="仿宋_GB2312" w:eastAsia="仿宋_GB2312"/>
          <w:sz w:val="32"/>
        </w:rPr>
        <w:t>；</w:t>
      </w:r>
      <w:r>
        <w:rPr>
          <w:rFonts w:ascii="黑体" w:eastAsia="黑体"/>
          <w:sz w:val="32"/>
        </w:rPr>
        <w:t>二是</w:t>
      </w:r>
      <w:r>
        <w:rPr>
          <w:rFonts w:ascii="仿宋_GB2312" w:eastAsia="仿宋_GB2312"/>
          <w:sz w:val="32"/>
          <w:szCs w:val="32"/>
        </w:rPr>
        <w:t>提质升级投入增加</w:t>
      </w:r>
      <w:r>
        <w:rPr>
          <w:rFonts w:ascii="仿宋_GB2312" w:eastAsia="仿宋_GB2312"/>
          <w:sz w:val="32"/>
        </w:rPr>
        <w:t>。</w:t>
      </w:r>
    </w:p>
    <w:p w14:paraId="0F8F241A">
      <w:pPr>
        <w:pStyle w:val="6"/>
        <w:spacing w:line="560" w:lineRule="exact"/>
        <w:ind w:firstLine="660"/>
        <w:rPr>
          <w:rFonts w:hint="default" w:ascii="楷体_GB2312" w:eastAsia="楷体_GB2312"/>
          <w:b/>
          <w:sz w:val="32"/>
        </w:rPr>
      </w:pPr>
      <w:r>
        <w:rPr>
          <w:rFonts w:ascii="楷体_GB2312" w:eastAsia="楷体_GB2312"/>
          <w:b/>
          <w:sz w:val="32"/>
        </w:rPr>
        <w:t>（三）年末结转和结余0</w:t>
      </w:r>
      <w:r>
        <w:rPr>
          <w:rFonts w:hint="default" w:ascii="楷体_GB2312" w:eastAsia="楷体_GB2312"/>
          <w:b/>
          <w:sz w:val="32"/>
        </w:rPr>
        <w:t>.5</w:t>
      </w:r>
      <w:r>
        <w:rPr>
          <w:rFonts w:ascii="楷体_GB2312" w:eastAsia="楷体_GB2312"/>
          <w:b/>
          <w:sz w:val="32"/>
        </w:rPr>
        <w:t>万元</w:t>
      </w:r>
    </w:p>
    <w:p w14:paraId="0E4C88E4">
      <w:pPr>
        <w:spacing w:line="540" w:lineRule="exact"/>
        <w:ind w:firstLine="660"/>
        <w:rPr>
          <w:rFonts w:hint="default" w:ascii="仿宋_GB2312" w:hAnsi="宋体" w:eastAsia="仿宋_GB2312"/>
          <w:sz w:val="32"/>
          <w:szCs w:val="32"/>
        </w:rPr>
      </w:pPr>
      <w:r>
        <w:rPr>
          <w:rFonts w:ascii="仿宋_GB2312" w:eastAsia="仿宋_GB2312"/>
          <w:sz w:val="32"/>
        </w:rPr>
        <w:t>主要是</w:t>
      </w:r>
      <w:bookmarkStart w:id="0" w:name="_GoBack"/>
      <w:bookmarkEnd w:id="0"/>
      <w:r>
        <w:rPr>
          <w:rFonts w:ascii="仿宋_GB2312" w:hAnsi="宋体" w:eastAsia="仿宋_GB2312"/>
          <w:sz w:val="32"/>
          <w:szCs w:val="32"/>
        </w:rPr>
        <w:t>区组织部转让“党支部规范化建设示范点”经费未使用形成的结余。与上年相比，今年结转结余与上年持平。</w:t>
      </w:r>
    </w:p>
    <w:p w14:paraId="0E688DD1">
      <w:pPr>
        <w:pStyle w:val="6"/>
        <w:spacing w:line="560" w:lineRule="exact"/>
        <w:ind w:firstLine="660"/>
        <w:rPr>
          <w:rFonts w:hint="default" w:ascii="黑体" w:hAnsi="黑体" w:eastAsia="黑体"/>
          <w:b/>
          <w:bCs/>
          <w:color w:val="FF0000"/>
          <w:sz w:val="32"/>
          <w:szCs w:val="32"/>
        </w:rPr>
      </w:pPr>
      <w:r>
        <w:rPr>
          <w:rFonts w:ascii="黑体" w:eastAsia="黑体"/>
          <w:sz w:val="32"/>
        </w:rPr>
        <w:t>二、财政拨款收入支出决算情况说明</w:t>
      </w:r>
    </w:p>
    <w:p w14:paraId="3AE8A2E7">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5488D088">
      <w:pPr>
        <w:pStyle w:val="6"/>
        <w:spacing w:line="560" w:lineRule="exact"/>
        <w:ind w:firstLine="660"/>
        <w:rPr>
          <w:rFonts w:hint="default" w:ascii="宋体" w:hAnsi="宋体" w:cs="Arial"/>
          <w:color w:val="000000"/>
          <w:kern w:val="0"/>
          <w:sz w:val="22"/>
        </w:rPr>
      </w:pPr>
      <w:r>
        <w:rPr>
          <w:rFonts w:ascii="仿宋_GB2312" w:eastAsia="仿宋_GB2312"/>
          <w:sz w:val="32"/>
        </w:rPr>
        <w:t>2021年度财政拨款支出4,560.01万元，其中：基本支出1,095.26万元，项目支出3,464.75万元。与上年相比，财政拨款支出增加2</w:t>
      </w:r>
      <w:r>
        <w:rPr>
          <w:rFonts w:hint="default" w:ascii="仿宋_GB2312" w:eastAsia="仿宋_GB2312"/>
          <w:sz w:val="32"/>
        </w:rPr>
        <w:t>95.24</w:t>
      </w:r>
      <w:r>
        <w:rPr>
          <w:rFonts w:ascii="仿宋_GB2312" w:eastAsia="仿宋_GB2312"/>
          <w:sz w:val="32"/>
        </w:rPr>
        <w:t>万元，增长</w:t>
      </w:r>
      <w:r>
        <w:rPr>
          <w:rFonts w:hint="default" w:ascii="仿宋_GB2312" w:eastAsia="仿宋_GB2312"/>
          <w:sz w:val="32"/>
        </w:rPr>
        <w:t>6.9</w:t>
      </w:r>
      <w:r>
        <w:rPr>
          <w:rFonts w:ascii="仿宋_GB2312" w:eastAsia="仿宋_GB2312"/>
          <w:sz w:val="32"/>
        </w:rPr>
        <w:t>%，主要原因：</w:t>
      </w:r>
      <w:r>
        <w:rPr>
          <w:rFonts w:ascii="黑体" w:eastAsia="黑体"/>
          <w:sz w:val="32"/>
        </w:rPr>
        <w:t>一是</w:t>
      </w:r>
      <w:r>
        <w:rPr>
          <w:rFonts w:ascii="仿宋_GB2312" w:eastAsia="仿宋_GB2312"/>
          <w:sz w:val="32"/>
          <w:szCs w:val="32"/>
        </w:rPr>
        <w:t>人员调整，业务增多</w:t>
      </w:r>
      <w:r>
        <w:rPr>
          <w:rFonts w:ascii="仿宋_GB2312" w:eastAsia="仿宋_GB2312"/>
          <w:sz w:val="32"/>
        </w:rPr>
        <w:t>；</w:t>
      </w:r>
      <w:r>
        <w:rPr>
          <w:rFonts w:ascii="黑体" w:eastAsia="黑体"/>
          <w:sz w:val="32"/>
        </w:rPr>
        <w:t>二是</w:t>
      </w:r>
      <w:r>
        <w:rPr>
          <w:rFonts w:ascii="仿宋_GB2312" w:eastAsia="仿宋_GB2312"/>
          <w:sz w:val="32"/>
          <w:szCs w:val="32"/>
        </w:rPr>
        <w:t>提质升级投入增加</w:t>
      </w:r>
      <w:r>
        <w:rPr>
          <w:rFonts w:ascii="仿宋_GB2312" w:eastAsia="仿宋_GB2312"/>
          <w:sz w:val="32"/>
        </w:rPr>
        <w:t>。与年初预算相比，2021年度财政拨款支出完成年初预算的</w:t>
      </w:r>
      <w:r>
        <w:rPr>
          <w:rFonts w:hint="default" w:ascii="仿宋_GB2312" w:eastAsia="仿宋_GB2312"/>
          <w:sz w:val="32"/>
        </w:rPr>
        <w:t>100</w:t>
      </w:r>
      <w:r>
        <w:rPr>
          <w:rFonts w:ascii="仿宋_GB2312" w:eastAsia="仿宋_GB2312"/>
          <w:sz w:val="32"/>
        </w:rPr>
        <w:t>%，其中：基本支出完成年初预算的</w:t>
      </w:r>
      <w:r>
        <w:rPr>
          <w:rFonts w:hint="default" w:ascii="仿宋_GB2312" w:eastAsia="仿宋_GB2312"/>
          <w:sz w:val="32"/>
        </w:rPr>
        <w:t>100</w:t>
      </w:r>
      <w:r>
        <w:rPr>
          <w:rFonts w:ascii="仿宋_GB2312" w:eastAsia="仿宋_GB2312"/>
          <w:sz w:val="32"/>
        </w:rPr>
        <w:t>%，项目支出完成年初预算的</w:t>
      </w:r>
      <w:r>
        <w:rPr>
          <w:rFonts w:hint="default" w:ascii="仿宋_GB2312" w:eastAsia="仿宋_GB2312"/>
          <w:sz w:val="32"/>
        </w:rPr>
        <w:t>100</w:t>
      </w:r>
      <w:r>
        <w:rPr>
          <w:rFonts w:ascii="仿宋_GB2312" w:eastAsia="仿宋_GB2312"/>
          <w:sz w:val="32"/>
        </w:rPr>
        <w:t>%。</w:t>
      </w:r>
    </w:p>
    <w:p w14:paraId="15AFECEE">
      <w:pPr>
        <w:spacing w:line="560" w:lineRule="exact"/>
        <w:ind w:firstLine="660"/>
        <w:rPr>
          <w:rFonts w:hint="default" w:ascii="黑体" w:hAnsi="黑体" w:eastAsia="黑体" w:cs="黑体"/>
          <w:b/>
          <w:color w:val="FF0000"/>
          <w:sz w:val="32"/>
          <w:szCs w:val="32"/>
        </w:rPr>
      </w:pPr>
      <w:r>
        <w:rPr>
          <w:rFonts w:ascii="楷体_GB2312" w:hAnsi="宋体" w:eastAsia="楷体_GB2312"/>
          <w:b/>
          <w:sz w:val="32"/>
          <w:szCs w:val="32"/>
        </w:rPr>
        <w:t>（二）一般公共预算财政拨款支出情况。</w:t>
      </w:r>
    </w:p>
    <w:p w14:paraId="08F83540">
      <w:pPr>
        <w:widowControl/>
        <w:ind w:firstLine="640" w:firstLineChars="200"/>
        <w:rPr>
          <w:rFonts w:hint="default" w:ascii="宋体" w:hAnsi="宋体" w:cs="Arial"/>
          <w:color w:val="000000"/>
          <w:kern w:val="0"/>
          <w:sz w:val="22"/>
        </w:rPr>
      </w:pPr>
      <w:r>
        <w:rPr>
          <w:rFonts w:ascii="仿宋_GB2312" w:hAnsi="宋体" w:eastAsia="仿宋_GB2312"/>
          <w:sz w:val="32"/>
          <w:szCs w:val="32"/>
        </w:rPr>
        <w:t>2021年度一般公共预算财政拨款支出</w:t>
      </w:r>
      <w:r>
        <w:rPr>
          <w:rFonts w:ascii="仿宋_GB2312" w:hAnsi="宋体" w:eastAsia="仿宋_GB2312"/>
          <w:sz w:val="32"/>
        </w:rPr>
        <w:t>4,560.01</w:t>
      </w:r>
      <w:r>
        <w:rPr>
          <w:rFonts w:ascii="仿宋_GB2312" w:hAnsi="宋体" w:eastAsia="仿宋_GB2312"/>
          <w:sz w:val="32"/>
          <w:szCs w:val="32"/>
        </w:rPr>
        <w:t>万元，按支出功能分类科目分，包括：</w:t>
      </w:r>
      <w:r>
        <w:rPr>
          <w:rFonts w:ascii="仿宋_GB2312" w:hAnsi="仿宋_GB2312" w:eastAsia="仿宋_GB2312" w:cs="仿宋_GB2312"/>
          <w:sz w:val="32"/>
          <w:szCs w:val="32"/>
        </w:rPr>
        <w:t>社会保障和就业支出</w:t>
      </w:r>
      <w:r>
        <w:rPr>
          <w:rFonts w:ascii="仿宋_GB2312" w:hAnsi="宋体" w:eastAsia="仿宋_GB2312"/>
          <w:sz w:val="32"/>
        </w:rPr>
        <w:t>96.70</w:t>
      </w:r>
      <w:r>
        <w:rPr>
          <w:rFonts w:ascii="仿宋_GB2312" w:hAnsi="仿宋_GB2312" w:eastAsia="仿宋_GB2312" w:cs="仿宋_GB2312"/>
          <w:sz w:val="32"/>
          <w:szCs w:val="32"/>
        </w:rPr>
        <w:t>万元，</w:t>
      </w:r>
      <w:r>
        <w:rPr>
          <w:rFonts w:ascii="仿宋_GB2312" w:hAnsi="宋体" w:eastAsia="仿宋_GB2312"/>
          <w:sz w:val="32"/>
          <w:szCs w:val="32"/>
        </w:rPr>
        <w:t>占2.</w:t>
      </w:r>
      <w:r>
        <w:rPr>
          <w:rFonts w:hint="default" w:ascii="仿宋_GB2312" w:hAnsi="宋体" w:eastAsia="仿宋_GB2312"/>
          <w:sz w:val="32"/>
          <w:szCs w:val="32"/>
        </w:rPr>
        <w:t>12</w:t>
      </w:r>
      <w:r>
        <w:rPr>
          <w:rFonts w:ascii="仿宋_GB2312" w:hAnsi="宋体" w:eastAsia="仿宋_GB2312"/>
          <w:sz w:val="32"/>
          <w:szCs w:val="32"/>
        </w:rPr>
        <w:t>%；</w:t>
      </w:r>
      <w:r>
        <w:rPr>
          <w:rFonts w:ascii="仿宋_GB2312" w:hAnsi="仿宋_GB2312" w:eastAsia="仿宋_GB2312" w:cs="仿宋_GB2312"/>
          <w:sz w:val="32"/>
          <w:szCs w:val="32"/>
        </w:rPr>
        <w:t>卫生健康支出</w:t>
      </w:r>
      <w:r>
        <w:rPr>
          <w:rFonts w:ascii="仿宋_GB2312" w:hAnsi="宋体" w:eastAsia="仿宋_GB2312"/>
          <w:sz w:val="32"/>
        </w:rPr>
        <w:t>49.00</w:t>
      </w:r>
      <w:r>
        <w:rPr>
          <w:rFonts w:ascii="仿宋_GB2312" w:hAnsi="仿宋_GB2312" w:eastAsia="仿宋_GB2312" w:cs="仿宋_GB2312"/>
          <w:sz w:val="32"/>
          <w:szCs w:val="32"/>
        </w:rPr>
        <w:t>万元，</w:t>
      </w:r>
      <w:r>
        <w:rPr>
          <w:rFonts w:ascii="仿宋_GB2312" w:hAnsi="宋体" w:eastAsia="仿宋_GB2312"/>
          <w:sz w:val="32"/>
          <w:szCs w:val="32"/>
        </w:rPr>
        <w:t>占1.</w:t>
      </w:r>
      <w:r>
        <w:rPr>
          <w:rFonts w:hint="default" w:ascii="仿宋_GB2312" w:hAnsi="宋体" w:eastAsia="仿宋_GB2312"/>
          <w:sz w:val="32"/>
          <w:szCs w:val="32"/>
        </w:rPr>
        <w:t>07</w:t>
      </w:r>
      <w:r>
        <w:rPr>
          <w:rFonts w:ascii="仿宋_GB2312" w:hAnsi="宋体" w:eastAsia="仿宋_GB2312"/>
          <w:sz w:val="32"/>
          <w:szCs w:val="32"/>
        </w:rPr>
        <w:t>%；</w:t>
      </w:r>
      <w:r>
        <w:rPr>
          <w:rFonts w:ascii="仿宋_GB2312" w:hAnsi="仿宋_GB2312" w:eastAsia="仿宋_GB2312" w:cs="仿宋_GB2312"/>
          <w:sz w:val="32"/>
          <w:szCs w:val="32"/>
        </w:rPr>
        <w:t>城乡社区支出</w:t>
      </w:r>
      <w:r>
        <w:rPr>
          <w:rFonts w:ascii="仿宋_GB2312" w:hAnsi="宋体" w:eastAsia="仿宋_GB2312"/>
          <w:sz w:val="32"/>
        </w:rPr>
        <w:t>325.92万</w:t>
      </w:r>
      <w:r>
        <w:rPr>
          <w:rFonts w:ascii="仿宋_GB2312" w:hAnsi="仿宋_GB2312" w:eastAsia="仿宋_GB2312" w:cs="仿宋_GB2312"/>
          <w:sz w:val="32"/>
          <w:szCs w:val="32"/>
        </w:rPr>
        <w:t>元，</w:t>
      </w:r>
      <w:r>
        <w:rPr>
          <w:rFonts w:ascii="仿宋_GB2312" w:hAnsi="宋体" w:eastAsia="仿宋_GB2312"/>
          <w:sz w:val="32"/>
          <w:szCs w:val="32"/>
        </w:rPr>
        <w:t>占</w:t>
      </w:r>
      <w:r>
        <w:rPr>
          <w:rFonts w:hint="default" w:ascii="仿宋_GB2312" w:hAnsi="宋体" w:eastAsia="仿宋_GB2312"/>
          <w:sz w:val="32"/>
          <w:szCs w:val="32"/>
        </w:rPr>
        <w:t>7.15</w:t>
      </w:r>
      <w:r>
        <w:rPr>
          <w:rFonts w:ascii="仿宋_GB2312" w:hAnsi="宋体" w:eastAsia="仿宋_GB2312"/>
          <w:sz w:val="32"/>
          <w:szCs w:val="32"/>
        </w:rPr>
        <w:t>%；</w:t>
      </w:r>
      <w:r>
        <w:rPr>
          <w:rFonts w:ascii="仿宋_GB2312" w:hAnsi="仿宋_GB2312" w:eastAsia="仿宋_GB2312" w:cs="仿宋_GB2312"/>
          <w:sz w:val="32"/>
          <w:szCs w:val="32"/>
        </w:rPr>
        <w:t>住房保障支出</w:t>
      </w:r>
      <w:r>
        <w:rPr>
          <w:rFonts w:ascii="仿宋_GB2312" w:hAnsi="宋体" w:eastAsia="仿宋_GB2312"/>
          <w:sz w:val="32"/>
        </w:rPr>
        <w:t>160.79</w:t>
      </w:r>
      <w:r>
        <w:rPr>
          <w:rFonts w:ascii="仿宋_GB2312" w:hAnsi="仿宋_GB2312" w:eastAsia="仿宋_GB2312" w:cs="仿宋_GB2312"/>
          <w:sz w:val="32"/>
          <w:szCs w:val="32"/>
        </w:rPr>
        <w:t>万元，</w:t>
      </w:r>
      <w:r>
        <w:rPr>
          <w:rFonts w:ascii="仿宋_GB2312" w:hAnsi="宋体" w:eastAsia="仿宋_GB2312"/>
          <w:sz w:val="32"/>
          <w:szCs w:val="32"/>
        </w:rPr>
        <w:t>占</w:t>
      </w:r>
      <w:r>
        <w:rPr>
          <w:rFonts w:hint="default" w:ascii="仿宋_GB2312" w:hAnsi="宋体" w:eastAsia="仿宋_GB2312"/>
          <w:sz w:val="32"/>
          <w:szCs w:val="32"/>
        </w:rPr>
        <w:t>3.52</w:t>
      </w:r>
      <w:r>
        <w:rPr>
          <w:rFonts w:ascii="仿宋_GB2312" w:hAnsi="宋体" w:eastAsia="仿宋_GB2312"/>
          <w:sz w:val="32"/>
          <w:szCs w:val="32"/>
        </w:rPr>
        <w:t>%；</w:t>
      </w:r>
      <w:r>
        <w:rPr>
          <w:rFonts w:ascii="仿宋_GB2312" w:hAnsi="仿宋_GB2312" w:eastAsia="仿宋_GB2312" w:cs="仿宋_GB2312"/>
          <w:sz w:val="32"/>
          <w:szCs w:val="32"/>
        </w:rPr>
        <w:t>灾害防治及应急管理支出</w:t>
      </w:r>
      <w:r>
        <w:rPr>
          <w:rFonts w:ascii="仿宋_GB2312" w:hAnsi="宋体" w:eastAsia="仿宋_GB2312"/>
          <w:sz w:val="32"/>
        </w:rPr>
        <w:t>3,928.11</w:t>
      </w:r>
      <w:r>
        <w:rPr>
          <w:rFonts w:ascii="仿宋_GB2312" w:hAnsi="仿宋_GB2312" w:eastAsia="仿宋_GB2312" w:cs="仿宋_GB2312"/>
          <w:sz w:val="32"/>
          <w:szCs w:val="32"/>
        </w:rPr>
        <w:t>万元，</w:t>
      </w:r>
      <w:r>
        <w:rPr>
          <w:rFonts w:ascii="仿宋_GB2312" w:hAnsi="宋体" w:eastAsia="仿宋_GB2312"/>
          <w:sz w:val="32"/>
          <w:szCs w:val="32"/>
        </w:rPr>
        <w:t>占</w:t>
      </w:r>
      <w:r>
        <w:rPr>
          <w:rFonts w:hint="default" w:ascii="仿宋_GB2312" w:hAnsi="宋体" w:eastAsia="仿宋_GB2312"/>
          <w:sz w:val="32"/>
          <w:szCs w:val="32"/>
        </w:rPr>
        <w:t>86.14</w:t>
      </w:r>
      <w:r>
        <w:rPr>
          <w:rFonts w:ascii="仿宋_GB2312" w:hAnsi="宋体" w:eastAsia="仿宋_GB2312"/>
          <w:sz w:val="32"/>
          <w:szCs w:val="32"/>
        </w:rPr>
        <w:t>%。</w:t>
      </w:r>
    </w:p>
    <w:p w14:paraId="4F2E3FAF">
      <w:pPr>
        <w:pStyle w:val="6"/>
        <w:numPr>
          <w:ilvl w:val="0"/>
          <w:numId w:val="1"/>
        </w:numPr>
        <w:spacing w:line="560" w:lineRule="atLeast"/>
        <w:ind w:firstLine="660"/>
        <w:rPr>
          <w:rFonts w:hint="default" w:ascii="仿宋_GB2312" w:hAnsi="仿宋_GB2312" w:eastAsia="仿宋_GB2312" w:cs="仿宋_GB2312"/>
          <w:sz w:val="32"/>
          <w:szCs w:val="32"/>
        </w:rPr>
      </w:pPr>
      <w:r>
        <w:rPr>
          <w:rFonts w:ascii="仿宋_GB2312" w:hAnsi="仿宋_GB2312" w:eastAsia="仿宋_GB2312" w:cs="仿宋_GB2312"/>
          <w:sz w:val="32"/>
          <w:szCs w:val="32"/>
        </w:rPr>
        <w:t>社会保障和就业支出</w:t>
      </w:r>
      <w:r>
        <w:rPr>
          <w:rFonts w:ascii="仿宋_GB2312" w:eastAsia="仿宋_GB2312"/>
          <w:sz w:val="32"/>
        </w:rPr>
        <w:t>96.70</w:t>
      </w:r>
      <w:r>
        <w:rPr>
          <w:rFonts w:ascii="仿宋_GB2312" w:hAnsi="仿宋_GB2312" w:eastAsia="仿宋_GB2312" w:cs="仿宋_GB2312"/>
          <w:sz w:val="32"/>
          <w:szCs w:val="32"/>
        </w:rPr>
        <w:t>万元，包括：</w:t>
      </w:r>
    </w:p>
    <w:p w14:paraId="05BFD26D">
      <w:pPr>
        <w:widowControl/>
        <w:rPr>
          <w:rFonts w:hint="default" w:ascii="宋体" w:hAnsi="宋体" w:cs="Arial"/>
          <w:color w:val="000000"/>
          <w:kern w:val="0"/>
          <w:sz w:val="22"/>
        </w:rPr>
      </w:pPr>
      <w:r>
        <w:rPr>
          <w:rFonts w:ascii="仿宋_GB2312" w:hAnsi="仿宋_GB2312" w:eastAsia="仿宋_GB2312" w:cs="仿宋_GB2312"/>
          <w:sz w:val="32"/>
          <w:szCs w:val="32"/>
        </w:rPr>
        <w:t>（1）</w:t>
      </w:r>
      <w:r>
        <w:rPr>
          <w:rFonts w:ascii="仿宋_GB2312" w:hAnsi="宋体" w:eastAsia="仿宋_GB2312"/>
          <w:sz w:val="32"/>
          <w:szCs w:val="32"/>
        </w:rPr>
        <w:t>社会保障和就业支出，</w:t>
      </w:r>
      <w:r>
        <w:rPr>
          <w:rFonts w:ascii="仿宋_GB2312" w:hAnsi="仿宋_GB2312" w:eastAsia="仿宋_GB2312" w:cs="仿宋_GB2312"/>
          <w:sz w:val="32"/>
          <w:szCs w:val="32"/>
        </w:rPr>
        <w:t>机关事业单位基本养老保险缴费支出</w:t>
      </w:r>
      <w:r>
        <w:rPr>
          <w:rFonts w:ascii="仿宋_GB2312" w:hAnsi="宋体" w:eastAsia="仿宋_GB2312"/>
          <w:sz w:val="32"/>
        </w:rPr>
        <w:t>86.23</w:t>
      </w:r>
      <w:r>
        <w:rPr>
          <w:rFonts w:ascii="仿宋_GB2312" w:hAnsi="仿宋_GB2312" w:eastAsia="仿宋_GB2312" w:cs="仿宋_GB2312"/>
          <w:sz w:val="32"/>
          <w:szCs w:val="32"/>
        </w:rPr>
        <w:t>万元，</w:t>
      </w:r>
      <w:r>
        <w:rPr>
          <w:rFonts w:ascii="仿宋_GB2312" w:hAnsi="仿宋_GB2312" w:eastAsia="仿宋_GB2312" w:cs="仿宋_GB2312"/>
          <w:bCs/>
          <w:sz w:val="32"/>
          <w:szCs w:val="32"/>
        </w:rPr>
        <w:t>完成年初预算的8</w:t>
      </w:r>
      <w:r>
        <w:rPr>
          <w:rFonts w:hint="default" w:ascii="仿宋_GB2312" w:hAnsi="仿宋_GB2312" w:eastAsia="仿宋_GB2312" w:cs="仿宋_GB2312"/>
          <w:bCs/>
          <w:sz w:val="32"/>
          <w:szCs w:val="32"/>
        </w:rPr>
        <w:t>9</w:t>
      </w:r>
      <w:r>
        <w:rPr>
          <w:rFonts w:ascii="仿宋_GB2312" w:hAnsi="仿宋_GB2312" w:eastAsia="仿宋_GB2312" w:cs="仿宋_GB2312"/>
          <w:bCs/>
          <w:sz w:val="32"/>
          <w:szCs w:val="32"/>
        </w:rPr>
        <w:t>.1</w:t>
      </w:r>
      <w:r>
        <w:rPr>
          <w:rFonts w:hint="default" w:ascii="仿宋_GB2312" w:hAnsi="仿宋_GB2312" w:eastAsia="仿宋_GB2312" w:cs="仿宋_GB2312"/>
          <w:bCs/>
          <w:sz w:val="32"/>
          <w:szCs w:val="32"/>
        </w:rPr>
        <w:t>7</w:t>
      </w:r>
      <w:r>
        <w:rPr>
          <w:rFonts w:ascii="仿宋_GB2312" w:hAnsi="仿宋_GB2312" w:eastAsia="仿宋_GB2312" w:cs="仿宋_GB2312"/>
          <w:bCs/>
          <w:sz w:val="32"/>
          <w:szCs w:val="32"/>
        </w:rPr>
        <w:t>%，</w:t>
      </w:r>
      <w:r>
        <w:rPr>
          <w:rFonts w:ascii="仿宋_GB2312" w:hAnsi="宋体" w:eastAsia="仿宋_GB2312"/>
          <w:sz w:val="32"/>
          <w:szCs w:val="32"/>
        </w:rPr>
        <w:t>决算数小于年初预算数</w:t>
      </w:r>
      <w:r>
        <w:rPr>
          <w:rFonts w:ascii="仿宋_GB2312" w:hAnsi="仿宋_GB2312" w:eastAsia="仿宋_GB2312" w:cs="仿宋_GB2312"/>
          <w:sz w:val="32"/>
          <w:szCs w:val="32"/>
        </w:rPr>
        <w:t>主要是</w:t>
      </w:r>
      <w:r>
        <w:rPr>
          <w:rFonts w:ascii="仿宋_GB2312" w:hAnsi="宋体" w:eastAsia="仿宋_GB2312"/>
          <w:sz w:val="32"/>
          <w:szCs w:val="32"/>
        </w:rPr>
        <w:t>单位人员变化，养老保险缴费基数的变化，导致实际支出小于年初预算数。</w:t>
      </w:r>
    </w:p>
    <w:p w14:paraId="39010480">
      <w:pPr>
        <w:spacing w:line="540" w:lineRule="exact"/>
        <w:ind w:firstLine="640" w:firstLineChars="200"/>
        <w:rPr>
          <w:rFonts w:hint="default" w:ascii="仿宋_GB2312" w:hAnsi="宋体" w:eastAsia="仿宋_GB2312"/>
          <w:sz w:val="32"/>
          <w:szCs w:val="32"/>
        </w:rPr>
      </w:pPr>
      <w:r>
        <w:rPr>
          <w:rFonts w:ascii="仿宋_GB2312" w:hAnsi="宋体" w:eastAsia="仿宋_GB2312"/>
          <w:sz w:val="32"/>
          <w:szCs w:val="32"/>
        </w:rPr>
        <w:t>（2）社会保障和就业支出</w:t>
      </w:r>
      <w:r>
        <w:rPr>
          <w:rFonts w:ascii="仿宋_GB2312" w:eastAsia="仿宋_GB2312"/>
          <w:sz w:val="32"/>
          <w:szCs w:val="32"/>
        </w:rPr>
        <w:t>，</w:t>
      </w:r>
      <w:r>
        <w:rPr>
          <w:rFonts w:ascii="仿宋_GB2312" w:hAnsi="仿宋_GB2312" w:eastAsia="仿宋_GB2312" w:cs="仿宋_GB2312"/>
          <w:sz w:val="32"/>
          <w:szCs w:val="32"/>
        </w:rPr>
        <w:t>机关事业单位职业年金缴费支出</w:t>
      </w:r>
      <w:r>
        <w:rPr>
          <w:rFonts w:hint="default" w:ascii="仿宋_GB2312" w:hAnsi="仿宋_GB2312" w:eastAsia="仿宋_GB2312" w:cs="仿宋_GB2312"/>
          <w:sz w:val="32"/>
          <w:szCs w:val="32"/>
        </w:rPr>
        <w:t>0.03</w:t>
      </w:r>
      <w:r>
        <w:rPr>
          <w:rFonts w:ascii="仿宋_GB2312" w:hAnsi="仿宋_GB2312" w:eastAsia="仿宋_GB2312" w:cs="仿宋_GB2312"/>
          <w:sz w:val="32"/>
          <w:szCs w:val="32"/>
        </w:rPr>
        <w:t>万元。主要用于</w:t>
      </w:r>
      <w:r>
        <w:rPr>
          <w:rFonts w:ascii="仿宋_GB2312" w:hAnsi="宋体" w:eastAsia="仿宋_GB2312"/>
          <w:sz w:val="32"/>
          <w:szCs w:val="32"/>
        </w:rPr>
        <w:t>单位职业年金</w:t>
      </w:r>
      <w:r>
        <w:rPr>
          <w:rFonts w:ascii="仿宋_GB2312" w:hAnsi="仿宋_GB2312" w:eastAsia="仿宋_GB2312" w:cs="仿宋_GB2312"/>
          <w:sz w:val="32"/>
          <w:szCs w:val="32"/>
        </w:rPr>
        <w:t>的个人职业年金支出。</w:t>
      </w:r>
      <w:r>
        <w:rPr>
          <w:rFonts w:ascii="仿宋_GB2312" w:hAnsi="仿宋_GB2312" w:eastAsia="仿宋_GB2312" w:cs="仿宋_GB2312"/>
          <w:bCs/>
          <w:sz w:val="32"/>
          <w:szCs w:val="32"/>
        </w:rPr>
        <w:t>完成年初预算的98.10%，</w:t>
      </w:r>
      <w:r>
        <w:rPr>
          <w:rFonts w:ascii="仿宋_GB2312" w:hAnsi="宋体" w:eastAsia="仿宋_GB2312"/>
          <w:sz w:val="32"/>
          <w:szCs w:val="32"/>
        </w:rPr>
        <w:t>决算数小于年初预算数的原因主要是按照要求在职人员暂时只缴纳个人部分，对当年退休人员补缴单位部分及利息款，导致决算数小于预算数。</w:t>
      </w:r>
    </w:p>
    <w:p w14:paraId="40F279A0">
      <w:pPr>
        <w:spacing w:line="540" w:lineRule="exact"/>
        <w:ind w:firstLine="640" w:firstLineChars="200"/>
        <w:rPr>
          <w:rFonts w:hint="default" w:ascii="仿宋_GB2312" w:hAnsi="宋体" w:eastAsia="仿宋_GB2312"/>
          <w:sz w:val="32"/>
          <w:szCs w:val="32"/>
        </w:rPr>
      </w:pPr>
      <w:r>
        <w:rPr>
          <w:rFonts w:ascii="仿宋_GB2312" w:hAnsi="宋体" w:eastAsia="仿宋_GB2312"/>
          <w:sz w:val="32"/>
          <w:szCs w:val="32"/>
        </w:rPr>
        <w:t>（3）社会保障和就业支出事业单位养老支出离退休（项）</w:t>
      </w:r>
      <w:r>
        <w:rPr>
          <w:rFonts w:hint="default" w:ascii="仿宋_GB2312" w:hAnsi="宋体" w:eastAsia="仿宋_GB2312"/>
          <w:sz w:val="32"/>
          <w:szCs w:val="32"/>
        </w:rPr>
        <w:t>3.06</w:t>
      </w:r>
      <w:r>
        <w:rPr>
          <w:rFonts w:ascii="仿宋_GB2312" w:hAnsi="宋体" w:eastAsia="仿宋_GB2312"/>
          <w:sz w:val="32"/>
          <w:szCs w:val="32"/>
        </w:rPr>
        <w:t>万元，主要是离退休人员取暖费、大额医保等支出，完成年初预算的9</w:t>
      </w:r>
      <w:r>
        <w:rPr>
          <w:rFonts w:hint="default" w:ascii="仿宋_GB2312" w:hAnsi="宋体" w:eastAsia="仿宋_GB2312"/>
          <w:sz w:val="32"/>
          <w:szCs w:val="32"/>
        </w:rPr>
        <w:t>2</w:t>
      </w:r>
      <w:r>
        <w:rPr>
          <w:rFonts w:ascii="仿宋_GB2312" w:hAnsi="宋体" w:eastAsia="仿宋_GB2312"/>
          <w:sz w:val="32"/>
          <w:szCs w:val="32"/>
        </w:rPr>
        <w:t>%，决算数小于年初预算数的原因主要是有退休人员过世，退休人数减少，导致经费小于年初预算数。</w:t>
      </w:r>
    </w:p>
    <w:p w14:paraId="121E7E78">
      <w:pPr>
        <w:pStyle w:val="6"/>
        <w:spacing w:line="560" w:lineRule="atLeast"/>
        <w:rPr>
          <w:rFonts w:hint="default" w:ascii="仿宋_GB2312" w:hAnsi="仿宋_GB2312" w:eastAsia="仿宋_GB2312" w:cs="仿宋_GB2312"/>
          <w:bCs/>
          <w:sz w:val="32"/>
          <w:szCs w:val="32"/>
        </w:rPr>
      </w:pPr>
    </w:p>
    <w:p w14:paraId="66C0DB8E">
      <w:pPr>
        <w:spacing w:line="540" w:lineRule="exact"/>
        <w:ind w:firstLine="660"/>
        <w:rPr>
          <w:rFonts w:hint="default" w:ascii="仿宋_GB2312" w:hAnsi="宋体" w:eastAsia="仿宋_GB2312"/>
          <w:sz w:val="32"/>
          <w:szCs w:val="32"/>
        </w:rPr>
      </w:pPr>
      <w:r>
        <w:rPr>
          <w:rFonts w:ascii="仿宋_GB2312" w:hAnsi="宋体" w:eastAsia="仿宋_GB2312"/>
          <w:sz w:val="32"/>
          <w:szCs w:val="32"/>
        </w:rPr>
        <w:t>2、卫生健康支出4</w:t>
      </w:r>
      <w:r>
        <w:rPr>
          <w:rFonts w:hint="default" w:ascii="仿宋_GB2312" w:hAnsi="宋体" w:eastAsia="仿宋_GB2312"/>
          <w:sz w:val="32"/>
          <w:szCs w:val="32"/>
        </w:rPr>
        <w:t>9</w:t>
      </w:r>
      <w:r>
        <w:rPr>
          <w:rFonts w:ascii="仿宋_GB2312" w:hAnsi="宋体" w:eastAsia="仿宋_GB2312"/>
          <w:sz w:val="32"/>
          <w:szCs w:val="32"/>
        </w:rPr>
        <w:t>万元，具体包括：</w:t>
      </w:r>
    </w:p>
    <w:p w14:paraId="744BA467">
      <w:pPr>
        <w:spacing w:line="540" w:lineRule="exact"/>
        <w:ind w:firstLine="660"/>
        <w:rPr>
          <w:rFonts w:hint="default" w:ascii="仿宋_GB2312" w:hAnsi="宋体" w:eastAsia="仿宋_GB2312"/>
          <w:sz w:val="32"/>
          <w:szCs w:val="32"/>
        </w:rPr>
      </w:pPr>
      <w:r>
        <w:rPr>
          <w:rFonts w:ascii="仿宋_GB2312" w:hAnsi="宋体" w:eastAsia="仿宋_GB2312"/>
          <w:sz w:val="32"/>
          <w:szCs w:val="32"/>
        </w:rPr>
        <w:t>（1）卫生健康支出（类）事业单位医疗（款）单位医疗支出（项）4</w:t>
      </w:r>
      <w:r>
        <w:rPr>
          <w:rFonts w:hint="default" w:ascii="仿宋_GB2312" w:hAnsi="宋体" w:eastAsia="仿宋_GB2312"/>
          <w:sz w:val="32"/>
          <w:szCs w:val="32"/>
        </w:rPr>
        <w:t>6.09</w:t>
      </w:r>
      <w:r>
        <w:rPr>
          <w:rFonts w:ascii="仿宋_GB2312" w:hAnsi="宋体" w:eastAsia="仿宋_GB2312"/>
          <w:sz w:val="32"/>
          <w:szCs w:val="32"/>
        </w:rPr>
        <w:t>万元，主要是在职人员医疗保险费用支出支出，完成年初预算的94.</w:t>
      </w:r>
      <w:r>
        <w:rPr>
          <w:rFonts w:hint="default" w:ascii="仿宋_GB2312" w:hAnsi="宋体" w:eastAsia="仿宋_GB2312"/>
          <w:sz w:val="32"/>
          <w:szCs w:val="32"/>
        </w:rPr>
        <w:t>06</w:t>
      </w:r>
      <w:r>
        <w:rPr>
          <w:rFonts w:ascii="仿宋_GB2312" w:hAnsi="宋体" w:eastAsia="仿宋_GB2312"/>
          <w:sz w:val="32"/>
          <w:szCs w:val="32"/>
        </w:rPr>
        <w:t>%，决算数小于年初预算数的原因主要是人员变化，医保缴费基数变化导致。</w:t>
      </w:r>
    </w:p>
    <w:p w14:paraId="547CFD52">
      <w:pPr>
        <w:spacing w:line="54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2</w:t>
      </w:r>
      <w:r>
        <w:rPr>
          <w:rFonts w:ascii="仿宋_GB2312" w:hAnsi="宋体" w:eastAsia="仿宋_GB2312"/>
          <w:sz w:val="32"/>
          <w:szCs w:val="32"/>
        </w:rPr>
        <w:t>）卫生健康支出（类）其他行政事业单位医疗支出（项）1.</w:t>
      </w:r>
      <w:r>
        <w:rPr>
          <w:rFonts w:hint="default" w:ascii="仿宋_GB2312" w:hAnsi="宋体" w:eastAsia="仿宋_GB2312"/>
          <w:sz w:val="32"/>
          <w:szCs w:val="32"/>
        </w:rPr>
        <w:t>4</w:t>
      </w:r>
      <w:r>
        <w:rPr>
          <w:rFonts w:ascii="仿宋_GB2312" w:hAnsi="宋体" w:eastAsia="仿宋_GB2312"/>
          <w:sz w:val="32"/>
          <w:szCs w:val="32"/>
        </w:rPr>
        <w:t>1万元，主要是在职及退休人员医疗补助费用等支出，完成年初预算的97.32%，决算数小于年初预算数的原因主要是</w:t>
      </w:r>
      <w:r>
        <w:rPr>
          <w:rFonts w:hint="eastAsia" w:ascii="仿宋_GB2312" w:hAnsi="宋体" w:eastAsia="仿宋_GB2312"/>
          <w:sz w:val="32"/>
          <w:szCs w:val="32"/>
          <w:lang w:eastAsia="zh-CN"/>
        </w:rPr>
        <w:t>厉行节约</w:t>
      </w:r>
      <w:r>
        <w:rPr>
          <w:rFonts w:ascii="仿宋_GB2312" w:hAnsi="宋体" w:eastAsia="仿宋_GB2312"/>
          <w:sz w:val="32"/>
          <w:szCs w:val="32"/>
        </w:rPr>
        <w:t>。</w:t>
      </w:r>
    </w:p>
    <w:p w14:paraId="3B563620">
      <w:pPr>
        <w:spacing w:line="540" w:lineRule="exact"/>
        <w:ind w:firstLine="660"/>
        <w:rPr>
          <w:rFonts w:hint="default" w:ascii="仿宋_GB2312" w:hAnsi="宋体" w:eastAsia="仿宋_GB2312"/>
          <w:sz w:val="32"/>
          <w:szCs w:val="32"/>
        </w:rPr>
      </w:pPr>
      <w:r>
        <w:rPr>
          <w:rFonts w:ascii="仿宋_GB2312" w:hAnsi="宋体" w:eastAsia="仿宋_GB2312"/>
          <w:sz w:val="32"/>
          <w:szCs w:val="32"/>
        </w:rPr>
        <w:t>3、城乡社区支出</w:t>
      </w:r>
      <w:r>
        <w:rPr>
          <w:rFonts w:hint="default" w:ascii="仿宋_GB2312" w:hAnsi="宋体" w:eastAsia="仿宋_GB2312"/>
          <w:sz w:val="32"/>
          <w:szCs w:val="32"/>
        </w:rPr>
        <w:t>325.92</w:t>
      </w:r>
      <w:r>
        <w:rPr>
          <w:rFonts w:ascii="仿宋_GB2312" w:hAnsi="宋体" w:eastAsia="仿宋_GB2312"/>
          <w:sz w:val="32"/>
          <w:szCs w:val="32"/>
        </w:rPr>
        <w:t>万元，具体包括：</w:t>
      </w:r>
    </w:p>
    <w:p w14:paraId="117132BE">
      <w:pPr>
        <w:spacing w:line="540" w:lineRule="exact"/>
        <w:ind w:firstLine="660"/>
        <w:rPr>
          <w:rFonts w:hint="default" w:ascii="仿宋_GB2312" w:hAnsi="宋体" w:eastAsia="仿宋_GB2312"/>
          <w:sz w:val="32"/>
          <w:szCs w:val="32"/>
        </w:rPr>
      </w:pPr>
      <w:r>
        <w:rPr>
          <w:rFonts w:ascii="仿宋_GB2312" w:hAnsi="宋体" w:eastAsia="仿宋_GB2312"/>
          <w:sz w:val="32"/>
          <w:szCs w:val="32"/>
        </w:rPr>
        <w:t>城乡社区支出（类）城乡社区管理事务（款）其他城乡社区管理事务支出（项）</w:t>
      </w:r>
      <w:r>
        <w:rPr>
          <w:rFonts w:hint="default" w:ascii="仿宋_GB2312" w:hAnsi="宋体" w:eastAsia="仿宋_GB2312"/>
          <w:sz w:val="32"/>
          <w:szCs w:val="32"/>
        </w:rPr>
        <w:t>325.92</w:t>
      </w:r>
      <w:r>
        <w:rPr>
          <w:rFonts w:ascii="仿宋_GB2312" w:hAnsi="宋体" w:eastAsia="仿宋_GB2312"/>
          <w:sz w:val="32"/>
          <w:szCs w:val="32"/>
        </w:rPr>
        <w:t xml:space="preserve">万元，主要是单位项目拆除、安装费等支出，完成年初预算的100%，决算数等于年初预算数的原因是此业务年初预算列入政府专项，决算列入部门预算。             </w:t>
      </w:r>
    </w:p>
    <w:p w14:paraId="2758DB91">
      <w:pPr>
        <w:spacing w:line="540" w:lineRule="exact"/>
        <w:ind w:firstLine="660"/>
        <w:rPr>
          <w:rFonts w:hint="default" w:ascii="仿宋_GB2312" w:hAnsi="宋体" w:eastAsia="仿宋_GB2312"/>
          <w:sz w:val="32"/>
          <w:szCs w:val="32"/>
        </w:rPr>
      </w:pPr>
      <w:r>
        <w:rPr>
          <w:rFonts w:ascii="仿宋_GB2312" w:hAnsi="宋体" w:eastAsia="仿宋_GB2312"/>
          <w:sz w:val="32"/>
          <w:szCs w:val="32"/>
        </w:rPr>
        <w:t>4、住房保障支出1</w:t>
      </w:r>
      <w:r>
        <w:rPr>
          <w:rFonts w:hint="default" w:ascii="仿宋_GB2312" w:hAnsi="宋体" w:eastAsia="仿宋_GB2312"/>
          <w:sz w:val="32"/>
          <w:szCs w:val="32"/>
        </w:rPr>
        <w:t>60</w:t>
      </w:r>
      <w:r>
        <w:rPr>
          <w:rFonts w:ascii="仿宋_GB2312" w:hAnsi="宋体" w:eastAsia="仿宋_GB2312"/>
          <w:sz w:val="32"/>
          <w:szCs w:val="32"/>
        </w:rPr>
        <w:t>.79万元，具体包括：</w:t>
      </w:r>
    </w:p>
    <w:p w14:paraId="50E65A5E">
      <w:pPr>
        <w:spacing w:line="540" w:lineRule="exact"/>
        <w:ind w:firstLine="320" w:firstLineChars="100"/>
        <w:rPr>
          <w:rFonts w:hint="default" w:ascii="仿宋_GB2312" w:hAnsi="宋体" w:eastAsia="仿宋_GB2312"/>
          <w:sz w:val="32"/>
          <w:szCs w:val="32"/>
        </w:rPr>
      </w:pPr>
      <w:r>
        <w:rPr>
          <w:rFonts w:ascii="仿宋_GB2312" w:hAnsi="宋体" w:eastAsia="仿宋_GB2312"/>
          <w:sz w:val="32"/>
          <w:szCs w:val="32"/>
        </w:rPr>
        <w:t>住房保障支出（类）住房改革支出（款）住房公积金（项）1</w:t>
      </w:r>
      <w:r>
        <w:rPr>
          <w:rFonts w:hint="default" w:ascii="仿宋_GB2312" w:hAnsi="宋体" w:eastAsia="仿宋_GB2312"/>
          <w:sz w:val="32"/>
          <w:szCs w:val="32"/>
        </w:rPr>
        <w:t>60</w:t>
      </w:r>
      <w:r>
        <w:rPr>
          <w:rFonts w:ascii="仿宋_GB2312" w:hAnsi="宋体" w:eastAsia="仿宋_GB2312"/>
          <w:sz w:val="32"/>
          <w:szCs w:val="32"/>
        </w:rPr>
        <w:t>.79万元，主要是单位职工住房公积金支出，完成年初预算的</w:t>
      </w:r>
      <w:r>
        <w:rPr>
          <w:rFonts w:hint="default" w:ascii="仿宋_GB2312" w:hAnsi="宋体" w:eastAsia="仿宋_GB2312"/>
          <w:sz w:val="32"/>
          <w:szCs w:val="32"/>
        </w:rPr>
        <w:t>100</w:t>
      </w:r>
      <w:r>
        <w:rPr>
          <w:rFonts w:ascii="仿宋_GB2312" w:hAnsi="宋体" w:eastAsia="仿宋_GB2312"/>
          <w:sz w:val="32"/>
          <w:szCs w:val="32"/>
        </w:rPr>
        <w:t>%，决算数等于年初预算数的原因是单位人员无变化，公积金缴费基数变更。</w:t>
      </w:r>
    </w:p>
    <w:p w14:paraId="64F1E15E">
      <w:pPr>
        <w:spacing w:line="540" w:lineRule="exact"/>
        <w:ind w:firstLine="660"/>
        <w:rPr>
          <w:rFonts w:hint="default" w:ascii="仿宋_GB2312" w:hAnsi="宋体" w:eastAsia="仿宋_GB2312"/>
          <w:sz w:val="32"/>
          <w:szCs w:val="32"/>
        </w:rPr>
      </w:pPr>
      <w:r>
        <w:rPr>
          <w:rFonts w:ascii="仿宋_GB2312" w:hAnsi="宋体" w:eastAsia="仿宋_GB2312"/>
          <w:sz w:val="32"/>
          <w:szCs w:val="32"/>
        </w:rPr>
        <w:t>5、灾害防治及应急管理支出3</w:t>
      </w:r>
      <w:r>
        <w:rPr>
          <w:rFonts w:hint="default" w:ascii="仿宋_GB2312" w:hAnsi="宋体" w:eastAsia="仿宋_GB2312"/>
          <w:sz w:val="32"/>
          <w:szCs w:val="32"/>
        </w:rPr>
        <w:t>927</w:t>
      </w:r>
      <w:r>
        <w:rPr>
          <w:rFonts w:ascii="仿宋_GB2312" w:hAnsi="宋体" w:eastAsia="仿宋_GB2312"/>
          <w:sz w:val="32"/>
          <w:szCs w:val="32"/>
        </w:rPr>
        <w:t>.</w:t>
      </w:r>
      <w:r>
        <w:rPr>
          <w:rFonts w:hint="default" w:ascii="仿宋_GB2312" w:hAnsi="宋体" w:eastAsia="仿宋_GB2312"/>
          <w:sz w:val="32"/>
          <w:szCs w:val="32"/>
        </w:rPr>
        <w:t>61</w:t>
      </w:r>
      <w:r>
        <w:rPr>
          <w:rFonts w:ascii="仿宋_GB2312" w:hAnsi="宋体" w:eastAsia="仿宋_GB2312"/>
          <w:sz w:val="32"/>
          <w:szCs w:val="32"/>
        </w:rPr>
        <w:t>万元，具体包括：</w:t>
      </w:r>
    </w:p>
    <w:p w14:paraId="6F91CA80">
      <w:pPr>
        <w:spacing w:line="560" w:lineRule="exact"/>
        <w:ind w:firstLine="660"/>
        <w:outlineLvl w:val="2"/>
        <w:rPr>
          <w:rFonts w:hint="default" w:ascii="仿宋_GB2312" w:hAnsi="宋体" w:eastAsia="仿宋_GB2312"/>
          <w:sz w:val="32"/>
          <w:szCs w:val="32"/>
        </w:rPr>
      </w:pPr>
      <w:r>
        <w:rPr>
          <w:rFonts w:ascii="仿宋_GB2312" w:hAnsi="宋体" w:eastAsia="仿宋_GB2312"/>
          <w:sz w:val="32"/>
          <w:szCs w:val="32"/>
        </w:rPr>
        <w:t>灾害防治及应急管理支出（类）应急管理事务（款） 包括事业运行</w:t>
      </w:r>
      <w:r>
        <w:rPr>
          <w:rFonts w:hint="default" w:ascii="仿宋_GB2312" w:hAnsi="宋体" w:eastAsia="仿宋_GB2312"/>
          <w:sz w:val="32"/>
          <w:szCs w:val="32"/>
        </w:rPr>
        <w:t>780.74</w:t>
      </w:r>
      <w:r>
        <w:rPr>
          <w:rFonts w:ascii="仿宋_GB2312" w:hAnsi="宋体" w:eastAsia="仿宋_GB2312"/>
          <w:sz w:val="32"/>
          <w:szCs w:val="32"/>
        </w:rPr>
        <w:t>万元， 其他应急管理支出（项）3</w:t>
      </w:r>
      <w:r>
        <w:rPr>
          <w:rFonts w:hint="default" w:ascii="仿宋_GB2312" w:hAnsi="宋体" w:eastAsia="仿宋_GB2312"/>
          <w:sz w:val="32"/>
          <w:szCs w:val="32"/>
        </w:rPr>
        <w:t>146.87</w:t>
      </w:r>
      <w:r>
        <w:rPr>
          <w:rFonts w:ascii="仿宋_GB2312" w:hAnsi="宋体" w:eastAsia="仿宋_GB2312"/>
          <w:sz w:val="32"/>
          <w:szCs w:val="32"/>
        </w:rPr>
        <w:t>万元，主要是单位安全奖支出、防汛抗灾应急项目等支出，完成年初预算的100%。</w:t>
      </w:r>
    </w:p>
    <w:p w14:paraId="2BC15719">
      <w:pPr>
        <w:numPr>
          <w:ilvl w:val="0"/>
          <w:numId w:val="2"/>
        </w:numPr>
        <w:spacing w:line="560" w:lineRule="exact"/>
        <w:ind w:firstLine="660"/>
        <w:outlineLvl w:val="2"/>
        <w:rPr>
          <w:rFonts w:hint="default" w:ascii="楷体_GB2312" w:hAnsi="宋体" w:eastAsia="楷体_GB2312"/>
          <w:b/>
          <w:sz w:val="32"/>
          <w:szCs w:val="32"/>
        </w:rPr>
      </w:pPr>
      <w:r>
        <w:rPr>
          <w:rFonts w:ascii="楷体_GB2312" w:hAnsi="宋体" w:eastAsia="楷体_GB2312"/>
          <w:b/>
          <w:sz w:val="32"/>
          <w:szCs w:val="32"/>
        </w:rPr>
        <w:t>政府性基金预算财政拨款支出情况。</w:t>
      </w:r>
    </w:p>
    <w:p w14:paraId="541A9D3B">
      <w:pPr>
        <w:spacing w:line="560" w:lineRule="exact"/>
        <w:ind w:left="660"/>
        <w:outlineLvl w:val="2"/>
        <w:rPr>
          <w:rFonts w:hint="default" w:ascii="楷体_GB2312" w:hAnsi="宋体" w:eastAsia="楷体_GB2312"/>
          <w:b/>
          <w:sz w:val="32"/>
          <w:szCs w:val="32"/>
        </w:rPr>
      </w:pPr>
      <w:r>
        <w:rPr>
          <w:rFonts w:ascii="黑体" w:hAnsi="黑体" w:eastAsia="黑体" w:cs="黑体"/>
          <w:b/>
          <w:sz w:val="32"/>
          <w:szCs w:val="32"/>
        </w:rPr>
        <w:t>本年未发生此项资金。</w:t>
      </w:r>
    </w:p>
    <w:p w14:paraId="4FA62496">
      <w:pPr>
        <w:spacing w:line="560" w:lineRule="exact"/>
        <w:ind w:left="660"/>
        <w:outlineLvl w:val="2"/>
        <w:rPr>
          <w:rFonts w:hint="default" w:ascii="黑体" w:hAnsi="黑体" w:eastAsia="黑体" w:cs="黑体"/>
          <w:b/>
          <w:color w:val="FF0000"/>
          <w:sz w:val="32"/>
          <w:szCs w:val="32"/>
        </w:rPr>
      </w:pPr>
      <w:r>
        <w:rPr>
          <w:rFonts w:ascii="楷体_GB2312" w:hAnsi="宋体" w:eastAsia="楷体_GB2312"/>
          <w:b/>
          <w:sz w:val="32"/>
          <w:szCs w:val="32"/>
        </w:rPr>
        <w:t>（四）国有资本经营预算财政拨款支出情况。</w:t>
      </w:r>
    </w:p>
    <w:p w14:paraId="4A3B75E8">
      <w:pPr>
        <w:spacing w:line="560" w:lineRule="exact"/>
        <w:ind w:left="660"/>
        <w:outlineLvl w:val="2"/>
        <w:rPr>
          <w:rFonts w:hint="default" w:ascii="仿宋_GB2312" w:hAnsi="宋体" w:eastAsia="仿宋_GB2312"/>
          <w:sz w:val="32"/>
          <w:szCs w:val="32"/>
        </w:rPr>
      </w:pPr>
      <w:r>
        <w:rPr>
          <w:rFonts w:ascii="黑体" w:hAnsi="黑体" w:eastAsia="黑体" w:cs="黑体"/>
          <w:b/>
          <w:sz w:val="32"/>
          <w:szCs w:val="32"/>
        </w:rPr>
        <w:t>本年未发生此项资金。</w:t>
      </w:r>
    </w:p>
    <w:p w14:paraId="4E36A781">
      <w:pPr>
        <w:numPr>
          <w:ilvl w:val="0"/>
          <w:numId w:val="3"/>
        </w:numPr>
        <w:spacing w:line="540" w:lineRule="exact"/>
        <w:ind w:firstLine="645"/>
        <w:rPr>
          <w:rFonts w:ascii="黑体" w:eastAsia="黑体"/>
          <w:sz w:val="32"/>
        </w:rPr>
      </w:pPr>
      <w:r>
        <w:rPr>
          <w:rFonts w:ascii="黑体" w:eastAsia="黑体"/>
          <w:sz w:val="32"/>
        </w:rPr>
        <w:t>一般公共预算财政拨款“三公”经费支出决算情况说明</w:t>
      </w:r>
    </w:p>
    <w:p w14:paraId="72DFB6D3">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1DD11F2D">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14:paraId="1963B474">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14:paraId="7E04AE5D">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14:paraId="241CD8CD">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4F18D82B">
      <w:pPr>
        <w:spacing w:line="540" w:lineRule="exact"/>
        <w:ind w:firstLine="645"/>
        <w:rPr>
          <w:rFonts w:hint="default"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hAnsi="宋体" w:eastAsia="仿宋_GB2312"/>
          <w:sz w:val="32"/>
          <w:szCs w:val="32"/>
        </w:rPr>
        <w:t>。</w:t>
      </w:r>
    </w:p>
    <w:p w14:paraId="56479AAE">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34B1A056">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2021年度一般公共预算财政拨款基本支出4,560.01万元，其中：人员经费</w:t>
      </w:r>
      <w:r>
        <w:rPr>
          <w:rFonts w:hint="default" w:ascii="仿宋_GB2312" w:eastAsia="仿宋_GB2312"/>
          <w:sz w:val="32"/>
        </w:rPr>
        <w:t>870.14</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default" w:ascii="仿宋_GB2312" w:eastAsia="仿宋_GB2312"/>
          <w:sz w:val="32"/>
        </w:rPr>
        <w:t>202.06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3A710C0F">
      <w:pPr>
        <w:pStyle w:val="6"/>
        <w:spacing w:line="560" w:lineRule="exact"/>
        <w:ind w:firstLine="640"/>
        <w:rPr>
          <w:rFonts w:hint="default" w:ascii="黑体" w:eastAsia="黑体"/>
          <w:sz w:val="32"/>
        </w:rPr>
      </w:pPr>
      <w:r>
        <w:rPr>
          <w:rFonts w:ascii="黑体" w:eastAsia="黑体"/>
          <w:sz w:val="32"/>
        </w:rPr>
        <w:t>五、其他重要事项的情况说明</w:t>
      </w:r>
    </w:p>
    <w:p w14:paraId="3FDEC10A">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14:paraId="4CE4D16A">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default" w:ascii="仿宋_GB2312" w:eastAsia="仿宋_GB2312"/>
          <w:sz w:val="32"/>
        </w:rPr>
        <w:t>0</w:t>
      </w:r>
      <w:r>
        <w:rPr>
          <w:rFonts w:ascii="仿宋_GB2312" w:eastAsia="仿宋_GB2312"/>
          <w:sz w:val="32"/>
        </w:rPr>
        <w:t>万元，与上年持平，主要原因是浑南区应急管理事务服务中心属于事业单位，无机关运行经费。</w:t>
      </w:r>
    </w:p>
    <w:p w14:paraId="5C94E078">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14:paraId="2C491834">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default" w:ascii="仿宋_GB2312" w:eastAsia="仿宋_GB2312"/>
          <w:sz w:val="32"/>
        </w:rPr>
        <w:t>0</w:t>
      </w:r>
      <w:r>
        <w:rPr>
          <w:rFonts w:ascii="仿宋_GB2312" w:eastAsia="仿宋_GB2312"/>
          <w:sz w:val="32"/>
        </w:rPr>
        <w:t>万元，其中：政府采购货物支出</w:t>
      </w:r>
      <w:r>
        <w:rPr>
          <w:rFonts w:hint="default" w:ascii="仿宋_GB2312" w:eastAsia="仿宋_GB2312"/>
          <w:sz w:val="32"/>
        </w:rPr>
        <w:t>0</w:t>
      </w:r>
      <w:r>
        <w:rPr>
          <w:rFonts w:ascii="仿宋_GB2312" w:eastAsia="仿宋_GB2312"/>
          <w:sz w:val="32"/>
        </w:rPr>
        <w:t>万元，政府采购工程支出</w:t>
      </w:r>
      <w:r>
        <w:rPr>
          <w:rFonts w:hint="default" w:ascii="仿宋_GB2312" w:eastAsia="仿宋_GB2312"/>
          <w:sz w:val="32"/>
        </w:rPr>
        <w:t>0</w:t>
      </w:r>
      <w:r>
        <w:rPr>
          <w:rFonts w:ascii="仿宋_GB2312" w:eastAsia="仿宋_GB2312"/>
          <w:sz w:val="32"/>
        </w:rPr>
        <w:t>万元，政府采购服务支出</w:t>
      </w:r>
      <w:r>
        <w:rPr>
          <w:rFonts w:hint="default" w:ascii="仿宋_GB2312" w:eastAsia="仿宋_GB2312"/>
          <w:sz w:val="32"/>
        </w:rPr>
        <w:t>0</w:t>
      </w:r>
      <w:r>
        <w:rPr>
          <w:rFonts w:ascii="仿宋_GB2312" w:eastAsia="仿宋_GB2312"/>
          <w:sz w:val="32"/>
        </w:rPr>
        <w:t>万元。授予中小企业合同金额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%，其中：授予小微企业合同金额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%；货物采购授予中小企业合同金额占货物支出金额的</w:t>
      </w:r>
      <w:r>
        <w:rPr>
          <w:rFonts w:hint="default" w:ascii="仿宋_GB2312" w:eastAsia="仿宋_GB2312"/>
          <w:sz w:val="32"/>
        </w:rPr>
        <w:t>0</w:t>
      </w:r>
      <w:r>
        <w:rPr>
          <w:rFonts w:ascii="仿宋_GB2312" w:eastAsia="仿宋_GB2312"/>
          <w:sz w:val="32"/>
        </w:rPr>
        <w:t>%；工程采购授予中小企业合同金额占工程支出金额的</w:t>
      </w:r>
      <w:r>
        <w:rPr>
          <w:rFonts w:hint="default" w:ascii="仿宋_GB2312" w:eastAsia="仿宋_GB2312"/>
          <w:sz w:val="32"/>
        </w:rPr>
        <w:t>0</w:t>
      </w:r>
      <w:r>
        <w:rPr>
          <w:rFonts w:ascii="仿宋_GB2312" w:eastAsia="仿宋_GB2312"/>
          <w:sz w:val="32"/>
        </w:rPr>
        <w:t>%；服务采购授予中小企业合同金额占服务支出金额的</w:t>
      </w:r>
      <w:r>
        <w:rPr>
          <w:rFonts w:hint="default" w:ascii="仿宋_GB2312" w:eastAsia="仿宋_GB2312"/>
          <w:sz w:val="32"/>
        </w:rPr>
        <w:t>0</w:t>
      </w:r>
      <w:r>
        <w:rPr>
          <w:rFonts w:ascii="仿宋_GB2312" w:eastAsia="仿宋_GB2312"/>
          <w:sz w:val="32"/>
        </w:rPr>
        <w:t>%。</w:t>
      </w:r>
    </w:p>
    <w:p w14:paraId="7BBC7BF7">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14:paraId="16CB590C">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default" w:ascii="仿宋_GB2312" w:eastAsia="仿宋_GB2312"/>
          <w:sz w:val="32"/>
        </w:rPr>
        <w:t>0</w:t>
      </w:r>
      <w:r>
        <w:rPr>
          <w:rFonts w:ascii="仿宋_GB2312" w:eastAsia="仿宋_GB2312"/>
          <w:sz w:val="32"/>
        </w:rPr>
        <w:t>辆，其中：副省级以上领导干部用车</w:t>
      </w:r>
      <w:r>
        <w:rPr>
          <w:rFonts w:hint="default" w:ascii="仿宋_GB2312" w:eastAsia="仿宋_GB2312"/>
          <w:sz w:val="32"/>
        </w:rPr>
        <w:t>0</w:t>
      </w:r>
      <w:r>
        <w:rPr>
          <w:rFonts w:ascii="仿宋_GB2312" w:eastAsia="仿宋_GB2312"/>
          <w:sz w:val="32"/>
        </w:rPr>
        <w:t>辆，主要领导干部用车</w:t>
      </w:r>
      <w:r>
        <w:rPr>
          <w:rFonts w:hint="default" w:ascii="仿宋_GB2312" w:eastAsia="仿宋_GB2312"/>
          <w:sz w:val="32"/>
        </w:rPr>
        <w:t>0</w:t>
      </w:r>
      <w:r>
        <w:rPr>
          <w:rFonts w:ascii="仿宋_GB2312" w:eastAsia="仿宋_GB2312"/>
          <w:sz w:val="32"/>
        </w:rPr>
        <w:t>辆，机要通讯用车</w:t>
      </w:r>
      <w:r>
        <w:rPr>
          <w:rFonts w:hint="default" w:ascii="仿宋_GB2312" w:eastAsia="仿宋_GB2312"/>
          <w:sz w:val="32"/>
        </w:rPr>
        <w:t>0</w:t>
      </w:r>
      <w:r>
        <w:rPr>
          <w:rFonts w:ascii="仿宋_GB2312" w:eastAsia="仿宋_GB2312"/>
          <w:sz w:val="32"/>
        </w:rPr>
        <w:t>辆，应急保障用车</w:t>
      </w:r>
      <w:r>
        <w:rPr>
          <w:rFonts w:hint="default" w:ascii="仿宋_GB2312" w:eastAsia="仿宋_GB2312"/>
          <w:sz w:val="32"/>
        </w:rPr>
        <w:t>0</w:t>
      </w:r>
      <w:r>
        <w:rPr>
          <w:rFonts w:ascii="仿宋_GB2312" w:eastAsia="仿宋_GB2312"/>
          <w:sz w:val="32"/>
        </w:rPr>
        <w:t>辆，执法执勤用车</w:t>
      </w:r>
      <w:r>
        <w:rPr>
          <w:rFonts w:hint="default" w:ascii="仿宋_GB2312" w:eastAsia="仿宋_GB2312"/>
          <w:sz w:val="32"/>
        </w:rPr>
        <w:t>0</w:t>
      </w:r>
      <w:r>
        <w:rPr>
          <w:rFonts w:ascii="仿宋_GB2312" w:eastAsia="仿宋_GB2312"/>
          <w:sz w:val="32"/>
        </w:rPr>
        <w:t>辆，特种专业技术用车</w:t>
      </w:r>
      <w:r>
        <w:rPr>
          <w:rFonts w:hint="default" w:ascii="仿宋_GB2312" w:eastAsia="仿宋_GB2312"/>
          <w:sz w:val="32"/>
        </w:rPr>
        <w:t>0</w:t>
      </w:r>
      <w:r>
        <w:rPr>
          <w:rFonts w:ascii="仿宋_GB2312" w:eastAsia="仿宋_GB2312"/>
          <w:sz w:val="32"/>
        </w:rPr>
        <w:t>辆，离退休干部用车</w:t>
      </w:r>
      <w:r>
        <w:rPr>
          <w:rFonts w:hint="default" w:ascii="仿宋_GB2312" w:eastAsia="仿宋_GB2312"/>
          <w:sz w:val="32"/>
        </w:rPr>
        <w:t>0</w:t>
      </w:r>
      <w:r>
        <w:rPr>
          <w:rFonts w:ascii="仿宋_GB2312" w:eastAsia="仿宋_GB2312"/>
          <w:sz w:val="32"/>
        </w:rPr>
        <w:t>辆，其他用车</w:t>
      </w:r>
      <w:r>
        <w:rPr>
          <w:rFonts w:hint="default" w:ascii="仿宋_GB2312" w:eastAsia="仿宋_GB2312"/>
          <w:sz w:val="32"/>
        </w:rPr>
        <w:t>0</w:t>
      </w:r>
      <w:r>
        <w:rPr>
          <w:rFonts w:ascii="仿宋_GB2312" w:eastAsia="仿宋_GB2312"/>
          <w:sz w:val="32"/>
        </w:rPr>
        <w:t>辆，其他用车主要是</w:t>
      </w:r>
      <w:r>
        <w:rPr>
          <w:rFonts w:hint="default" w:ascii="仿宋_GB2312" w:eastAsia="仿宋_GB2312"/>
          <w:sz w:val="32"/>
        </w:rPr>
        <w:t>0</w:t>
      </w:r>
      <w:r>
        <w:rPr>
          <w:rFonts w:ascii="仿宋_GB2312" w:eastAsia="仿宋_GB2312"/>
          <w:sz w:val="32"/>
        </w:rPr>
        <w:t>；单位价值50万元以上通用设备</w:t>
      </w:r>
      <w:r>
        <w:rPr>
          <w:rFonts w:hint="default" w:ascii="仿宋_GB2312" w:eastAsia="仿宋_GB2312"/>
          <w:sz w:val="32"/>
        </w:rPr>
        <w:t>0</w:t>
      </w:r>
      <w:r>
        <w:rPr>
          <w:rFonts w:ascii="仿宋_GB2312" w:eastAsia="仿宋_GB2312"/>
          <w:sz w:val="32"/>
        </w:rPr>
        <w:t>台（套），单价100万元以上专用设备</w:t>
      </w:r>
      <w:r>
        <w:rPr>
          <w:rFonts w:hint="default" w:ascii="仿宋_GB2312" w:eastAsia="仿宋_GB2312"/>
          <w:sz w:val="32"/>
        </w:rPr>
        <w:t>0</w:t>
      </w:r>
      <w:r>
        <w:rPr>
          <w:rFonts w:ascii="仿宋_GB2312" w:eastAsia="仿宋_GB2312"/>
          <w:sz w:val="32"/>
        </w:rPr>
        <w:t>台（套）。</w:t>
      </w:r>
    </w:p>
    <w:p w14:paraId="2FD43AA0">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14:paraId="7D617D9E">
      <w:pPr>
        <w:widowControl/>
        <w:spacing w:line="560" w:lineRule="exact"/>
        <w:ind w:firstLine="640" w:firstLineChars="200"/>
        <w:rPr>
          <w:rFonts w:hint="default" w:ascii="仿宋_GB2312" w:eastAsia="仿宋_GB2312"/>
          <w:sz w:val="32"/>
        </w:rPr>
      </w:pPr>
      <w:r>
        <w:rPr>
          <w:rFonts w:hint="default" w:ascii="仿宋_GB2312" w:eastAsia="仿宋_GB2312"/>
          <w:sz w:val="32"/>
        </w:rPr>
        <w:t>1.整体绩效自评情况。组织对单位开展整体绩效自评，涉及资金0万元，自评平均分</w:t>
      </w:r>
      <w:r>
        <w:rPr>
          <w:rFonts w:ascii="仿宋_GB2312" w:eastAsia="仿宋_GB2312"/>
          <w:sz w:val="32"/>
        </w:rPr>
        <w:t>无</w:t>
      </w:r>
      <w:r>
        <w:rPr>
          <w:rFonts w:hint="default" w:ascii="仿宋_GB2312" w:eastAsia="仿宋_GB2312"/>
          <w:sz w:val="32"/>
        </w:rPr>
        <w:t>。</w:t>
      </w:r>
    </w:p>
    <w:p w14:paraId="3A8DEA6F">
      <w:pPr>
        <w:widowControl/>
        <w:spacing w:line="560" w:lineRule="exact"/>
        <w:ind w:firstLine="640" w:firstLineChars="200"/>
        <w:rPr>
          <w:rFonts w:hint="default" w:ascii="仿宋_GB2312" w:eastAsia="仿宋_GB2312"/>
          <w:sz w:val="32"/>
        </w:rPr>
      </w:pPr>
      <w:r>
        <w:rPr>
          <w:rFonts w:hint="default" w:ascii="仿宋_GB2312" w:eastAsia="仿宋_GB2312"/>
          <w:sz w:val="32"/>
        </w:rPr>
        <w:t>2.项目绩效自评情况（附预算项目绩效自评表）。根据预算绩效管理要求，我</w:t>
      </w:r>
      <w:r>
        <w:rPr>
          <w:rFonts w:ascii="仿宋_GB2312" w:eastAsia="仿宋_GB2312"/>
          <w:sz w:val="32"/>
        </w:rPr>
        <w:t>单位</w:t>
      </w:r>
      <w:r>
        <w:rPr>
          <w:rFonts w:hint="default" w:ascii="仿宋_GB2312" w:eastAsia="仿宋_GB2312"/>
          <w:sz w:val="32"/>
        </w:rPr>
        <w:t>组织对2021年度预算项目支出全面开展绩效自评，共涉及预算支出项目2个，涉及资金20万元，自评覆盖率（开展绩效自评的项目数/年初批复绩效目标的项目数）达到90%，自评平均分（开展绩效自评的项目分数总和/开展绩效自评的项目数）93分。</w:t>
      </w:r>
    </w:p>
    <w:p w14:paraId="4CA77375">
      <w:pPr>
        <w:widowControl/>
        <w:spacing w:line="560" w:lineRule="exact"/>
        <w:ind w:firstLine="640" w:firstLineChars="200"/>
        <w:rPr>
          <w:rFonts w:hint="default" w:ascii="仿宋_GB2312" w:eastAsia="仿宋_GB2312"/>
          <w:sz w:val="32"/>
        </w:rPr>
      </w:pPr>
      <w:r>
        <w:rPr>
          <w:rFonts w:hint="default" w:ascii="仿宋_GB2312" w:eastAsia="仿宋_GB2312"/>
          <w:sz w:val="32"/>
        </w:rPr>
        <w:t>具体评价结果如下：</w:t>
      </w:r>
    </w:p>
    <w:p w14:paraId="307FB557">
      <w:pPr>
        <w:widowControl/>
        <w:spacing w:line="540" w:lineRule="exact"/>
        <w:ind w:firstLine="960" w:firstLineChars="300"/>
        <w:jc w:val="left"/>
        <w:rPr>
          <w:rFonts w:hint="default" w:ascii="仿宋_GB2312" w:hAnsi="宋体" w:eastAsia="仿宋_GB2312" w:cs="仿宋_GB2312"/>
          <w:sz w:val="32"/>
          <w:szCs w:val="32"/>
          <w:lang w:bidi="ar"/>
        </w:rPr>
      </w:pPr>
      <w:r>
        <w:rPr>
          <w:rFonts w:hint="default" w:ascii="仿宋_GB2312" w:eastAsia="仿宋_GB2312"/>
          <w:sz w:val="32"/>
        </w:rPr>
        <w:t>项目自评综述：根据年初设定的绩效目标，项目自评得分93分。项目全年预算数为20万元，执行数为18万元，完成预算的90%。项目绩效目标完成情况：一是</w:t>
      </w:r>
      <w:r>
        <w:rPr>
          <w:rFonts w:ascii="仿宋_GB2312" w:hAnsi="宋体" w:eastAsia="仿宋_GB2312" w:cs="仿宋_GB2312"/>
          <w:sz w:val="32"/>
          <w:szCs w:val="32"/>
          <w:lang w:bidi="ar"/>
        </w:rPr>
        <w:t>预算编制前期准备工作不够充分</w:t>
      </w:r>
      <w:r>
        <w:rPr>
          <w:rFonts w:ascii="仿宋_GB2312" w:hAnsi="宋体" w:eastAsia="仿宋_GB2312" w:cs="宋体"/>
          <w:sz w:val="32"/>
          <w:szCs w:val="32"/>
          <w:lang w:bidi="ar"/>
        </w:rPr>
        <w:t>;</w:t>
      </w:r>
      <w:r>
        <w:rPr>
          <w:rFonts w:ascii="黑体" w:hAnsi="宋体" w:eastAsia="黑体" w:cs="黑体"/>
          <w:sz w:val="32"/>
          <w:szCs w:val="32"/>
          <w:lang w:bidi="ar"/>
        </w:rPr>
        <w:t>二是</w:t>
      </w:r>
      <w:r>
        <w:rPr>
          <w:rFonts w:ascii="仿宋_GB2312" w:hAnsi="宋体" w:eastAsia="仿宋_GB2312" w:cs="仿宋_GB2312"/>
          <w:sz w:val="32"/>
          <w:szCs w:val="32"/>
          <w:lang w:bidi="ar"/>
        </w:rPr>
        <w:t>预算编制不够细化。下一步将采取以下措施加以改进：</w:t>
      </w:r>
      <w:r>
        <w:rPr>
          <w:rFonts w:ascii="黑体" w:hAnsi="宋体" w:eastAsia="黑体" w:cs="黑体"/>
          <w:sz w:val="32"/>
          <w:szCs w:val="32"/>
          <w:lang w:bidi="ar"/>
        </w:rPr>
        <w:t>一是</w:t>
      </w:r>
      <w:r>
        <w:rPr>
          <w:rFonts w:ascii="仿宋_GB2312" w:hAnsi="宋体" w:eastAsia="仿宋_GB2312" w:cs="仿宋_GB2312"/>
          <w:sz w:val="32"/>
          <w:szCs w:val="32"/>
          <w:lang w:bidi="ar"/>
        </w:rPr>
        <w:t>加强预算编制前期准备工作，对相关用具、设备等提前做好检测、判断是否需要更新或维修</w:t>
      </w:r>
      <w:r>
        <w:rPr>
          <w:rFonts w:ascii="仿宋_GB2312" w:hAnsi="宋体" w:eastAsia="仿宋_GB2312" w:cs="宋体"/>
          <w:sz w:val="32"/>
          <w:szCs w:val="32"/>
          <w:lang w:bidi="ar"/>
        </w:rPr>
        <w:t>;</w:t>
      </w:r>
      <w:r>
        <w:rPr>
          <w:rFonts w:ascii="黑体" w:hAnsi="宋体" w:eastAsia="黑体" w:cs="黑体"/>
          <w:sz w:val="32"/>
          <w:szCs w:val="32"/>
          <w:lang w:bidi="ar"/>
        </w:rPr>
        <w:t>二是</w:t>
      </w:r>
      <w:r>
        <w:rPr>
          <w:rFonts w:ascii="仿宋_GB2312" w:hAnsi="宋体" w:eastAsia="仿宋_GB2312" w:cs="仿宋_GB2312"/>
          <w:sz w:val="32"/>
          <w:szCs w:val="32"/>
          <w:lang w:bidi="ar"/>
        </w:rPr>
        <w:t>对预算编制所涉及的项目进行细化、量化。</w:t>
      </w:r>
    </w:p>
    <w:p w14:paraId="56C4E105">
      <w:pPr>
        <w:pStyle w:val="6"/>
        <w:spacing w:line="560" w:lineRule="exact"/>
        <w:ind w:firstLine="640" w:firstLineChars="200"/>
        <w:rPr>
          <w:rFonts w:hint="default" w:ascii="Times New Roman" w:hAnsi="Times New Roman" w:cs="Times New Roman"/>
          <w:kern w:val="0"/>
          <w:szCs w:val="21"/>
        </w:rPr>
      </w:pPr>
      <w:r>
        <w:rPr>
          <w:rFonts w:hint="default" w:ascii="仿宋_GB2312" w:eastAsia="仿宋_GB2312"/>
          <w:sz w:val="32"/>
        </w:rPr>
        <w:t>3.</w:t>
      </w:r>
      <w:r>
        <w:rPr>
          <w:rFonts w:hint="default" w:ascii="Times New Roman" w:hAnsi="Times New Roman" w:cs="Times New Roman"/>
          <w:kern w:val="0"/>
          <w:szCs w:val="21"/>
        </w:rPr>
        <w:t xml:space="preserve"> </w:t>
      </w:r>
      <w:r>
        <w:rPr>
          <w:rFonts w:hint="default" w:ascii="仿宋_GB2312" w:eastAsia="仿宋_GB2312"/>
          <w:sz w:val="32"/>
        </w:rPr>
        <w:t>其他。制定或者完善制度方面情况；建立本部门分行业、分领域预算绩效指标体系情况；绩效监控管理情况；其他预算绩效管理创新做法等。</w:t>
      </w:r>
    </w:p>
    <w:p w14:paraId="69712112">
      <w:pPr>
        <w:pStyle w:val="6"/>
        <w:spacing w:line="560" w:lineRule="exact"/>
        <w:rPr>
          <w:rFonts w:hint="default"/>
          <w:b/>
          <w:sz w:val="36"/>
        </w:rPr>
      </w:pPr>
    </w:p>
    <w:p w14:paraId="6DC5E4FF">
      <w:pPr>
        <w:pStyle w:val="9"/>
        <w:autoSpaceDN w:val="0"/>
        <w:spacing w:line="560" w:lineRule="exact"/>
        <w:ind w:firstLine="2530" w:firstLineChars="700"/>
        <w:rPr>
          <w:b/>
          <w:bCs/>
          <w:sz w:val="36"/>
          <w:szCs w:val="36"/>
        </w:rPr>
      </w:pPr>
      <w:r>
        <w:rPr>
          <w:rFonts w:hint="eastAsia"/>
          <w:b/>
          <w:bCs/>
          <w:sz w:val="36"/>
          <w:szCs w:val="36"/>
        </w:rPr>
        <w:t>第三部分 名词解释</w:t>
      </w:r>
    </w:p>
    <w:p w14:paraId="00B02C87">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305B2952">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5E04D6F2">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453331B0">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44CCD024">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663C62A3">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70387CA1">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316B85B0">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0A1B7EB1">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052C8EFD">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09E4D86B">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107C1A6A">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43654719">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32AE59E5">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5E81B12C">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3030F11">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59208C4D">
      <w:pPr>
        <w:pStyle w:val="6"/>
        <w:spacing w:line="560" w:lineRule="exact"/>
        <w:ind w:firstLine="640"/>
        <w:rPr>
          <w:rFonts w:hint="default" w:ascii="仿宋_GB2312" w:eastAsia="仿宋_GB2312"/>
          <w:i/>
          <w:sz w:val="32"/>
          <w:u w:val="single"/>
        </w:rPr>
      </w:pPr>
    </w:p>
    <w:p w14:paraId="127391F4">
      <w:pPr>
        <w:pStyle w:val="6"/>
        <w:spacing w:line="560" w:lineRule="atLeast"/>
        <w:jc w:val="left"/>
        <w:rPr>
          <w:rFonts w:hint="default" w:ascii="仿宋_GB2312" w:hAnsi="仿宋_GB2312" w:eastAsia="仿宋_GB2312" w:cs="仿宋_GB2312"/>
          <w:b/>
          <w:sz w:val="52"/>
          <w:szCs w:val="52"/>
        </w:rPr>
        <w:sectPr>
          <w:headerReference r:id="rId3" w:type="default"/>
          <w:pgSz w:w="11906" w:h="16838"/>
          <w:pgMar w:top="1440" w:right="1800" w:bottom="1440" w:left="1800" w:header="851" w:footer="992" w:gutter="0"/>
          <w:cols w:space="425" w:num="1"/>
          <w:docGrid w:type="lines" w:linePitch="312" w:charSpace="0"/>
        </w:sectPr>
      </w:pPr>
    </w:p>
    <w:p w14:paraId="4501EBAC">
      <w:pPr>
        <w:pStyle w:val="6"/>
        <w:spacing w:line="560" w:lineRule="atLeast"/>
        <w:jc w:val="left"/>
        <w:rPr>
          <w:rFonts w:hint="default" w:ascii="仿宋_GB2312" w:hAnsi="仿宋_GB2312" w:eastAsia="仿宋_GB2312" w:cs="仿宋_GB2312"/>
          <w:b/>
          <w:sz w:val="52"/>
          <w:szCs w:val="52"/>
        </w:rPr>
      </w:pPr>
    </w:p>
    <w:p w14:paraId="5F970F54">
      <w:pPr>
        <w:pStyle w:val="6"/>
        <w:spacing w:line="560" w:lineRule="atLeast"/>
        <w:jc w:val="left"/>
        <w:rPr>
          <w:rFonts w:hint="default" w:ascii="仿宋_GB2312" w:hAnsi="仿宋_GB2312" w:eastAsia="仿宋_GB2312" w:cs="仿宋_GB2312"/>
          <w:b/>
          <w:sz w:val="52"/>
          <w:szCs w:val="52"/>
        </w:rPr>
      </w:pPr>
    </w:p>
    <w:p w14:paraId="3526420E">
      <w:pPr>
        <w:pStyle w:val="6"/>
        <w:spacing w:line="560" w:lineRule="atLeast"/>
        <w:jc w:val="left"/>
        <w:rPr>
          <w:rFonts w:hint="default" w:ascii="仿宋_GB2312" w:hAnsi="仿宋_GB2312" w:eastAsia="仿宋_GB2312" w:cs="仿宋_GB2312"/>
          <w:b/>
          <w:sz w:val="52"/>
          <w:szCs w:val="52"/>
        </w:rPr>
      </w:pPr>
    </w:p>
    <w:p w14:paraId="37674333">
      <w:pPr>
        <w:pStyle w:val="6"/>
        <w:spacing w:line="560" w:lineRule="atLeast"/>
        <w:jc w:val="center"/>
        <w:rPr>
          <w:rFonts w:hint="default"/>
          <w:b/>
          <w:sz w:val="36"/>
        </w:rPr>
      </w:pPr>
      <w:r>
        <w:rPr>
          <w:rFonts w:ascii="仿宋_GB2312" w:hAnsi="仿宋_GB2312" w:eastAsia="仿宋_GB2312" w:cs="仿宋_GB2312"/>
          <w:b/>
          <w:sz w:val="52"/>
          <w:szCs w:val="52"/>
        </w:rPr>
        <w:t>第四部分 沈阳市浑南区应急管理事务服务中心2021年度决算表</w:t>
      </w:r>
    </w:p>
    <w:p w14:paraId="7EA47876">
      <w:pPr>
        <w:rPr>
          <w:rFonts w:hint="default" w:ascii="仿宋_GB2312" w:hAnsi="宋体" w:eastAsia="仿宋_GB2312"/>
          <w:kern w:val="0"/>
          <w:sz w:val="32"/>
        </w:rPr>
      </w:pPr>
    </w:p>
    <w:p w14:paraId="0421275F">
      <w:pPr>
        <w:rPr>
          <w:rFonts w:hint="default" w:ascii="仿宋_GB2312" w:hAnsi="宋体" w:eastAsia="仿宋_GB2312"/>
          <w:kern w:val="0"/>
          <w:sz w:val="32"/>
        </w:rPr>
      </w:pPr>
    </w:p>
    <w:p w14:paraId="430EE3AC">
      <w:pPr>
        <w:rPr>
          <w:rFonts w:hint="default" w:ascii="仿宋_GB2312" w:hAnsi="宋体" w:eastAsia="仿宋_GB2312"/>
          <w:kern w:val="0"/>
          <w:sz w:val="32"/>
        </w:rPr>
      </w:pPr>
    </w:p>
    <w:p w14:paraId="11EC2CB5">
      <w:pPr>
        <w:rPr>
          <w:rFonts w:hint="default" w:ascii="仿宋_GB2312" w:hAnsi="宋体" w:eastAsia="仿宋_GB2312"/>
          <w:kern w:val="0"/>
          <w:sz w:val="32"/>
        </w:rPr>
      </w:pPr>
    </w:p>
    <w:p w14:paraId="5FE273D1">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4375E">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0917F9"/>
    <w:multiLevelType w:val="singleLevel"/>
    <w:tmpl w:val="AA0917F9"/>
    <w:lvl w:ilvl="0" w:tentative="0">
      <w:start w:val="3"/>
      <w:numFmt w:val="chineseCounting"/>
      <w:suff w:val="nothing"/>
      <w:lvlText w:val="%1、"/>
      <w:lvlJc w:val="left"/>
      <w:rPr>
        <w:rFonts w:hint="eastAsia"/>
      </w:rPr>
    </w:lvl>
  </w:abstractNum>
  <w:abstractNum w:abstractNumId="1">
    <w:nsid w:val="E9E08A24"/>
    <w:multiLevelType w:val="singleLevel"/>
    <w:tmpl w:val="E9E08A24"/>
    <w:lvl w:ilvl="0" w:tentative="0">
      <w:start w:val="3"/>
      <w:numFmt w:val="chineseCounting"/>
      <w:suff w:val="nothing"/>
      <w:lvlText w:val="（%1）"/>
      <w:lvlJc w:val="left"/>
      <w:rPr>
        <w:rFonts w:hint="eastAsia"/>
        <w:color w:val="auto"/>
      </w:rPr>
    </w:lvl>
  </w:abstractNum>
  <w:abstractNum w:abstractNumId="2">
    <w:nsid w:val="621DCE97"/>
    <w:multiLevelType w:val="singleLevel"/>
    <w:tmpl w:val="621DCE97"/>
    <w:lvl w:ilvl="0" w:tentative="0">
      <w:start w:val="1"/>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iZTQ3ZmI1OTFmODUzNzgwMGRlNDBmMWZiZDQzMjEifQ=="/>
  </w:docVars>
  <w:rsids>
    <w:rsidRoot w:val="1C635C29"/>
    <w:rsid w:val="0002424B"/>
    <w:rsid w:val="00036029"/>
    <w:rsid w:val="000372DB"/>
    <w:rsid w:val="000409E4"/>
    <w:rsid w:val="00060165"/>
    <w:rsid w:val="000617C9"/>
    <w:rsid w:val="00071782"/>
    <w:rsid w:val="000A6D50"/>
    <w:rsid w:val="000B596F"/>
    <w:rsid w:val="000C2884"/>
    <w:rsid w:val="000D02E8"/>
    <w:rsid w:val="000E752F"/>
    <w:rsid w:val="00100607"/>
    <w:rsid w:val="00103FBF"/>
    <w:rsid w:val="00104E0F"/>
    <w:rsid w:val="001446AE"/>
    <w:rsid w:val="001733FA"/>
    <w:rsid w:val="0017637C"/>
    <w:rsid w:val="00180B29"/>
    <w:rsid w:val="001D0B4A"/>
    <w:rsid w:val="001E46FC"/>
    <w:rsid w:val="001F09D9"/>
    <w:rsid w:val="0021211E"/>
    <w:rsid w:val="0023444C"/>
    <w:rsid w:val="00237658"/>
    <w:rsid w:val="00245F8E"/>
    <w:rsid w:val="0026376D"/>
    <w:rsid w:val="00270523"/>
    <w:rsid w:val="00286439"/>
    <w:rsid w:val="002C1901"/>
    <w:rsid w:val="002F07E9"/>
    <w:rsid w:val="00317C73"/>
    <w:rsid w:val="00320394"/>
    <w:rsid w:val="003410ED"/>
    <w:rsid w:val="00342E31"/>
    <w:rsid w:val="00371ABE"/>
    <w:rsid w:val="00376FEE"/>
    <w:rsid w:val="00383C67"/>
    <w:rsid w:val="0038444A"/>
    <w:rsid w:val="00387684"/>
    <w:rsid w:val="003A6976"/>
    <w:rsid w:val="003B3237"/>
    <w:rsid w:val="003B71CF"/>
    <w:rsid w:val="003D71D0"/>
    <w:rsid w:val="003E5762"/>
    <w:rsid w:val="00404D4F"/>
    <w:rsid w:val="00440858"/>
    <w:rsid w:val="0044142C"/>
    <w:rsid w:val="00465D92"/>
    <w:rsid w:val="00474D59"/>
    <w:rsid w:val="00485722"/>
    <w:rsid w:val="00486589"/>
    <w:rsid w:val="004E4170"/>
    <w:rsid w:val="00505889"/>
    <w:rsid w:val="00507472"/>
    <w:rsid w:val="00521BAA"/>
    <w:rsid w:val="00533098"/>
    <w:rsid w:val="00573921"/>
    <w:rsid w:val="00577380"/>
    <w:rsid w:val="005812D3"/>
    <w:rsid w:val="005814A4"/>
    <w:rsid w:val="00582EFB"/>
    <w:rsid w:val="00590A8D"/>
    <w:rsid w:val="005C4DCE"/>
    <w:rsid w:val="005F0536"/>
    <w:rsid w:val="00687CAD"/>
    <w:rsid w:val="006A4A57"/>
    <w:rsid w:val="006B1608"/>
    <w:rsid w:val="006C327A"/>
    <w:rsid w:val="006E3615"/>
    <w:rsid w:val="006F7B8C"/>
    <w:rsid w:val="00753B9D"/>
    <w:rsid w:val="00756329"/>
    <w:rsid w:val="00756BE3"/>
    <w:rsid w:val="007846B1"/>
    <w:rsid w:val="007C526B"/>
    <w:rsid w:val="007D077B"/>
    <w:rsid w:val="007D4F92"/>
    <w:rsid w:val="007F284C"/>
    <w:rsid w:val="007F77B9"/>
    <w:rsid w:val="008040A1"/>
    <w:rsid w:val="0085177D"/>
    <w:rsid w:val="00860855"/>
    <w:rsid w:val="008A0377"/>
    <w:rsid w:val="008B080E"/>
    <w:rsid w:val="008C522D"/>
    <w:rsid w:val="008D18D5"/>
    <w:rsid w:val="008D6089"/>
    <w:rsid w:val="008F0A4E"/>
    <w:rsid w:val="00954778"/>
    <w:rsid w:val="00954E41"/>
    <w:rsid w:val="00975D63"/>
    <w:rsid w:val="009861A2"/>
    <w:rsid w:val="00995ECF"/>
    <w:rsid w:val="009F768E"/>
    <w:rsid w:val="00A1110C"/>
    <w:rsid w:val="00A17144"/>
    <w:rsid w:val="00A3014B"/>
    <w:rsid w:val="00A5357A"/>
    <w:rsid w:val="00A5762A"/>
    <w:rsid w:val="00A57A14"/>
    <w:rsid w:val="00A679BF"/>
    <w:rsid w:val="00A979F0"/>
    <w:rsid w:val="00AA7473"/>
    <w:rsid w:val="00AC7C53"/>
    <w:rsid w:val="00B10101"/>
    <w:rsid w:val="00B128D7"/>
    <w:rsid w:val="00B24487"/>
    <w:rsid w:val="00B5054C"/>
    <w:rsid w:val="00B54181"/>
    <w:rsid w:val="00B80E2B"/>
    <w:rsid w:val="00B91710"/>
    <w:rsid w:val="00B94E42"/>
    <w:rsid w:val="00BC09C4"/>
    <w:rsid w:val="00BE19E8"/>
    <w:rsid w:val="00C04D35"/>
    <w:rsid w:val="00C17C05"/>
    <w:rsid w:val="00C30C55"/>
    <w:rsid w:val="00C41B1E"/>
    <w:rsid w:val="00C92BBF"/>
    <w:rsid w:val="00C956C9"/>
    <w:rsid w:val="00CC33D1"/>
    <w:rsid w:val="00D03C69"/>
    <w:rsid w:val="00D25668"/>
    <w:rsid w:val="00D57852"/>
    <w:rsid w:val="00D64A96"/>
    <w:rsid w:val="00D674B3"/>
    <w:rsid w:val="00D72C6D"/>
    <w:rsid w:val="00D87975"/>
    <w:rsid w:val="00DB2603"/>
    <w:rsid w:val="00DC2603"/>
    <w:rsid w:val="00DC3915"/>
    <w:rsid w:val="00DE0299"/>
    <w:rsid w:val="00DF3305"/>
    <w:rsid w:val="00E02FAB"/>
    <w:rsid w:val="00E35A29"/>
    <w:rsid w:val="00E4305D"/>
    <w:rsid w:val="00E80911"/>
    <w:rsid w:val="00EA2C89"/>
    <w:rsid w:val="00EA3A96"/>
    <w:rsid w:val="00EA4227"/>
    <w:rsid w:val="00EA4DDF"/>
    <w:rsid w:val="00EB6092"/>
    <w:rsid w:val="00ED0365"/>
    <w:rsid w:val="00ED18EF"/>
    <w:rsid w:val="00ED6EB6"/>
    <w:rsid w:val="00EE006B"/>
    <w:rsid w:val="00EE723C"/>
    <w:rsid w:val="00F0346D"/>
    <w:rsid w:val="00F16B2B"/>
    <w:rsid w:val="00F24387"/>
    <w:rsid w:val="00F54456"/>
    <w:rsid w:val="00F54B00"/>
    <w:rsid w:val="00F67249"/>
    <w:rsid w:val="00F70E92"/>
    <w:rsid w:val="00F724E9"/>
    <w:rsid w:val="00F84A74"/>
    <w:rsid w:val="00F84CE9"/>
    <w:rsid w:val="00F9103A"/>
    <w:rsid w:val="00FF1E07"/>
    <w:rsid w:val="00FF2444"/>
    <w:rsid w:val="09C4782E"/>
    <w:rsid w:val="0ECB7368"/>
    <w:rsid w:val="11612EA5"/>
    <w:rsid w:val="1C635C29"/>
    <w:rsid w:val="2E4F6256"/>
    <w:rsid w:val="30234F3D"/>
    <w:rsid w:val="30C03821"/>
    <w:rsid w:val="36230505"/>
    <w:rsid w:val="3AD27CCD"/>
    <w:rsid w:val="46514A62"/>
    <w:rsid w:val="54F6469B"/>
    <w:rsid w:val="5B697371"/>
    <w:rsid w:val="5FE93B7C"/>
    <w:rsid w:val="673C6F2C"/>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字符"/>
    <w:basedOn w:val="5"/>
    <w:link w:val="3"/>
    <w:qFormat/>
    <w:uiPriority w:val="0"/>
    <w:rPr>
      <w:rFonts w:ascii="Times New Roman" w:hAnsi="Times New Roman" w:eastAsia="宋体"/>
      <w:kern w:val="2"/>
      <w:sz w:val="18"/>
      <w:szCs w:val="18"/>
    </w:rPr>
  </w:style>
  <w:style w:type="character" w:customStyle="1" w:styleId="8">
    <w:name w:val="页脚 字符"/>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5344</Words>
  <Characters>5804</Characters>
  <Lines>42</Lines>
  <Paragraphs>11</Paragraphs>
  <TotalTime>1</TotalTime>
  <ScaleCrop>false</ScaleCrop>
  <LinksUpToDate>false</LinksUpToDate>
  <CharactersWithSpaces>5848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2023-05-16T05:40:00Z</dcterms:created>
  <dc:creator>国库处-王艳秋</dc:creator>
  <cp:lastModifiedBy>杨洋</cp:lastModifiedBy>
  <cp:lastPrinted>2022-09-19T10:34:00Z</cp:lastPrinted>
  <dcterms:modified xsi:type="dcterms:W3CDTF">2026-02-02T01:16:25Z</dcterms:modified>
  <cp:revision>151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9C872CB057B74C43AB101636CEB4559F_13</vt:lpwstr>
  </property>
  <property fmtid="{D5CDD505-2E9C-101B-9397-08002B2CF9AE}" pid="4" name="KSOTemplateDocerSaveRecord">
    <vt:lpwstr>eyJoZGlkIjoiNzZiZTQ3ZmI1OTFmODUzNzgwMGRlNDBmMWZiZDQzMjEiLCJ1c2VySWQiOiIyMzQ0MjI2NjQifQ==</vt:lpwstr>
  </property>
</Properties>
</file>