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F999F">
      <w:pPr>
        <w:pStyle w:val="6"/>
        <w:rPr>
          <w:rFonts w:hint="default" w:ascii="黑体" w:eastAsia="黑体"/>
          <w:sz w:val="32"/>
        </w:rPr>
      </w:pPr>
      <w:bookmarkStart w:id="0" w:name="_GoBack"/>
      <w:bookmarkEnd w:id="0"/>
      <w:r>
        <w:rPr>
          <w:rFonts w:ascii="黑体" w:eastAsia="黑体"/>
          <w:sz w:val="32"/>
        </w:rPr>
        <w:t>附件2</w:t>
      </w:r>
    </w:p>
    <w:p w14:paraId="65FABF05">
      <w:pPr>
        <w:pStyle w:val="6"/>
        <w:rPr>
          <w:rFonts w:hint="default"/>
          <w:b/>
          <w:sz w:val="44"/>
        </w:rPr>
      </w:pPr>
    </w:p>
    <w:p w14:paraId="1C9A6FC1">
      <w:pPr>
        <w:pStyle w:val="6"/>
        <w:rPr>
          <w:rFonts w:hint="default"/>
          <w:b/>
          <w:sz w:val="44"/>
        </w:rPr>
      </w:pPr>
    </w:p>
    <w:p w14:paraId="1C92AD5F">
      <w:pPr>
        <w:pStyle w:val="6"/>
        <w:rPr>
          <w:rFonts w:hint="default"/>
          <w:b/>
          <w:sz w:val="44"/>
        </w:rPr>
      </w:pPr>
    </w:p>
    <w:p w14:paraId="4E63B339">
      <w:pPr>
        <w:pStyle w:val="6"/>
        <w:rPr>
          <w:rFonts w:hint="default"/>
          <w:b/>
          <w:sz w:val="44"/>
        </w:rPr>
      </w:pPr>
    </w:p>
    <w:p w14:paraId="73C92599">
      <w:pPr>
        <w:pStyle w:val="6"/>
        <w:rPr>
          <w:rFonts w:hint="default"/>
          <w:b/>
          <w:sz w:val="44"/>
        </w:rPr>
      </w:pPr>
    </w:p>
    <w:p w14:paraId="788EDB77">
      <w:pPr>
        <w:pStyle w:val="6"/>
        <w:rPr>
          <w:rFonts w:hint="default"/>
          <w:b/>
          <w:sz w:val="44"/>
        </w:rPr>
      </w:pPr>
    </w:p>
    <w:p w14:paraId="46F39146">
      <w:pPr>
        <w:spacing w:line="540" w:lineRule="exact"/>
        <w:jc w:val="center"/>
        <w:rPr>
          <w:rFonts w:hint="default" w:ascii="宋体" w:hAnsi="宋体"/>
          <w:b/>
          <w:color w:val="FF0000"/>
          <w:sz w:val="52"/>
          <w:szCs w:val="52"/>
        </w:rPr>
      </w:pPr>
      <w:r>
        <w:rPr>
          <w:rFonts w:ascii="宋体" w:hAnsi="宋体"/>
          <w:b/>
          <w:sz w:val="52"/>
          <w:szCs w:val="52"/>
        </w:rPr>
        <w:t>沈阳市浑南区总工会2021年度决算说明</w:t>
      </w:r>
    </w:p>
    <w:p w14:paraId="72E92F27">
      <w:pPr>
        <w:pStyle w:val="6"/>
        <w:jc w:val="center"/>
        <w:rPr>
          <w:rFonts w:hint="default" w:ascii="仿宋_GB2312" w:eastAsia="仿宋_GB2312"/>
          <w:b/>
          <w:sz w:val="52"/>
        </w:rPr>
      </w:pPr>
    </w:p>
    <w:p w14:paraId="07E71C57">
      <w:pPr>
        <w:pStyle w:val="6"/>
        <w:jc w:val="center"/>
        <w:rPr>
          <w:rFonts w:hint="default" w:ascii="仿宋_GB2312" w:eastAsia="仿宋_GB2312"/>
          <w:b/>
          <w:sz w:val="52"/>
        </w:rPr>
      </w:pPr>
    </w:p>
    <w:p w14:paraId="6B644D9B">
      <w:pPr>
        <w:pStyle w:val="6"/>
        <w:jc w:val="center"/>
        <w:rPr>
          <w:rFonts w:hint="default" w:ascii="Times New Roman" w:eastAsia="Times New Roman"/>
          <w:b/>
          <w:sz w:val="44"/>
          <w:u w:val="single"/>
        </w:rPr>
      </w:pPr>
    </w:p>
    <w:p w14:paraId="2AFF1D4C">
      <w:pPr>
        <w:pStyle w:val="6"/>
        <w:jc w:val="center"/>
        <w:rPr>
          <w:rFonts w:hint="default" w:ascii="Times New Roman" w:eastAsia="Times New Roman"/>
          <w:b/>
          <w:sz w:val="44"/>
          <w:u w:val="single"/>
        </w:rPr>
      </w:pPr>
    </w:p>
    <w:p w14:paraId="5BD15BF0">
      <w:pPr>
        <w:pStyle w:val="6"/>
        <w:jc w:val="center"/>
        <w:rPr>
          <w:rFonts w:hint="default" w:ascii="Times New Roman" w:eastAsia="Times New Roman"/>
          <w:b/>
          <w:sz w:val="44"/>
          <w:u w:val="single"/>
        </w:rPr>
      </w:pPr>
    </w:p>
    <w:p w14:paraId="6FD31089">
      <w:pPr>
        <w:pStyle w:val="6"/>
        <w:jc w:val="center"/>
        <w:rPr>
          <w:rFonts w:hint="default" w:ascii="Times New Roman" w:eastAsia="Times New Roman"/>
          <w:b/>
          <w:sz w:val="44"/>
          <w:u w:val="single"/>
        </w:rPr>
      </w:pPr>
    </w:p>
    <w:p w14:paraId="78BBECE4">
      <w:pPr>
        <w:pStyle w:val="6"/>
        <w:jc w:val="center"/>
        <w:rPr>
          <w:rFonts w:hint="default" w:ascii="Times New Roman" w:eastAsia="Times New Roman"/>
          <w:b/>
          <w:sz w:val="44"/>
          <w:u w:val="single"/>
        </w:rPr>
      </w:pPr>
    </w:p>
    <w:p w14:paraId="00CC816A">
      <w:pPr>
        <w:pStyle w:val="6"/>
        <w:jc w:val="center"/>
        <w:rPr>
          <w:rFonts w:hint="default" w:ascii="Times New Roman" w:eastAsia="Times New Roman"/>
          <w:b/>
          <w:sz w:val="44"/>
          <w:u w:val="single"/>
        </w:rPr>
      </w:pPr>
    </w:p>
    <w:p w14:paraId="48A3C029">
      <w:pPr>
        <w:pStyle w:val="6"/>
        <w:jc w:val="center"/>
        <w:rPr>
          <w:rFonts w:hint="default" w:ascii="Times New Roman" w:eastAsia="Times New Roman"/>
          <w:b/>
          <w:sz w:val="44"/>
          <w:u w:val="single"/>
        </w:rPr>
      </w:pPr>
    </w:p>
    <w:p w14:paraId="59F39A98">
      <w:pPr>
        <w:pStyle w:val="6"/>
        <w:jc w:val="center"/>
        <w:rPr>
          <w:rFonts w:hint="default" w:ascii="Times New Roman" w:eastAsia="Times New Roman"/>
          <w:b/>
          <w:sz w:val="44"/>
          <w:u w:val="single"/>
        </w:rPr>
      </w:pPr>
    </w:p>
    <w:p w14:paraId="615C2A54">
      <w:pPr>
        <w:pStyle w:val="6"/>
        <w:jc w:val="center"/>
        <w:rPr>
          <w:rFonts w:hint="default" w:ascii="Times New Roman" w:eastAsia="Times New Roman"/>
          <w:b/>
          <w:sz w:val="44"/>
          <w:u w:val="single"/>
        </w:rPr>
      </w:pPr>
    </w:p>
    <w:p w14:paraId="3ECDA117">
      <w:pPr>
        <w:pStyle w:val="6"/>
        <w:spacing w:line="560" w:lineRule="exact"/>
        <w:jc w:val="center"/>
        <w:rPr>
          <w:b/>
          <w:sz w:val="44"/>
        </w:rPr>
      </w:pPr>
    </w:p>
    <w:p w14:paraId="6736A8AA">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15FA793A">
      <w:pPr>
        <w:pStyle w:val="6"/>
        <w:spacing w:line="560" w:lineRule="exact"/>
        <w:rPr>
          <w:rFonts w:hint="default" w:ascii="Times New Roman" w:eastAsia="Times New Roman"/>
          <w:b/>
          <w:sz w:val="44"/>
          <w:u w:val="single"/>
        </w:rPr>
      </w:pPr>
    </w:p>
    <w:p w14:paraId="7E7E8402">
      <w:pPr>
        <w:pStyle w:val="6"/>
        <w:spacing w:line="560" w:lineRule="exact"/>
        <w:rPr>
          <w:rFonts w:hint="default" w:ascii="黑体" w:eastAsia="黑体"/>
          <w:sz w:val="32"/>
        </w:rPr>
      </w:pPr>
      <w:r>
        <w:rPr>
          <w:rFonts w:ascii="黑体" w:eastAsia="黑体"/>
          <w:sz w:val="32"/>
        </w:rPr>
        <w:t xml:space="preserve">第一部分    </w:t>
      </w:r>
      <w:r>
        <w:rPr>
          <w:rFonts w:ascii="黑体" w:hAnsi="黑体" w:eastAsia="黑体"/>
          <w:sz w:val="32"/>
        </w:rPr>
        <w:t>沈阳市浑南区总工会</w:t>
      </w:r>
      <w:r>
        <w:rPr>
          <w:rFonts w:ascii="黑体" w:eastAsia="黑体"/>
          <w:sz w:val="32"/>
        </w:rPr>
        <w:t>概况</w:t>
      </w:r>
    </w:p>
    <w:p w14:paraId="2CF28E5C">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20EFAC7">
      <w:pPr>
        <w:pStyle w:val="6"/>
        <w:spacing w:line="560" w:lineRule="exact"/>
        <w:rPr>
          <w:rFonts w:hint="default" w:ascii="仿宋_GB2312" w:eastAsia="仿宋_GB2312"/>
          <w:sz w:val="32"/>
        </w:rPr>
      </w:pPr>
      <w:r>
        <w:rPr>
          <w:rFonts w:ascii="仿宋_GB2312" w:eastAsia="仿宋_GB2312"/>
          <w:sz w:val="32"/>
        </w:rPr>
        <w:t>二、决算单位构成</w:t>
      </w:r>
    </w:p>
    <w:p w14:paraId="70698581">
      <w:pPr>
        <w:pStyle w:val="6"/>
        <w:spacing w:line="560" w:lineRule="exact"/>
        <w:rPr>
          <w:rFonts w:hint="default" w:ascii="黑体" w:eastAsia="黑体"/>
          <w:sz w:val="32"/>
        </w:rPr>
      </w:pPr>
      <w:r>
        <w:rPr>
          <w:rFonts w:ascii="黑体" w:eastAsia="黑体"/>
          <w:sz w:val="32"/>
        </w:rPr>
        <w:t xml:space="preserve">第二部分    </w:t>
      </w:r>
      <w:r>
        <w:rPr>
          <w:rFonts w:ascii="黑体" w:hAnsi="黑体" w:eastAsia="黑体"/>
          <w:sz w:val="32"/>
        </w:rPr>
        <w:t>沈阳市浑南区总工会</w:t>
      </w:r>
      <w:r>
        <w:rPr>
          <w:rFonts w:ascii="黑体" w:eastAsia="黑体"/>
          <w:sz w:val="32"/>
        </w:rPr>
        <w:t>2021年决算情况说明</w:t>
      </w:r>
    </w:p>
    <w:p w14:paraId="654A61D0">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77A7052C">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2F93017E">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58316DD6">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1797F9C0">
      <w:pPr>
        <w:pStyle w:val="6"/>
        <w:spacing w:line="560" w:lineRule="exact"/>
        <w:rPr>
          <w:rFonts w:hint="default" w:ascii="黑体" w:eastAsia="黑体"/>
          <w:sz w:val="32"/>
        </w:rPr>
      </w:pPr>
      <w:r>
        <w:rPr>
          <w:rFonts w:ascii="仿宋_GB2312" w:eastAsia="仿宋_GB2312"/>
          <w:sz w:val="32"/>
        </w:rPr>
        <w:t>五、其他重要事项的情况说明</w:t>
      </w:r>
    </w:p>
    <w:p w14:paraId="622BD967">
      <w:pPr>
        <w:pStyle w:val="6"/>
        <w:spacing w:line="560" w:lineRule="exact"/>
        <w:rPr>
          <w:rFonts w:hint="default" w:ascii="黑体" w:eastAsia="黑体"/>
          <w:sz w:val="32"/>
        </w:rPr>
      </w:pPr>
      <w:r>
        <w:rPr>
          <w:rFonts w:ascii="黑体" w:eastAsia="黑体"/>
          <w:sz w:val="32"/>
        </w:rPr>
        <w:t>第三部分    名词解释</w:t>
      </w:r>
    </w:p>
    <w:p w14:paraId="74F1C0BB">
      <w:pPr>
        <w:pStyle w:val="6"/>
        <w:spacing w:line="560" w:lineRule="exact"/>
        <w:rPr>
          <w:rFonts w:hint="default" w:ascii="黑体" w:eastAsia="黑体"/>
          <w:sz w:val="32"/>
        </w:rPr>
      </w:pPr>
      <w:r>
        <w:rPr>
          <w:rFonts w:ascii="黑体" w:eastAsia="黑体"/>
          <w:sz w:val="32"/>
        </w:rPr>
        <w:t xml:space="preserve">第四部分    </w:t>
      </w:r>
      <w:r>
        <w:rPr>
          <w:rFonts w:ascii="黑体" w:hAnsi="黑体" w:eastAsia="黑体"/>
          <w:sz w:val="32"/>
        </w:rPr>
        <w:t>沈阳市浑南区总工会</w:t>
      </w:r>
      <w:r>
        <w:rPr>
          <w:rFonts w:ascii="黑体" w:eastAsia="黑体"/>
          <w:sz w:val="32"/>
        </w:rPr>
        <w:t>2021年决算报表</w:t>
      </w:r>
    </w:p>
    <w:p w14:paraId="420821F9">
      <w:pPr>
        <w:pStyle w:val="6"/>
        <w:spacing w:line="560" w:lineRule="exact"/>
        <w:rPr>
          <w:rFonts w:hint="default" w:ascii="仿宋_GB2312" w:eastAsia="仿宋_GB2312"/>
          <w:sz w:val="32"/>
        </w:rPr>
      </w:pPr>
      <w:r>
        <w:rPr>
          <w:rFonts w:ascii="仿宋_GB2312" w:eastAsia="仿宋_GB2312"/>
          <w:sz w:val="32"/>
        </w:rPr>
        <w:t>一、2021年度收入支出决算总表</w:t>
      </w:r>
    </w:p>
    <w:p w14:paraId="54E346DB">
      <w:pPr>
        <w:pStyle w:val="6"/>
        <w:spacing w:line="560" w:lineRule="exact"/>
        <w:rPr>
          <w:rFonts w:hint="default" w:ascii="仿宋_GB2312" w:eastAsia="仿宋_GB2312"/>
          <w:sz w:val="32"/>
        </w:rPr>
      </w:pPr>
      <w:r>
        <w:rPr>
          <w:rFonts w:ascii="仿宋_GB2312" w:eastAsia="仿宋_GB2312"/>
          <w:sz w:val="32"/>
        </w:rPr>
        <w:t>二、2021年度收入决算表</w:t>
      </w:r>
    </w:p>
    <w:p w14:paraId="49D2D08C">
      <w:pPr>
        <w:pStyle w:val="6"/>
        <w:spacing w:line="560" w:lineRule="exact"/>
        <w:rPr>
          <w:rFonts w:hint="default" w:ascii="仿宋_GB2312" w:eastAsia="仿宋_GB2312"/>
          <w:sz w:val="32"/>
        </w:rPr>
      </w:pPr>
      <w:r>
        <w:rPr>
          <w:rFonts w:ascii="仿宋_GB2312" w:eastAsia="仿宋_GB2312"/>
          <w:sz w:val="32"/>
        </w:rPr>
        <w:t>三、2021年度支出决算表</w:t>
      </w:r>
    </w:p>
    <w:p w14:paraId="2CC1393A">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2222DE5F">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340938AD">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193F2EFA">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3A2983B0">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3DA4481E">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389E43B4">
      <w:pPr>
        <w:pStyle w:val="6"/>
        <w:spacing w:line="560" w:lineRule="exact"/>
        <w:jc w:val="center"/>
        <w:rPr>
          <w:rFonts w:hint="default"/>
          <w:b/>
          <w:sz w:val="36"/>
        </w:rPr>
      </w:pPr>
    </w:p>
    <w:p w14:paraId="55DC6B02">
      <w:pPr>
        <w:pStyle w:val="6"/>
        <w:spacing w:line="560" w:lineRule="exact"/>
        <w:jc w:val="center"/>
        <w:rPr>
          <w:rFonts w:hint="default"/>
          <w:b/>
          <w:sz w:val="36"/>
        </w:rPr>
      </w:pPr>
    </w:p>
    <w:p w14:paraId="743360D8">
      <w:pPr>
        <w:pStyle w:val="6"/>
        <w:spacing w:line="560" w:lineRule="exact"/>
        <w:jc w:val="center"/>
        <w:rPr>
          <w:rFonts w:hint="default"/>
          <w:b/>
          <w:sz w:val="36"/>
        </w:rPr>
      </w:pPr>
      <w:r>
        <w:rPr>
          <w:b/>
          <w:sz w:val="36"/>
        </w:rPr>
        <w:t>第一部分</w:t>
      </w:r>
      <w:r>
        <w:rPr>
          <w:rFonts w:hint="eastAsia"/>
          <w:b/>
          <w:sz w:val="36"/>
          <w:lang w:val="en-US" w:eastAsia="zh-CN"/>
        </w:rPr>
        <w:t xml:space="preserve"> </w:t>
      </w:r>
      <w:r>
        <w:rPr>
          <w:b/>
          <w:sz w:val="36"/>
        </w:rPr>
        <w:t>沈阳市浑南区总工会概况</w:t>
      </w:r>
    </w:p>
    <w:p w14:paraId="0DD3F754">
      <w:pPr>
        <w:pStyle w:val="6"/>
        <w:spacing w:line="560" w:lineRule="exact"/>
        <w:ind w:firstLine="640"/>
        <w:rPr>
          <w:rFonts w:hint="default" w:ascii="黑体" w:eastAsia="黑体"/>
          <w:sz w:val="32"/>
        </w:rPr>
      </w:pPr>
    </w:p>
    <w:p w14:paraId="605247EF">
      <w:pPr>
        <w:pStyle w:val="6"/>
        <w:spacing w:line="560" w:lineRule="exact"/>
        <w:ind w:firstLine="640"/>
        <w:rPr>
          <w:rFonts w:hint="default" w:ascii="黑体" w:eastAsia="黑体"/>
          <w:sz w:val="32"/>
        </w:rPr>
      </w:pPr>
      <w:r>
        <w:rPr>
          <w:rFonts w:ascii="黑体" w:eastAsia="黑体"/>
          <w:sz w:val="32"/>
        </w:rPr>
        <w:t>一、主要职责</w:t>
      </w:r>
    </w:p>
    <w:p w14:paraId="199C42FD">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（一）负责文字综合、工会工作调研和信息报送工作。</w:t>
      </w:r>
    </w:p>
    <w:p w14:paraId="111B53EB">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（二）负责工会会计、出纳和经审工作。</w:t>
      </w:r>
    </w:p>
    <w:p w14:paraId="1ECBA708">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（三）</w:t>
      </w:r>
      <w:r>
        <w:rPr>
          <w:rFonts w:eastAsia="仿宋_GB2312"/>
          <w:sz w:val="32"/>
        </w:rPr>
        <w:t>负责重要会议的组织和会议决定事项的</w:t>
      </w:r>
      <w:r>
        <w:rPr>
          <w:rFonts w:hint="eastAsia" w:eastAsia="仿宋_GB2312"/>
          <w:sz w:val="32"/>
          <w:lang w:eastAsia="zh-CN"/>
        </w:rPr>
        <w:t>监察</w:t>
      </w:r>
      <w:r>
        <w:rPr>
          <w:rFonts w:eastAsia="仿宋_GB2312"/>
          <w:sz w:val="32"/>
        </w:rPr>
        <w:t>工作。</w:t>
      </w:r>
      <w:r>
        <w:rPr>
          <w:rFonts w:ascii="仿宋_GB2312" w:eastAsia="仿宋_GB2312"/>
          <w:sz w:val="32"/>
          <w:szCs w:val="32"/>
        </w:rPr>
        <w:t xml:space="preserve"> </w:t>
      </w:r>
    </w:p>
    <w:p w14:paraId="376EC4FA">
      <w:pPr>
        <w:spacing w:line="520" w:lineRule="exact"/>
        <w:ind w:firstLine="640" w:firstLineChars="200"/>
        <w:rPr>
          <w:rFonts w:hint="default" w:eastAsia="仿宋_GB2312"/>
          <w:sz w:val="32"/>
        </w:rPr>
      </w:pPr>
      <w:r>
        <w:rPr>
          <w:rFonts w:ascii="仿宋_GB2312" w:eastAsia="仿宋_GB2312"/>
          <w:sz w:val="32"/>
          <w:szCs w:val="32"/>
        </w:rPr>
        <w:t>（四）</w:t>
      </w:r>
      <w:r>
        <w:rPr>
          <w:rFonts w:eastAsia="仿宋_GB2312"/>
          <w:sz w:val="32"/>
        </w:rPr>
        <w:t>协助区委、区政府做好区级以上劳动模范的推荐和区劳动模范的评选、表彰、管理工作；负责市以上“五一”劳动奖章、奖状获得者的推荐、管理工作。</w:t>
      </w:r>
    </w:p>
    <w:p w14:paraId="5A377F10">
      <w:pPr>
        <w:spacing w:line="520" w:lineRule="exact"/>
        <w:ind w:firstLine="640" w:firstLineChars="200"/>
        <w:rPr>
          <w:rFonts w:hint="default" w:eastAsia="仿宋_GB2312"/>
          <w:sz w:val="32"/>
        </w:rPr>
      </w:pPr>
      <w:r>
        <w:rPr>
          <w:rFonts w:ascii="仿宋_GB2312" w:eastAsia="仿宋_GB2312"/>
          <w:sz w:val="32"/>
          <w:szCs w:val="32"/>
        </w:rPr>
        <w:t>（五）</w:t>
      </w:r>
      <w:r>
        <w:rPr>
          <w:rFonts w:eastAsia="仿宋_GB2312"/>
          <w:sz w:val="32"/>
        </w:rPr>
        <w:t xml:space="preserve">负责协调机关日常事务工作和后勤管理工作。 </w:t>
      </w:r>
    </w:p>
    <w:p w14:paraId="79F77790">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（六）负责绩效考核工作。</w:t>
      </w:r>
    </w:p>
    <w:p w14:paraId="5BA56C0E">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（七）负责人事劳资和老干部工作。</w:t>
      </w:r>
    </w:p>
    <w:p w14:paraId="62B68DB7">
      <w:pPr>
        <w:tabs>
          <w:tab w:val="left" w:pos="360"/>
        </w:tabs>
        <w:spacing w:line="520" w:lineRule="exact"/>
        <w:ind w:firstLine="640" w:firstLineChars="200"/>
        <w:rPr>
          <w:rFonts w:hint="default" w:ascii="仿宋_GB2312" w:eastAsia="仿宋_GB2312"/>
          <w:sz w:val="32"/>
          <w:szCs w:val="32"/>
        </w:rPr>
      </w:pPr>
      <w:r>
        <w:rPr>
          <w:rFonts w:ascii="仿宋_GB2312" w:eastAsia="仿宋_GB2312"/>
          <w:sz w:val="32"/>
          <w:szCs w:val="32"/>
        </w:rPr>
        <w:t>（八）负责领导交办的有关事项及办公室其他日常工作。</w:t>
      </w:r>
    </w:p>
    <w:p w14:paraId="43CCEEBE">
      <w:pPr>
        <w:spacing w:line="520" w:lineRule="exact"/>
        <w:ind w:firstLine="660"/>
        <w:rPr>
          <w:rFonts w:hint="default" w:eastAsia="仿宋_GB2312"/>
          <w:sz w:val="32"/>
        </w:rPr>
      </w:pPr>
      <w:r>
        <w:rPr>
          <w:rFonts w:ascii="仿宋_GB2312" w:eastAsia="仿宋_GB2312"/>
          <w:sz w:val="32"/>
          <w:szCs w:val="32"/>
        </w:rPr>
        <w:t>（九）</w:t>
      </w:r>
      <w:r>
        <w:rPr>
          <w:rFonts w:eastAsia="仿宋_GB2312"/>
          <w:sz w:val="32"/>
        </w:rPr>
        <w:t>负责有关职工生活、劳动争议调解、法律法规、劳动保护、职工工资、职工信访等工作。</w:t>
      </w:r>
    </w:p>
    <w:p w14:paraId="779DD991">
      <w:pPr>
        <w:spacing w:line="520" w:lineRule="exact"/>
        <w:ind w:firstLine="660"/>
        <w:rPr>
          <w:rFonts w:hint="default" w:eastAsia="仿宋_GB2312"/>
          <w:sz w:val="32"/>
        </w:rPr>
      </w:pPr>
      <w:r>
        <w:rPr>
          <w:rFonts w:ascii="仿宋_GB2312" w:eastAsia="仿宋_GB2312"/>
          <w:sz w:val="32"/>
          <w:szCs w:val="32"/>
        </w:rPr>
        <w:t>（十）</w:t>
      </w:r>
      <w:r>
        <w:rPr>
          <w:rFonts w:eastAsia="仿宋_GB2312"/>
          <w:sz w:val="32"/>
        </w:rPr>
        <w:t>负责指导和组织实施送温暖活动，维护特困职工和困难职工群体的合法权益。</w:t>
      </w:r>
    </w:p>
    <w:p w14:paraId="5260066B">
      <w:pPr>
        <w:spacing w:line="520" w:lineRule="exact"/>
        <w:ind w:firstLine="660"/>
        <w:rPr>
          <w:rFonts w:hint="default" w:eastAsia="仿宋_GB2312"/>
          <w:sz w:val="32"/>
        </w:rPr>
      </w:pPr>
      <w:r>
        <w:rPr>
          <w:rFonts w:ascii="仿宋_GB2312" w:eastAsia="仿宋_GB2312"/>
          <w:sz w:val="32"/>
          <w:szCs w:val="32"/>
        </w:rPr>
        <w:t>（十一）</w:t>
      </w:r>
      <w:r>
        <w:rPr>
          <w:rFonts w:eastAsia="仿宋_GB2312"/>
          <w:sz w:val="32"/>
        </w:rPr>
        <w:t>负责指导职工就业和再就业服务工作。</w:t>
      </w:r>
    </w:p>
    <w:p w14:paraId="7B20D9D2">
      <w:pPr>
        <w:spacing w:line="520" w:lineRule="exact"/>
        <w:ind w:firstLine="660"/>
        <w:rPr>
          <w:rFonts w:hint="default" w:eastAsia="仿宋_GB2312"/>
          <w:sz w:val="32"/>
        </w:rPr>
      </w:pPr>
      <w:r>
        <w:rPr>
          <w:rFonts w:ascii="仿宋_GB2312" w:eastAsia="仿宋_GB2312"/>
          <w:sz w:val="32"/>
          <w:szCs w:val="32"/>
        </w:rPr>
        <w:t>（十二）</w:t>
      </w:r>
      <w:r>
        <w:rPr>
          <w:rFonts w:eastAsia="仿宋_GB2312"/>
          <w:sz w:val="32"/>
        </w:rPr>
        <w:t>负责组织指导全区群众性的技术创新、技术协作、岗位技能训练比武活动。</w:t>
      </w:r>
    </w:p>
    <w:p w14:paraId="44DB31F9">
      <w:pPr>
        <w:spacing w:line="520" w:lineRule="exact"/>
        <w:ind w:firstLine="660"/>
        <w:rPr>
          <w:rFonts w:hint="default" w:eastAsia="仿宋_GB2312"/>
          <w:sz w:val="32"/>
        </w:rPr>
      </w:pPr>
      <w:r>
        <w:rPr>
          <w:rFonts w:ascii="仿宋_GB2312" w:eastAsia="仿宋_GB2312"/>
          <w:sz w:val="32"/>
          <w:szCs w:val="32"/>
        </w:rPr>
        <w:t>（十三）</w:t>
      </w:r>
      <w:r>
        <w:rPr>
          <w:rFonts w:eastAsia="仿宋_GB2312"/>
          <w:sz w:val="32"/>
        </w:rPr>
        <w:t>负责职工的安全生产工作，参加职工重大伤亡事故和严重危害职业危害问题的调查处理。</w:t>
      </w:r>
    </w:p>
    <w:p w14:paraId="34C3F0F3">
      <w:pPr>
        <w:spacing w:line="520" w:lineRule="exact"/>
        <w:ind w:firstLine="660"/>
        <w:rPr>
          <w:rFonts w:hint="default" w:eastAsia="仿宋_GB2312"/>
          <w:sz w:val="32"/>
        </w:rPr>
      </w:pPr>
      <w:r>
        <w:rPr>
          <w:rFonts w:ascii="仿宋_GB2312" w:eastAsia="仿宋_GB2312"/>
          <w:sz w:val="32"/>
          <w:szCs w:val="32"/>
        </w:rPr>
        <w:t>（十四）</w:t>
      </w:r>
      <w:r>
        <w:rPr>
          <w:rFonts w:eastAsia="仿宋_GB2312"/>
          <w:sz w:val="32"/>
        </w:rPr>
        <w:t>负责指导和参与维护女职工合法权益工作。</w:t>
      </w:r>
    </w:p>
    <w:p w14:paraId="039F8FAC">
      <w:pPr>
        <w:spacing w:line="520" w:lineRule="exact"/>
        <w:ind w:firstLine="660"/>
        <w:rPr>
          <w:rFonts w:hint="default" w:eastAsia="仿宋_GB2312"/>
          <w:sz w:val="32"/>
        </w:rPr>
      </w:pPr>
      <w:r>
        <w:rPr>
          <w:rFonts w:ascii="仿宋_GB2312" w:eastAsia="仿宋_GB2312"/>
          <w:sz w:val="32"/>
          <w:szCs w:val="32"/>
        </w:rPr>
        <w:t>（十五）</w:t>
      </w:r>
      <w:r>
        <w:rPr>
          <w:rFonts w:eastAsia="仿宋_GB2312"/>
          <w:sz w:val="32"/>
        </w:rPr>
        <w:t>负责指导基层工会参与和开展群众性职工劳动安全卫生的培训、教育工作。</w:t>
      </w:r>
    </w:p>
    <w:p w14:paraId="54F5195A">
      <w:pPr>
        <w:spacing w:line="520" w:lineRule="exact"/>
        <w:ind w:firstLine="660"/>
        <w:rPr>
          <w:rFonts w:hint="default" w:eastAsia="仿宋_GB2312"/>
          <w:sz w:val="32"/>
        </w:rPr>
      </w:pPr>
      <w:r>
        <w:rPr>
          <w:rFonts w:ascii="仿宋_GB2312" w:eastAsia="仿宋_GB2312"/>
          <w:sz w:val="32"/>
          <w:szCs w:val="32"/>
        </w:rPr>
        <w:t>（十六）</w:t>
      </w:r>
      <w:r>
        <w:rPr>
          <w:rFonts w:eastAsia="仿宋_GB2312"/>
          <w:sz w:val="32"/>
        </w:rPr>
        <w:t>负责基层工会的组织建设、宣传教育、民主管理和文体活动。</w:t>
      </w:r>
    </w:p>
    <w:p w14:paraId="6B173B59">
      <w:pPr>
        <w:spacing w:line="520" w:lineRule="exact"/>
        <w:ind w:firstLine="660"/>
        <w:rPr>
          <w:rFonts w:hint="default" w:ascii="仿宋_GB2312" w:hAnsi="宋体" w:eastAsia="仿宋_GB2312" w:cs="宋体"/>
          <w:sz w:val="32"/>
        </w:rPr>
      </w:pPr>
      <w:r>
        <w:rPr>
          <w:rFonts w:ascii="仿宋_GB2312" w:eastAsia="仿宋_GB2312"/>
          <w:sz w:val="32"/>
          <w:szCs w:val="32"/>
        </w:rPr>
        <w:t>（十七）</w:t>
      </w:r>
      <w:r>
        <w:rPr>
          <w:rFonts w:ascii="仿宋_GB2312" w:eastAsia="仿宋_GB2312"/>
          <w:sz w:val="32"/>
        </w:rPr>
        <w:t>负责推动</w:t>
      </w:r>
      <w:r>
        <w:rPr>
          <w:rFonts w:ascii="仿宋_GB2312" w:hAnsi="宋体" w:eastAsia="仿宋_GB2312" w:cs="宋体"/>
          <w:sz w:val="32"/>
        </w:rPr>
        <w:t>企业建立和完善平等协商、集体合同制度工作。</w:t>
      </w:r>
    </w:p>
    <w:p w14:paraId="59C9DC3E">
      <w:pPr>
        <w:spacing w:line="520" w:lineRule="exact"/>
        <w:ind w:firstLine="660"/>
        <w:rPr>
          <w:rFonts w:hint="default" w:ascii="仿宋_GB2312" w:hAnsi="宋体" w:eastAsia="仿宋_GB2312" w:cs="宋体"/>
          <w:sz w:val="32"/>
        </w:rPr>
      </w:pPr>
      <w:r>
        <w:rPr>
          <w:rFonts w:ascii="仿宋_GB2312" w:eastAsia="仿宋_GB2312"/>
          <w:sz w:val="32"/>
          <w:szCs w:val="32"/>
        </w:rPr>
        <w:t>（十八）</w:t>
      </w:r>
      <w:r>
        <w:rPr>
          <w:rFonts w:ascii="仿宋_GB2312" w:hAnsi="宋体" w:eastAsia="仿宋_GB2312" w:cs="宋体"/>
          <w:sz w:val="32"/>
        </w:rPr>
        <w:t>负责指导全区各级工会经费和各项基金使用情况的监督检查。</w:t>
      </w:r>
    </w:p>
    <w:p w14:paraId="3EEABC5B">
      <w:pPr>
        <w:spacing w:line="520" w:lineRule="exact"/>
        <w:ind w:firstLine="660"/>
        <w:rPr>
          <w:rFonts w:hint="default" w:eastAsia="仿宋_GB2312"/>
          <w:sz w:val="32"/>
        </w:rPr>
      </w:pPr>
      <w:r>
        <w:rPr>
          <w:rFonts w:ascii="仿宋_GB2312" w:eastAsia="仿宋_GB2312"/>
          <w:sz w:val="32"/>
          <w:szCs w:val="32"/>
        </w:rPr>
        <w:t>（十九）</w:t>
      </w:r>
      <w:r>
        <w:rPr>
          <w:rFonts w:eastAsia="仿宋_GB2312"/>
          <w:sz w:val="32"/>
        </w:rPr>
        <w:t>负责基层工会社会团体法人资格确认工作。</w:t>
      </w:r>
    </w:p>
    <w:p w14:paraId="20E66951">
      <w:pPr>
        <w:spacing w:line="520" w:lineRule="exact"/>
        <w:ind w:firstLine="660"/>
        <w:rPr>
          <w:rFonts w:hint="default" w:eastAsia="仿宋_GB2312"/>
          <w:sz w:val="32"/>
        </w:rPr>
      </w:pPr>
      <w:r>
        <w:rPr>
          <w:rFonts w:ascii="仿宋_GB2312" w:eastAsia="仿宋_GB2312"/>
          <w:sz w:val="32"/>
          <w:szCs w:val="32"/>
        </w:rPr>
        <w:t>（二十）</w:t>
      </w:r>
      <w:r>
        <w:rPr>
          <w:rFonts w:eastAsia="仿宋_GB2312"/>
          <w:sz w:val="32"/>
        </w:rPr>
        <w:t>负责农民工工作。</w:t>
      </w:r>
    </w:p>
    <w:p w14:paraId="631FEE7F">
      <w:pPr>
        <w:spacing w:line="560" w:lineRule="exact"/>
        <w:ind w:firstLine="640" w:firstLineChars="200"/>
        <w:rPr>
          <w:rFonts w:hint="default" w:ascii="黑体" w:eastAsia="黑体"/>
          <w:color w:val="FF0000"/>
          <w:sz w:val="32"/>
        </w:rPr>
      </w:pPr>
    </w:p>
    <w:p w14:paraId="10DF1978">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14:paraId="7BC135EC">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val="0"/>
          <w:bCs/>
          <w:sz w:val="32"/>
          <w:szCs w:val="32"/>
        </w:rPr>
        <w:t>纳入本单位2021年决算编制范围的是沈阳市浑南区总工会本级，本单位无下设机构。</w:t>
      </w:r>
    </w:p>
    <w:p w14:paraId="5513B839">
      <w:pPr>
        <w:pStyle w:val="6"/>
        <w:spacing w:line="560" w:lineRule="exact"/>
        <w:ind w:firstLine="640"/>
        <w:rPr>
          <w:rFonts w:hint="default" w:ascii="仿宋_GB2312" w:eastAsia="仿宋_GB2312"/>
          <w:sz w:val="32"/>
        </w:rPr>
      </w:pPr>
    </w:p>
    <w:p w14:paraId="3363AC13">
      <w:pPr>
        <w:pStyle w:val="6"/>
        <w:spacing w:line="560" w:lineRule="exact"/>
        <w:jc w:val="center"/>
        <w:rPr>
          <w:rFonts w:hint="default"/>
          <w:b/>
          <w:sz w:val="36"/>
        </w:rPr>
      </w:pPr>
      <w:r>
        <w:rPr>
          <w:b/>
          <w:sz w:val="36"/>
        </w:rPr>
        <w:t>第二部分 沈阳市浑南区总工会2021年决算情况说明</w:t>
      </w:r>
    </w:p>
    <w:p w14:paraId="0DB1FF8D">
      <w:pPr>
        <w:pStyle w:val="6"/>
        <w:spacing w:line="560" w:lineRule="exact"/>
        <w:ind w:firstLine="640" w:firstLineChars="200"/>
        <w:rPr>
          <w:rFonts w:hint="default" w:ascii="黑体" w:eastAsia="黑体"/>
          <w:sz w:val="32"/>
        </w:rPr>
      </w:pPr>
    </w:p>
    <w:p w14:paraId="52B4825A">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272E3FF5">
      <w:pPr>
        <w:spacing w:line="540" w:lineRule="exact"/>
        <w:ind w:firstLine="630" w:firstLineChars="196"/>
        <w:rPr>
          <w:rFonts w:hint="default" w:ascii="楷体_GB2312" w:eastAsia="楷体_GB2312"/>
          <w:b/>
          <w:sz w:val="32"/>
        </w:rPr>
      </w:pPr>
      <w:r>
        <w:rPr>
          <w:rFonts w:ascii="楷体_GB2312" w:eastAsia="楷体_GB2312"/>
          <w:b/>
          <w:sz w:val="32"/>
        </w:rPr>
        <w:t>（一）收入总计348.98万元</w:t>
      </w:r>
    </w:p>
    <w:p w14:paraId="2EED216E">
      <w:pPr>
        <w:pStyle w:val="6"/>
        <w:spacing w:line="560" w:lineRule="exact"/>
        <w:ind w:firstLine="660"/>
        <w:rPr>
          <w:rFonts w:hint="default" w:ascii="仿宋_GB2312" w:eastAsia="仿宋_GB2312"/>
          <w:sz w:val="32"/>
        </w:rPr>
      </w:pPr>
      <w:r>
        <w:rPr>
          <w:rFonts w:ascii="仿宋_GB2312" w:eastAsia="仿宋_GB2312"/>
          <w:sz w:val="32"/>
        </w:rPr>
        <w:t>1.财政拨款收入348.98万元，占收入总计的100%。其中：一般公共预算财政拨款收入348.98万元，政府性基金收入0万元，国有资本经营预算财政拨款收入0万元。</w:t>
      </w:r>
    </w:p>
    <w:p w14:paraId="09D90B16">
      <w:pPr>
        <w:pStyle w:val="6"/>
        <w:spacing w:line="560" w:lineRule="atLeas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.上年结转和结余0万元，占收入总计的0%。</w:t>
      </w:r>
    </w:p>
    <w:p w14:paraId="5F005156">
      <w:pPr>
        <w:pStyle w:val="6"/>
        <w:spacing w:line="560" w:lineRule="atLeast"/>
        <w:ind w:firstLine="660"/>
        <w:rPr>
          <w:rFonts w:hint="default" w:ascii="仿宋_GB2312" w:eastAsia="仿宋_GB2312"/>
          <w:sz w:val="32"/>
          <w:szCs w:val="32"/>
        </w:rPr>
      </w:pPr>
      <w:r>
        <w:rPr>
          <w:rFonts w:ascii="仿宋_GB2312" w:eastAsia="仿宋_GB2312"/>
          <w:sz w:val="32"/>
        </w:rPr>
        <w:t>与上年相比，今年收入减少224.58万元，降低39.16%，主要原因是：</w:t>
      </w:r>
      <w:r>
        <w:rPr>
          <w:rFonts w:ascii="仿宋_GB2312" w:eastAsia="仿宋_GB2312"/>
          <w:sz w:val="32"/>
          <w:szCs w:val="32"/>
        </w:rPr>
        <w:t>沈阳市浑南区总工会工会经费照比上年减少。</w:t>
      </w:r>
    </w:p>
    <w:p w14:paraId="7007E2FC">
      <w:pPr>
        <w:pStyle w:val="6"/>
        <w:spacing w:line="560" w:lineRule="exact"/>
        <w:ind w:firstLine="660"/>
        <w:rPr>
          <w:rFonts w:hint="default" w:ascii="楷体_GB2312" w:eastAsia="楷体_GB2312"/>
          <w:b/>
          <w:sz w:val="32"/>
        </w:rPr>
      </w:pPr>
      <w:r>
        <w:rPr>
          <w:rFonts w:ascii="楷体_GB2312" w:eastAsia="楷体_GB2312"/>
          <w:b/>
          <w:sz w:val="32"/>
        </w:rPr>
        <w:t>（二）支出总计348.98万元，包括：</w:t>
      </w:r>
    </w:p>
    <w:p w14:paraId="3A934503">
      <w:pPr>
        <w:pStyle w:val="6"/>
        <w:spacing w:line="560" w:lineRule="exact"/>
        <w:ind w:firstLine="660"/>
        <w:rPr>
          <w:rFonts w:hint="default" w:ascii="仿宋_GB2312" w:eastAsia="仿宋_GB2312"/>
          <w:sz w:val="32"/>
        </w:rPr>
      </w:pPr>
      <w:r>
        <w:rPr>
          <w:rFonts w:ascii="仿宋_GB2312" w:eastAsia="仿宋_GB2312"/>
          <w:sz w:val="32"/>
        </w:rPr>
        <w:t>1.基本支出158.44万元，占支出总计的45.4%。主要是为保障机构正常运转、完成日常工作任务而发生的各项支出，其中：工资福利支出130.28万元，对个人和家庭的补助支出9.84万元，商品和服务支出18.33万元。</w:t>
      </w:r>
    </w:p>
    <w:p w14:paraId="53090C46">
      <w:pPr>
        <w:pStyle w:val="6"/>
        <w:spacing w:line="560" w:lineRule="atLeast"/>
        <w:ind w:firstLine="660"/>
        <w:rPr>
          <w:rFonts w:hint="default" w:ascii="仿宋_GB2312" w:eastAsia="仿宋_GB2312"/>
          <w:sz w:val="32"/>
          <w:szCs w:val="32"/>
        </w:rPr>
      </w:pPr>
      <w:r>
        <w:rPr>
          <w:rFonts w:ascii="仿宋_GB2312" w:eastAsia="仿宋_GB2312"/>
          <w:sz w:val="32"/>
        </w:rPr>
        <w:t xml:space="preserve"> 2.项目支出190.54万元，占支出总计的54.6%。</w:t>
      </w:r>
      <w:r>
        <w:rPr>
          <w:rFonts w:ascii="仿宋_GB2312" w:eastAsia="仿宋_GB2312"/>
          <w:sz w:val="32"/>
          <w:szCs w:val="32"/>
        </w:rPr>
        <w:t>主要包括工会经费、劳模大会、慰问全区职工等业务支出。</w:t>
      </w:r>
    </w:p>
    <w:p w14:paraId="2660EDCA">
      <w:pPr>
        <w:pStyle w:val="6"/>
        <w:spacing w:line="560" w:lineRule="atLeast"/>
        <w:ind w:firstLine="660"/>
        <w:rPr>
          <w:rFonts w:hint="default" w:ascii="仿宋_GB2312" w:eastAsia="仿宋_GB2312"/>
          <w:sz w:val="32"/>
          <w:szCs w:val="32"/>
        </w:rPr>
      </w:pPr>
      <w:r>
        <w:rPr>
          <w:rFonts w:ascii="仿宋_GB2312" w:eastAsia="仿宋_GB2312"/>
          <w:sz w:val="32"/>
        </w:rPr>
        <w:t>与上年相比，今年支出减少224.58万元，降低39.16%，主要原因是</w:t>
      </w:r>
      <w:r>
        <w:rPr>
          <w:rFonts w:ascii="仿宋_GB2312" w:eastAsia="仿宋_GB2312"/>
          <w:sz w:val="32"/>
          <w:szCs w:val="32"/>
        </w:rPr>
        <w:t>沈阳市浑南区总工会工会经费减少幅度大。</w:t>
      </w:r>
    </w:p>
    <w:p w14:paraId="38090A15">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14:paraId="7352118A">
      <w:pPr>
        <w:pStyle w:val="6"/>
        <w:spacing w:line="560" w:lineRule="atLeast"/>
        <w:ind w:firstLine="660"/>
        <w:rPr>
          <w:rFonts w:hint="default" w:ascii="仿宋_GB2312" w:eastAsia="仿宋_GB2312"/>
          <w:b/>
          <w:sz w:val="32"/>
          <w:szCs w:val="32"/>
        </w:rPr>
      </w:pPr>
      <w:r>
        <w:rPr>
          <w:rFonts w:ascii="仿宋_GB2312" w:eastAsia="仿宋_GB2312"/>
          <w:sz w:val="32"/>
          <w:szCs w:val="32"/>
        </w:rPr>
        <w:t>与上年相比，今年结转结余增加0万元。主要是上年与本年均无结转结余。</w:t>
      </w:r>
    </w:p>
    <w:p w14:paraId="605E985D">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14:paraId="3DBBD399">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061158CA">
      <w:pPr>
        <w:pStyle w:val="6"/>
        <w:spacing w:line="560" w:lineRule="exact"/>
        <w:ind w:firstLine="660"/>
        <w:rPr>
          <w:rFonts w:hint="default" w:ascii="仿宋_GB2312" w:eastAsia="仿宋_GB2312"/>
          <w:sz w:val="32"/>
        </w:rPr>
      </w:pPr>
      <w:r>
        <w:rPr>
          <w:rFonts w:ascii="仿宋_GB2312" w:eastAsia="仿宋_GB2312"/>
          <w:sz w:val="32"/>
        </w:rPr>
        <w:t>2021年度财政拨款支出348.98万元，其中：基本支出158.44万元，项目支出190.54万元。与上年相比，财政拨款支出减少224.58万元，降低39.16%，主要原因是</w:t>
      </w:r>
      <w:r>
        <w:rPr>
          <w:rFonts w:ascii="仿宋_GB2312" w:eastAsia="仿宋_GB2312"/>
          <w:sz w:val="32"/>
          <w:szCs w:val="32"/>
        </w:rPr>
        <w:t>工会经费拨款照比上年下降较多。</w:t>
      </w:r>
      <w:r>
        <w:rPr>
          <w:rFonts w:ascii="仿宋_GB2312" w:eastAsia="仿宋_GB2312"/>
          <w:sz w:val="32"/>
        </w:rPr>
        <w:t>与年初预算相比，2021年度财政拨款支出完成年初预算的92.62%，其中：基本支出完成年初预算的64.2%，项目支出完成年初预算的146.57%。</w:t>
      </w:r>
    </w:p>
    <w:p w14:paraId="46393FE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04A4C872">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348.98万元，按支出功能分类科目分，包括：一般公共服务支出289.69万元，占83.01%；社会保障和就业支出22.91万元，占6.56%；卫生健康支出7.66万元，占2.19%；住房保障支出25.22万元，占7.23%；灾害防治及应急管理支出3.5万元，占1.01%。</w:t>
      </w:r>
    </w:p>
    <w:p w14:paraId="7E45E057">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1.一般公共服务支出289.69万元，具体包括：</w:t>
      </w:r>
    </w:p>
    <w:p w14:paraId="4C5088AA">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（1）一般公共服务支出（类）财政事务（款）行政运行（项）102.65万元，主要是工资福利等支出，完成年初预算的98.1%，决算数小于年初预算数的原因主要是有人员划转调整。</w:t>
      </w:r>
    </w:p>
    <w:p w14:paraId="273F18FC">
      <w:pPr>
        <w:pStyle w:val="6"/>
        <w:spacing w:line="560" w:lineRule="atLeast"/>
        <w:ind w:firstLine="660"/>
        <w:rPr>
          <w:rFonts w:hint="default" w:ascii="仿宋_GB2312" w:eastAsia="仿宋_GB2312"/>
          <w:b/>
          <w:sz w:val="32"/>
          <w:szCs w:val="32"/>
        </w:rPr>
      </w:pPr>
      <w:r>
        <w:rPr>
          <w:rFonts w:ascii="仿宋_GB2312" w:eastAsia="仿宋_GB2312"/>
          <w:sz w:val="32"/>
          <w:szCs w:val="32"/>
        </w:rPr>
        <w:t>（2）一般公共服务支出（类）群众团体事务（款）一般行政管理事务（项）57.04万元，主要用于职工权益保障、文体活动等支出，因各项支出均按预算执行，因为100%完成。</w:t>
      </w:r>
    </w:p>
    <w:p w14:paraId="4CFC76EA">
      <w:pPr>
        <w:pStyle w:val="6"/>
        <w:spacing w:line="560" w:lineRule="atLeast"/>
        <w:ind w:firstLine="660"/>
        <w:rPr>
          <w:rFonts w:hint="default" w:ascii="仿宋_GB2312" w:eastAsia="仿宋_GB2312"/>
          <w:b/>
          <w:sz w:val="32"/>
          <w:szCs w:val="32"/>
        </w:rPr>
      </w:pPr>
      <w:r>
        <w:rPr>
          <w:rFonts w:ascii="仿宋_GB2312" w:eastAsia="仿宋_GB2312"/>
          <w:sz w:val="32"/>
          <w:szCs w:val="32"/>
        </w:rPr>
        <w:t>（3）一般公共服务支出（类）群众团体事务（款）工会事务（项）130万元，主要用于劳模大会和工会经费支出，因各项支出均按预算执行，因</w:t>
      </w:r>
      <w:r>
        <w:rPr>
          <w:rFonts w:hint="eastAsia" w:ascii="仿宋_GB2312" w:eastAsia="仿宋_GB2312"/>
          <w:sz w:val="32"/>
          <w:szCs w:val="32"/>
          <w:lang w:eastAsia="zh-CN"/>
        </w:rPr>
        <w:t>此</w:t>
      </w:r>
      <w:r>
        <w:rPr>
          <w:rFonts w:ascii="仿宋_GB2312" w:eastAsia="仿宋_GB2312"/>
          <w:sz w:val="32"/>
          <w:szCs w:val="32"/>
        </w:rPr>
        <w:t>100%完成。</w:t>
      </w:r>
    </w:p>
    <w:p w14:paraId="49D809A4">
      <w:pPr>
        <w:pStyle w:val="6"/>
        <w:spacing w:line="560" w:lineRule="atLeast"/>
        <w:ind w:firstLine="660"/>
        <w:rPr>
          <w:rFonts w:hint="default" w:ascii="仿宋_GB2312" w:eastAsia="仿宋_GB2312"/>
          <w:sz w:val="32"/>
          <w:szCs w:val="32"/>
        </w:rPr>
      </w:pPr>
      <w:r>
        <w:rPr>
          <w:rFonts w:ascii="仿宋_GB2312" w:eastAsia="仿宋_GB2312"/>
          <w:sz w:val="32"/>
          <w:szCs w:val="32"/>
        </w:rPr>
        <w:t>2. 社会保障和就业支出22.91万元，具体包括：</w:t>
      </w:r>
    </w:p>
    <w:p w14:paraId="4D55F70F">
      <w:pPr>
        <w:pStyle w:val="6"/>
        <w:spacing w:line="560" w:lineRule="atLeast"/>
        <w:ind w:firstLine="660"/>
        <w:rPr>
          <w:rFonts w:hint="default" w:ascii="仿宋_GB2312" w:eastAsia="仿宋_GB2312"/>
          <w:b/>
          <w:sz w:val="32"/>
          <w:szCs w:val="32"/>
        </w:rPr>
      </w:pPr>
      <w:r>
        <w:rPr>
          <w:rFonts w:ascii="仿宋_GB2312" w:eastAsia="仿宋_GB2312"/>
          <w:sz w:val="32"/>
          <w:szCs w:val="32"/>
        </w:rPr>
        <w:t>（1）社会保障和就业支出（类）行政事业单位养老支出（款）行政单位离退休（项）9.83万元，主要用于退休人员活动费，完成年初预算的100%，因此笔款项全部用于退休人员活动，因此100%完成。</w:t>
      </w:r>
    </w:p>
    <w:p w14:paraId="11B3AE2F">
      <w:pPr>
        <w:pStyle w:val="6"/>
        <w:spacing w:line="560" w:lineRule="atLeast"/>
        <w:ind w:firstLine="660"/>
        <w:rPr>
          <w:rFonts w:hint="default" w:ascii="仿宋_GB2312" w:eastAsia="仿宋_GB2312"/>
          <w:sz w:val="32"/>
          <w:szCs w:val="32"/>
        </w:rPr>
      </w:pPr>
      <w:r>
        <w:rPr>
          <w:rFonts w:ascii="仿宋_GB2312" w:eastAsia="仿宋_GB2312"/>
          <w:sz w:val="32"/>
          <w:szCs w:val="32"/>
        </w:rPr>
        <w:t>（2）社会保障和就业支出（类）行政事业单位养老支出（款）机关事业单位基本养老保险缴费支出（项）12.56万元，主要用于在职人员缴纳养老保险费用支出，完成年初预算的98.43%，主要由于2021年人员存在变动，按照实际情况执行，因此98.43%完成。</w:t>
      </w:r>
    </w:p>
    <w:p w14:paraId="13913D41">
      <w:pPr>
        <w:pStyle w:val="6"/>
        <w:spacing w:line="560" w:lineRule="atLeast"/>
        <w:ind w:firstLine="660"/>
        <w:rPr>
          <w:rFonts w:hint="default" w:ascii="仿宋_GB2312" w:eastAsia="仿宋_GB2312"/>
          <w:sz w:val="32"/>
          <w:szCs w:val="32"/>
        </w:rPr>
      </w:pPr>
      <w:r>
        <w:rPr>
          <w:rFonts w:ascii="仿宋_GB2312" w:eastAsia="仿宋_GB2312"/>
          <w:sz w:val="32"/>
          <w:szCs w:val="32"/>
        </w:rPr>
        <w:t>3. 卫生健康支出7.66万元，具体包括：</w:t>
      </w:r>
    </w:p>
    <w:p w14:paraId="3BBE7392">
      <w:pPr>
        <w:pStyle w:val="6"/>
        <w:spacing w:line="560" w:lineRule="atLeast"/>
        <w:ind w:firstLine="660"/>
        <w:rPr>
          <w:rFonts w:hint="default" w:ascii="仿宋_GB2312" w:eastAsia="仿宋_GB2312"/>
          <w:b/>
          <w:sz w:val="32"/>
          <w:szCs w:val="32"/>
        </w:rPr>
      </w:pPr>
      <w:r>
        <w:rPr>
          <w:rFonts w:ascii="仿宋_GB2312" w:eastAsia="仿宋_GB2312"/>
          <w:sz w:val="32"/>
          <w:szCs w:val="32"/>
        </w:rPr>
        <w:t>卫生健康支出（类）行政事业单位医疗（款）行政单位医疗（项）7.66万元，主要是在职工作人员医保支出，完成年初预算的99.74%，主要由于2021年人员存在变动，按照实际情况执行，因此99.74%完成。</w:t>
      </w:r>
    </w:p>
    <w:p w14:paraId="43C89D7C">
      <w:pPr>
        <w:pStyle w:val="6"/>
        <w:spacing w:line="560" w:lineRule="atLeast"/>
        <w:ind w:firstLine="660"/>
        <w:rPr>
          <w:rFonts w:hint="default" w:ascii="仿宋_GB2312" w:eastAsia="仿宋_GB2312"/>
          <w:sz w:val="32"/>
          <w:szCs w:val="32"/>
        </w:rPr>
      </w:pPr>
      <w:r>
        <w:rPr>
          <w:rFonts w:ascii="仿宋_GB2312" w:eastAsia="仿宋_GB2312"/>
          <w:sz w:val="32"/>
          <w:szCs w:val="32"/>
        </w:rPr>
        <w:t>4. 住房保障支出25.22万元，具体包括：</w:t>
      </w:r>
    </w:p>
    <w:p w14:paraId="6A481458">
      <w:pPr>
        <w:pStyle w:val="6"/>
        <w:spacing w:line="560" w:lineRule="atLeast"/>
        <w:ind w:firstLine="660"/>
        <w:rPr>
          <w:rFonts w:hint="default" w:ascii="仿宋_GB2312" w:eastAsia="仿宋_GB2312"/>
          <w:sz w:val="32"/>
          <w:szCs w:val="32"/>
        </w:rPr>
      </w:pPr>
      <w:r>
        <w:rPr>
          <w:rFonts w:ascii="仿宋_GB2312" w:eastAsia="仿宋_GB2312"/>
          <w:sz w:val="32"/>
          <w:szCs w:val="32"/>
        </w:rPr>
        <w:t>住房保障支出（类）住房改革支出（款）住房公积金（项）25.22万元，主要用于工作人员住房公积金缴纳支出，因各项支出均按预算执行，因</w:t>
      </w:r>
      <w:r>
        <w:rPr>
          <w:rFonts w:hint="eastAsia" w:ascii="仿宋_GB2312" w:eastAsia="仿宋_GB2312"/>
          <w:sz w:val="32"/>
          <w:szCs w:val="32"/>
          <w:lang w:eastAsia="zh-CN"/>
        </w:rPr>
        <w:t>此</w:t>
      </w:r>
      <w:r>
        <w:rPr>
          <w:rFonts w:ascii="仿宋_GB2312" w:eastAsia="仿宋_GB2312"/>
          <w:sz w:val="32"/>
          <w:szCs w:val="32"/>
        </w:rPr>
        <w:t>100%完成。</w:t>
      </w:r>
    </w:p>
    <w:p w14:paraId="6DCDA5A6">
      <w:pPr>
        <w:pStyle w:val="6"/>
        <w:spacing w:line="560" w:lineRule="atLeast"/>
        <w:ind w:firstLine="660"/>
        <w:rPr>
          <w:rFonts w:hint="default" w:ascii="仿宋_GB2312" w:eastAsia="仿宋_GB2312"/>
          <w:sz w:val="32"/>
          <w:szCs w:val="32"/>
        </w:rPr>
      </w:pPr>
      <w:r>
        <w:rPr>
          <w:rFonts w:ascii="仿宋_GB2312" w:eastAsia="仿宋_GB2312"/>
          <w:sz w:val="32"/>
          <w:szCs w:val="32"/>
        </w:rPr>
        <w:t>5. 灾害防治及应急管理支出3.5万元，具体包括：</w:t>
      </w:r>
    </w:p>
    <w:p w14:paraId="3E7246CC">
      <w:pPr>
        <w:pStyle w:val="6"/>
        <w:spacing w:line="560" w:lineRule="atLeast"/>
        <w:ind w:firstLine="660"/>
        <w:rPr>
          <w:rFonts w:hint="default" w:ascii="仿宋_GB2312" w:eastAsia="仿宋_GB2312"/>
          <w:sz w:val="32"/>
          <w:szCs w:val="32"/>
        </w:rPr>
      </w:pPr>
      <w:r>
        <w:rPr>
          <w:rFonts w:ascii="仿宋_GB2312" w:eastAsia="仿宋_GB2312"/>
          <w:sz w:val="32"/>
          <w:szCs w:val="32"/>
        </w:rPr>
        <w:t>灾害防治及应急管理支出（类）应急管理事务（款）其他应急管理支出（项）3.5万元，主要用于安全奖支出，完成预算100%，因各项支出均按预算执行。</w:t>
      </w:r>
    </w:p>
    <w:p w14:paraId="44DEF99B">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14:paraId="0B6A21A6">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2021年度未发生政府性基金预算财政拨款支出。</w:t>
      </w:r>
    </w:p>
    <w:p w14:paraId="1AFA5084">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2B82834C">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2021年度未发生国有资本经营预算财政拨款支出。</w:t>
      </w:r>
    </w:p>
    <w:p w14:paraId="4A42D7E3">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14F9F99">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43ECCD22">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0CEB863F">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4030280D">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55CC0E83">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779BE509">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14:paraId="0A07808E">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4BD0C87">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2021年度一般公共预算财政拨款基本支出158.4</w:t>
      </w:r>
      <w:r>
        <w:rPr>
          <w:rFonts w:hint="eastAsia" w:ascii="仿宋_GB2312" w:eastAsia="仿宋_GB2312"/>
          <w:sz w:val="32"/>
          <w:lang w:val="en-US" w:eastAsia="zh-CN"/>
        </w:rPr>
        <w:t>5</w:t>
      </w:r>
      <w:r>
        <w:rPr>
          <w:rFonts w:ascii="仿宋_GB2312" w:eastAsia="仿宋_GB2312"/>
          <w:sz w:val="32"/>
        </w:rPr>
        <w:t>万元，其中：人员经费140.12万元，主要包括基本工资、津贴补贴、奖金、其他社会保障缴费、机关事业单位基本养老保险缴费、其他工资福利支出、离休费、退休费、抚恤金、生活补助、奖励金、住房公积金、采暖补贴、其他对个人和家庭补助的支出；日常公用经费18.33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1C9A8273">
      <w:pPr>
        <w:pStyle w:val="6"/>
        <w:spacing w:line="560" w:lineRule="exact"/>
        <w:ind w:firstLine="640"/>
        <w:rPr>
          <w:rFonts w:hint="default" w:ascii="黑体" w:eastAsia="黑体"/>
          <w:sz w:val="32"/>
        </w:rPr>
      </w:pPr>
      <w:r>
        <w:rPr>
          <w:rFonts w:ascii="黑体" w:eastAsia="黑体"/>
          <w:sz w:val="32"/>
        </w:rPr>
        <w:t>五、其他重要事项的情况说明</w:t>
      </w:r>
    </w:p>
    <w:p w14:paraId="146C827D">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18FFEF98">
      <w:pPr>
        <w:pStyle w:val="6"/>
        <w:spacing w:line="560" w:lineRule="exact"/>
        <w:ind w:firstLine="640"/>
        <w:rPr>
          <w:rFonts w:hint="default" w:ascii="仿宋_GB2312" w:eastAsia="仿宋_GB2312"/>
          <w:sz w:val="32"/>
        </w:rPr>
      </w:pPr>
      <w:r>
        <w:rPr>
          <w:rFonts w:ascii="仿宋_GB2312" w:eastAsia="仿宋_GB2312"/>
          <w:sz w:val="32"/>
        </w:rPr>
        <w:t>2021年度机关运行经费支出18.33万元，比上年决算数减少7.06万元，降低27.81%，主要原因是</w:t>
      </w:r>
      <w:r>
        <w:rPr>
          <w:rFonts w:ascii="仿宋_GB2312" w:hAnsi="黑体" w:eastAsia="仿宋_GB2312"/>
          <w:sz w:val="32"/>
        </w:rPr>
        <w:t>工会经费减少。</w:t>
      </w:r>
    </w:p>
    <w:p w14:paraId="42DF0F0A">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14:paraId="4234D572">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14:paraId="48877CA2">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75E494A6">
      <w:pPr>
        <w:pStyle w:val="6"/>
        <w:spacing w:line="560" w:lineRule="exact"/>
        <w:ind w:firstLine="640"/>
        <w:rPr>
          <w:rFonts w:hint="default" w:ascii="仿宋_GB2312" w:eastAsia="仿宋_GB2312"/>
          <w:sz w:val="32"/>
        </w:rPr>
      </w:pPr>
      <w:r>
        <w:rPr>
          <w:rFonts w:ascii="仿宋_GB2312" w:eastAsia="仿宋_GB2312"/>
          <w:sz w:val="32"/>
        </w:rPr>
        <w:t>截至2021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14:paraId="5BE6684E">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4E534EDA">
      <w:pPr>
        <w:keepNext w:val="0"/>
        <w:keepLines w:val="0"/>
        <w:pageBreakBefore w:val="0"/>
        <w:widowControl/>
        <w:kinsoku/>
        <w:wordWrap/>
        <w:overflowPunct/>
        <w:topLinePunct w:val="0"/>
        <w:autoSpaceDE/>
        <w:bidi w:val="0"/>
        <w:adjustRightInd/>
        <w:snapToGrid/>
        <w:spacing w:line="540" w:lineRule="exact"/>
        <w:ind w:firstLine="640" w:firstLineChars="200"/>
        <w:jc w:val="left"/>
        <w:textAlignment w:val="auto"/>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202</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rPr>
        <w:t>年不涉及民生项目和重点支出项目</w:t>
      </w:r>
      <w:r>
        <w:rPr>
          <w:rFonts w:hint="eastAsia" w:ascii="仿宋_GB2312" w:hAnsi="黑体" w:eastAsia="仿宋_GB2312"/>
          <w:color w:val="auto"/>
          <w:sz w:val="32"/>
          <w:szCs w:val="32"/>
          <w:lang w:eastAsia="zh-CN"/>
        </w:rPr>
        <w:t>，因此本年未开展绩效自评及部门评价。</w:t>
      </w:r>
    </w:p>
    <w:p w14:paraId="49CA3CF5">
      <w:pPr>
        <w:pStyle w:val="6"/>
        <w:spacing w:line="560" w:lineRule="exact"/>
        <w:rPr>
          <w:rFonts w:hint="default"/>
          <w:b/>
          <w:sz w:val="36"/>
        </w:rPr>
      </w:pPr>
    </w:p>
    <w:p w14:paraId="43547DB5">
      <w:pPr>
        <w:pStyle w:val="9"/>
        <w:autoSpaceDN w:val="0"/>
        <w:spacing w:line="560" w:lineRule="exact"/>
        <w:jc w:val="center"/>
        <w:rPr>
          <w:b/>
          <w:bCs/>
          <w:sz w:val="36"/>
          <w:szCs w:val="36"/>
        </w:rPr>
      </w:pPr>
      <w:r>
        <w:rPr>
          <w:rFonts w:hint="eastAsia"/>
          <w:b/>
          <w:bCs/>
          <w:sz w:val="36"/>
          <w:szCs w:val="36"/>
        </w:rPr>
        <w:t>第三部分 名词解释</w:t>
      </w:r>
    </w:p>
    <w:p w14:paraId="4EACBAC0">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701E798">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44EA193">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796EC94B">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C9B9E9C">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4E778E9B">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D91FB16">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3E0C22CE">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C855DE8">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1ECAE8F4">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0E11C0D">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4FA94509">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07DB7218">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F4AAD2C">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9A4581B">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1359EEC">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E937EB7">
      <w:pPr>
        <w:pStyle w:val="6"/>
        <w:spacing w:line="560" w:lineRule="exact"/>
        <w:ind w:firstLine="640"/>
        <w:rPr>
          <w:rFonts w:hint="default" w:ascii="仿宋_GB2312" w:eastAsia="仿宋_GB2312"/>
          <w:i/>
          <w:sz w:val="32"/>
          <w:u w:val="single"/>
        </w:rPr>
      </w:pPr>
    </w:p>
    <w:p w14:paraId="6B0BA203">
      <w:pPr>
        <w:pStyle w:val="6"/>
        <w:spacing w:line="560" w:lineRule="atLeast"/>
        <w:jc w:val="left"/>
        <w:rPr>
          <w:rFonts w:hint="default" w:ascii="仿宋_GB2312" w:hAnsi="仿宋_GB2312" w:eastAsia="仿宋_GB2312" w:cs="仿宋_GB2312"/>
          <w:b/>
          <w:sz w:val="52"/>
          <w:szCs w:val="52"/>
        </w:rPr>
      </w:pPr>
    </w:p>
    <w:p w14:paraId="7D416072">
      <w:pPr>
        <w:pStyle w:val="6"/>
        <w:spacing w:line="560" w:lineRule="atLeast"/>
        <w:jc w:val="left"/>
        <w:rPr>
          <w:rFonts w:hint="default"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14:paraId="0C9AF939">
      <w:pPr>
        <w:pStyle w:val="6"/>
        <w:spacing w:line="560" w:lineRule="atLeast"/>
        <w:jc w:val="left"/>
        <w:rPr>
          <w:rFonts w:hint="default" w:ascii="仿宋_GB2312" w:hAnsi="仿宋_GB2312" w:eastAsia="仿宋_GB2312" w:cs="仿宋_GB2312"/>
          <w:b/>
          <w:sz w:val="52"/>
          <w:szCs w:val="52"/>
        </w:rPr>
      </w:pPr>
    </w:p>
    <w:p w14:paraId="032DE293">
      <w:pPr>
        <w:pStyle w:val="6"/>
        <w:spacing w:line="560" w:lineRule="atLeast"/>
        <w:jc w:val="left"/>
        <w:rPr>
          <w:rFonts w:hint="default" w:ascii="仿宋_GB2312" w:hAnsi="仿宋_GB2312" w:eastAsia="仿宋_GB2312" w:cs="仿宋_GB2312"/>
          <w:b/>
          <w:sz w:val="52"/>
          <w:szCs w:val="52"/>
        </w:rPr>
      </w:pPr>
    </w:p>
    <w:p w14:paraId="31A26725">
      <w:pPr>
        <w:pStyle w:val="6"/>
        <w:spacing w:line="560" w:lineRule="atLeast"/>
        <w:jc w:val="center"/>
        <w:rPr>
          <w:rFonts w:ascii="仿宋_GB2312" w:hAnsi="仿宋_GB2312" w:eastAsia="仿宋_GB2312" w:cs="仿宋_GB2312"/>
          <w:b/>
          <w:sz w:val="52"/>
          <w:szCs w:val="52"/>
        </w:rPr>
      </w:pPr>
    </w:p>
    <w:p w14:paraId="3038B0A6">
      <w:pPr>
        <w:pStyle w:val="6"/>
        <w:spacing w:line="560" w:lineRule="atLeast"/>
        <w:jc w:val="center"/>
        <w:rPr>
          <w:rFonts w:ascii="仿宋_GB2312" w:hAnsi="仿宋_GB2312" w:eastAsia="仿宋_GB2312" w:cs="仿宋_GB2312"/>
          <w:b/>
          <w:sz w:val="52"/>
          <w:szCs w:val="52"/>
        </w:rPr>
      </w:pPr>
    </w:p>
    <w:p w14:paraId="74C853FF">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沈阳市浑南区总工会2021年度决算表</w:t>
      </w:r>
    </w:p>
    <w:p w14:paraId="5E7548C2">
      <w:pPr>
        <w:rPr>
          <w:rFonts w:hint="default" w:ascii="仿宋_GB2312" w:hAnsi="宋体" w:eastAsia="仿宋_GB2312"/>
          <w:kern w:val="0"/>
          <w:sz w:val="32"/>
        </w:rPr>
      </w:pPr>
    </w:p>
    <w:p w14:paraId="2091BCBF">
      <w:pPr>
        <w:rPr>
          <w:rFonts w:hint="default" w:ascii="仿宋_GB2312" w:hAnsi="宋体" w:eastAsia="仿宋_GB2312"/>
          <w:kern w:val="0"/>
          <w:sz w:val="32"/>
        </w:rPr>
      </w:pPr>
    </w:p>
    <w:p w14:paraId="6DBFEEE6">
      <w:pPr>
        <w:rPr>
          <w:rFonts w:hint="default" w:ascii="仿宋_GB2312" w:hAnsi="宋体" w:eastAsia="仿宋_GB2312"/>
          <w:kern w:val="0"/>
          <w:sz w:val="32"/>
        </w:rPr>
      </w:pPr>
    </w:p>
    <w:p w14:paraId="3688F098">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888DD">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B596F"/>
    <w:rsid w:val="000C2BC7"/>
    <w:rsid w:val="00100607"/>
    <w:rsid w:val="001076BD"/>
    <w:rsid w:val="00131442"/>
    <w:rsid w:val="00196508"/>
    <w:rsid w:val="001D0B4A"/>
    <w:rsid w:val="002B3688"/>
    <w:rsid w:val="00320394"/>
    <w:rsid w:val="00330C49"/>
    <w:rsid w:val="00342E31"/>
    <w:rsid w:val="003526F3"/>
    <w:rsid w:val="0038444A"/>
    <w:rsid w:val="00387684"/>
    <w:rsid w:val="0044142C"/>
    <w:rsid w:val="00460666"/>
    <w:rsid w:val="004633EB"/>
    <w:rsid w:val="00485722"/>
    <w:rsid w:val="00505889"/>
    <w:rsid w:val="00520D25"/>
    <w:rsid w:val="005812D3"/>
    <w:rsid w:val="005814A4"/>
    <w:rsid w:val="00590A8D"/>
    <w:rsid w:val="005C3ADE"/>
    <w:rsid w:val="005C4DCE"/>
    <w:rsid w:val="00745C10"/>
    <w:rsid w:val="00753B9D"/>
    <w:rsid w:val="00756329"/>
    <w:rsid w:val="007F77B9"/>
    <w:rsid w:val="008040A1"/>
    <w:rsid w:val="0084552A"/>
    <w:rsid w:val="00863A3F"/>
    <w:rsid w:val="008C17BA"/>
    <w:rsid w:val="00954778"/>
    <w:rsid w:val="0097031B"/>
    <w:rsid w:val="00A06FE9"/>
    <w:rsid w:val="00A17144"/>
    <w:rsid w:val="00A5357A"/>
    <w:rsid w:val="00A57A14"/>
    <w:rsid w:val="00AA0274"/>
    <w:rsid w:val="00AF3637"/>
    <w:rsid w:val="00B54181"/>
    <w:rsid w:val="00B637ED"/>
    <w:rsid w:val="00BC09C4"/>
    <w:rsid w:val="00C12BBA"/>
    <w:rsid w:val="00C130D1"/>
    <w:rsid w:val="00C34C7A"/>
    <w:rsid w:val="00CB2811"/>
    <w:rsid w:val="00D3458F"/>
    <w:rsid w:val="00D44686"/>
    <w:rsid w:val="00D81861"/>
    <w:rsid w:val="00DC3915"/>
    <w:rsid w:val="00E4305D"/>
    <w:rsid w:val="00E60A37"/>
    <w:rsid w:val="00E612A0"/>
    <w:rsid w:val="00F16B2B"/>
    <w:rsid w:val="00F57429"/>
    <w:rsid w:val="00F67249"/>
    <w:rsid w:val="00F724E9"/>
    <w:rsid w:val="00FC0DD5"/>
    <w:rsid w:val="00FE6C3C"/>
    <w:rsid w:val="09C4782E"/>
    <w:rsid w:val="0ECB7368"/>
    <w:rsid w:val="11612EA5"/>
    <w:rsid w:val="14E160BE"/>
    <w:rsid w:val="18702F0C"/>
    <w:rsid w:val="19D25DB5"/>
    <w:rsid w:val="1C635C29"/>
    <w:rsid w:val="2E4F6256"/>
    <w:rsid w:val="32036A21"/>
    <w:rsid w:val="36230505"/>
    <w:rsid w:val="39F67F00"/>
    <w:rsid w:val="54F6469B"/>
    <w:rsid w:val="5B697371"/>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4689</Words>
  <Characters>5125</Characters>
  <Lines>39</Lines>
  <Paragraphs>11</Paragraphs>
  <TotalTime>0</TotalTime>
  <ScaleCrop>false</ScaleCrop>
  <LinksUpToDate>false</LinksUpToDate>
  <CharactersWithSpaces>5163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2023-05-15T07:53:00Z</dcterms:created>
  <dc:creator>国库处-王艳秋</dc:creator>
  <cp:lastModifiedBy>杨洋</cp:lastModifiedBy>
  <cp:lastPrinted>2022-09-19T10:34:00Z</cp:lastPrinted>
  <dcterms:modified xsi:type="dcterms:W3CDTF">2026-02-12T01:39:14Z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