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高新区检察院</w:t>
      </w:r>
    </w:p>
    <w:p>
      <w:pPr>
        <w:jc w:val="center"/>
        <w:rPr>
          <w:rFonts w:ascii="楷体" w:hAnsi="楷体" w:eastAsia="楷体"/>
          <w:b/>
          <w:sz w:val="52"/>
          <w:szCs w:val="52"/>
        </w:rPr>
      </w:pPr>
      <w:r>
        <w:rPr>
          <w:rFonts w:hint="eastAsia" w:ascii="楷体" w:hAnsi="楷体" w:eastAsia="楷体"/>
          <w:b/>
          <w:sz w:val="52"/>
          <w:szCs w:val="52"/>
        </w:rPr>
        <w:t>2020年部门预算</w:t>
      </w:r>
    </w:p>
    <w:p>
      <w:pPr>
        <w:jc w:val="center"/>
        <w:rPr>
          <w:rFonts w:ascii="楷体" w:hAnsi="楷体" w:eastAsia="楷体"/>
          <w:b/>
          <w:sz w:val="52"/>
          <w:szCs w:val="52"/>
        </w:rPr>
      </w:pPr>
      <w:r>
        <w:rPr>
          <w:rFonts w:hint="eastAsia" w:ascii="楷体" w:hAnsi="楷体" w:eastAsia="楷体"/>
          <w:b/>
          <w:sz w:val="52"/>
          <w:szCs w:val="52"/>
        </w:rPr>
        <w:t>（含“三公”经费预算）</w:t>
      </w:r>
      <w:bookmarkStart w:id="0" w:name="_GoBack"/>
      <w:bookmarkEnd w:id="0"/>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高新区检察院概况</w:t>
      </w:r>
    </w:p>
    <w:p>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rPr>
          <w:rFonts w:ascii="黑体" w:hAnsi="黑体" w:eastAsia="黑体"/>
          <w:sz w:val="32"/>
          <w:szCs w:val="32"/>
        </w:rPr>
      </w:pPr>
      <w:r>
        <w:rPr>
          <w:rFonts w:hint="eastAsia" w:ascii="黑体" w:hAnsi="黑体" w:eastAsia="黑体"/>
          <w:sz w:val="32"/>
          <w:szCs w:val="32"/>
        </w:rPr>
        <w:t>第二部分    高新区检察院2020年部门预算公开表</w:t>
      </w:r>
    </w:p>
    <w:p>
      <w:pPr>
        <w:rPr>
          <w:rFonts w:ascii="仿宋_GB2312" w:hAnsi="黑体" w:eastAsia="仿宋_GB2312"/>
          <w:sz w:val="32"/>
          <w:szCs w:val="32"/>
        </w:rPr>
      </w:pPr>
      <w:r>
        <w:rPr>
          <w:rFonts w:hint="eastAsia" w:ascii="仿宋_GB2312" w:hAnsi="黑体" w:eastAsia="仿宋_GB2312"/>
          <w:sz w:val="32"/>
          <w:szCs w:val="32"/>
        </w:rPr>
        <w:t>表1. 部门收支总表</w:t>
      </w:r>
    </w:p>
    <w:p>
      <w:pPr>
        <w:rPr>
          <w:rFonts w:ascii="仿宋_GB2312" w:hAnsi="黑体" w:eastAsia="仿宋_GB2312"/>
          <w:sz w:val="32"/>
          <w:szCs w:val="32"/>
        </w:rPr>
      </w:pPr>
      <w:r>
        <w:rPr>
          <w:rFonts w:hint="eastAsia" w:ascii="仿宋_GB2312" w:hAnsi="黑体" w:eastAsia="仿宋_GB2312"/>
          <w:sz w:val="32"/>
          <w:szCs w:val="32"/>
        </w:rPr>
        <w:t>表2.部门收入总表</w:t>
      </w:r>
    </w:p>
    <w:p>
      <w:pPr>
        <w:rPr>
          <w:rFonts w:ascii="仿宋_GB2312" w:hAnsi="黑体" w:eastAsia="仿宋_GB2312"/>
          <w:sz w:val="32"/>
          <w:szCs w:val="32"/>
        </w:rPr>
      </w:pPr>
      <w:r>
        <w:rPr>
          <w:rFonts w:hint="eastAsia" w:ascii="仿宋_GB2312" w:hAnsi="黑体" w:eastAsia="仿宋_GB2312"/>
          <w:sz w:val="32"/>
          <w:szCs w:val="32"/>
        </w:rPr>
        <w:t>表3. 部门支出总表</w:t>
      </w:r>
    </w:p>
    <w:p>
      <w:pPr>
        <w:rPr>
          <w:rFonts w:ascii="仿宋_GB2312" w:hAnsi="黑体" w:eastAsia="仿宋_GB2312"/>
          <w:sz w:val="32"/>
          <w:szCs w:val="32"/>
        </w:rPr>
      </w:pPr>
      <w:r>
        <w:rPr>
          <w:rFonts w:hint="eastAsia" w:ascii="仿宋_GB2312" w:hAnsi="黑体" w:eastAsia="仿宋_GB2312"/>
          <w:sz w:val="32"/>
          <w:szCs w:val="32"/>
        </w:rPr>
        <w:t>表4. 财政拨款收支总表</w:t>
      </w:r>
    </w:p>
    <w:p>
      <w:pPr>
        <w:rPr>
          <w:rFonts w:ascii="仿宋_GB2312" w:hAnsi="黑体" w:eastAsia="仿宋_GB2312"/>
          <w:sz w:val="32"/>
          <w:szCs w:val="32"/>
        </w:rPr>
      </w:pPr>
      <w:r>
        <w:rPr>
          <w:rFonts w:hint="eastAsia" w:ascii="仿宋_GB2312" w:hAnsi="黑体" w:eastAsia="仿宋_GB2312"/>
          <w:sz w:val="32"/>
          <w:szCs w:val="32"/>
        </w:rPr>
        <w:t>表5. 一般公共预算支出表</w:t>
      </w:r>
    </w:p>
    <w:p>
      <w:pPr>
        <w:rPr>
          <w:rFonts w:ascii="仿宋_GB2312" w:hAnsi="黑体" w:eastAsia="仿宋_GB2312"/>
          <w:sz w:val="32"/>
          <w:szCs w:val="32"/>
        </w:rPr>
      </w:pPr>
      <w:r>
        <w:rPr>
          <w:rFonts w:hint="eastAsia" w:ascii="仿宋_GB2312" w:hAnsi="黑体" w:eastAsia="仿宋_GB2312"/>
          <w:sz w:val="32"/>
          <w:szCs w:val="32"/>
        </w:rPr>
        <w:t>表6. 预算内财力支出预算表</w:t>
      </w:r>
    </w:p>
    <w:p>
      <w:pPr>
        <w:rPr>
          <w:rFonts w:ascii="仿宋_GB2312" w:hAnsi="黑体" w:eastAsia="仿宋_GB2312"/>
          <w:sz w:val="32"/>
          <w:szCs w:val="32"/>
        </w:rPr>
      </w:pPr>
      <w:r>
        <w:rPr>
          <w:rFonts w:hint="eastAsia" w:ascii="仿宋_GB2312" w:hAnsi="黑体" w:eastAsia="仿宋_GB2312"/>
          <w:sz w:val="32"/>
          <w:szCs w:val="32"/>
        </w:rPr>
        <w:t>表7. 一般公共预算基本支出表</w:t>
      </w:r>
    </w:p>
    <w:p>
      <w:pPr>
        <w:rPr>
          <w:rFonts w:ascii="仿宋_GB2312" w:hAnsi="黑体" w:eastAsia="仿宋_GB2312"/>
          <w:sz w:val="32"/>
          <w:szCs w:val="32"/>
        </w:rPr>
      </w:pPr>
      <w:r>
        <w:rPr>
          <w:rFonts w:hint="eastAsia" w:ascii="仿宋_GB2312" w:hAnsi="黑体" w:eastAsia="仿宋_GB2312"/>
          <w:sz w:val="32"/>
          <w:szCs w:val="32"/>
        </w:rPr>
        <w:t>表8. 政府性基金预算支出表</w:t>
      </w:r>
    </w:p>
    <w:p>
      <w:pPr>
        <w:rPr>
          <w:rFonts w:ascii="仿宋_GB2312" w:hAnsi="黑体" w:eastAsia="仿宋_GB2312"/>
          <w:sz w:val="32"/>
          <w:szCs w:val="32"/>
        </w:rPr>
      </w:pPr>
      <w:r>
        <w:rPr>
          <w:rFonts w:hint="eastAsia" w:ascii="仿宋_GB2312" w:hAnsi="黑体" w:eastAsia="仿宋_GB2312"/>
          <w:sz w:val="32"/>
          <w:szCs w:val="32"/>
        </w:rPr>
        <w:t>表9. 财政拨款“三公经费”情况对比表</w:t>
      </w:r>
    </w:p>
    <w:p>
      <w:pPr>
        <w:rPr>
          <w:rFonts w:ascii="仿宋_GB2312" w:hAnsi="黑体" w:eastAsia="仿宋_GB2312"/>
          <w:sz w:val="32"/>
          <w:szCs w:val="32"/>
        </w:rPr>
      </w:pPr>
      <w:r>
        <w:rPr>
          <w:rFonts w:hint="eastAsia" w:ascii="仿宋_GB2312" w:hAnsi="黑体" w:eastAsia="仿宋_GB2312"/>
          <w:sz w:val="32"/>
          <w:szCs w:val="32"/>
        </w:rPr>
        <w:t>表10. 2020年部门预算项目支出表</w:t>
      </w:r>
    </w:p>
    <w:p>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pPr>
        <w:rPr>
          <w:rFonts w:ascii="黑体" w:hAnsi="黑体" w:eastAsia="黑体"/>
          <w:sz w:val="32"/>
          <w:szCs w:val="32"/>
        </w:rPr>
      </w:pPr>
      <w:r>
        <w:rPr>
          <w:rFonts w:hint="eastAsia" w:ascii="黑体" w:hAnsi="黑体" w:eastAsia="黑体"/>
          <w:sz w:val="32"/>
          <w:szCs w:val="32"/>
        </w:rPr>
        <w:t>第三部分    高新区检察院2020年部门预算情况说明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jc w:val="center"/>
        <w:rPr>
          <w:rFonts w:ascii="宋体" w:hAnsi="宋体"/>
          <w:b/>
          <w:sz w:val="36"/>
          <w:szCs w:val="36"/>
        </w:rPr>
      </w:pPr>
      <w:r>
        <w:rPr>
          <w:rFonts w:hint="eastAsia" w:ascii="宋体" w:hAnsi="宋体"/>
          <w:b/>
          <w:sz w:val="36"/>
          <w:szCs w:val="36"/>
        </w:rPr>
        <w:t>第一部分 高新区检察院概况</w:t>
      </w:r>
    </w:p>
    <w:p>
      <w:pPr>
        <w:ind w:firstLine="640" w:firstLineChars="200"/>
        <w:jc w:val="left"/>
        <w:rPr>
          <w:rFonts w:ascii="黑体" w:eastAsia="黑体"/>
          <w:sz w:val="32"/>
          <w:szCs w:val="32"/>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27" w:firstLineChars="196"/>
        <w:rPr>
          <w:rFonts w:ascii="仿宋_GB2312" w:hAnsi="华文中宋" w:eastAsia="仿宋_GB2312"/>
          <w:sz w:val="32"/>
          <w:szCs w:val="32"/>
        </w:rPr>
      </w:pPr>
      <w:r>
        <w:rPr>
          <w:rFonts w:hint="eastAsia" w:ascii="仿宋_GB2312" w:hAnsi="华文中宋" w:eastAsia="仿宋_GB2312"/>
          <w:sz w:val="32"/>
          <w:szCs w:val="32"/>
        </w:rPr>
        <w:t>高新区检察院对全市范围公交、地铁发生的各种刑事及刑事附带民事案件进行侦查监督；对刑事犯罪的犯罪嫌疑人批准或决定逮捕、对刑事案件审查起诉和提起公诉；对刑事、民事和行政诉讼实行法律监督，受理控告和申诉；对监所活动实施法律监督，保证及时、准确地查明犯罪事实，正确应用法律，惩罚犯罪分子，保障国家刑事法律和法律诉讼活动的有效实施，维护社会主义法制，尊重和保障人权，保护公民的人身权利、财产权利、民主权利和其他权利，保障社会主义建设事业的顺利进行。</w:t>
      </w:r>
    </w:p>
    <w:p>
      <w:pPr>
        <w:ind w:firstLine="640" w:firstLineChars="200"/>
        <w:jc w:val="left"/>
        <w:rPr>
          <w:rFonts w:ascii="黑体" w:eastAsia="黑体"/>
          <w:sz w:val="32"/>
          <w:szCs w:val="32"/>
        </w:rPr>
      </w:pPr>
      <w:r>
        <w:rPr>
          <w:rFonts w:hint="eastAsia" w:ascii="黑体" w:eastAsia="黑体"/>
          <w:sz w:val="32"/>
          <w:szCs w:val="32"/>
        </w:rPr>
        <w:t>二、部门预算单位构成</w:t>
      </w:r>
    </w:p>
    <w:p>
      <w:pPr>
        <w:rPr>
          <w:rFonts w:hint="eastAsia" w:ascii="仿宋_GB2312" w:eastAsia="仿宋_GB2312"/>
          <w:b/>
          <w:sz w:val="32"/>
          <w:szCs w:val="32"/>
        </w:rPr>
      </w:pPr>
      <w:r>
        <w:rPr>
          <w:rFonts w:hint="eastAsia" w:ascii="宋体" w:hAnsi="宋体"/>
          <w:b/>
          <w:sz w:val="36"/>
          <w:szCs w:val="36"/>
        </w:rPr>
        <w:t xml:space="preserve">   </w:t>
      </w:r>
      <w:r>
        <w:rPr>
          <w:rFonts w:hint="eastAsia" w:ascii="仿宋_GB2312" w:eastAsia="仿宋_GB2312"/>
          <w:b/>
          <w:sz w:val="32"/>
          <w:szCs w:val="32"/>
        </w:rPr>
        <w:t>纳入高新区检察院2020年部门预算编制范围的预算单位包括：</w:t>
      </w:r>
    </w:p>
    <w:p>
      <w:pPr>
        <w:ind w:firstLine="640" w:firstLineChars="200"/>
        <w:rPr>
          <w:rFonts w:ascii="宋体" w:hAnsi="宋体"/>
          <w:b/>
          <w:sz w:val="36"/>
          <w:szCs w:val="36"/>
        </w:rPr>
      </w:pPr>
      <w:r>
        <w:rPr>
          <w:rFonts w:hint="eastAsia" w:ascii="仿宋_GB2312" w:eastAsia="仿宋_GB2312"/>
          <w:sz w:val="32"/>
          <w:szCs w:val="32"/>
        </w:rPr>
        <w:t>高新区检察院本级</w:t>
      </w:r>
      <w:r>
        <w:rPr>
          <w:rFonts w:hint="eastAsia" w:ascii="宋体" w:hAnsi="宋体"/>
          <w:b/>
          <w:sz w:val="36"/>
          <w:szCs w:val="36"/>
        </w:rPr>
        <w:t xml:space="preserve"> </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仿宋_GB2312" w:eastAsia="仿宋_GB2312"/>
          <w:sz w:val="32"/>
          <w:szCs w:val="32"/>
        </w:rPr>
      </w:pPr>
      <w:r>
        <w:rPr>
          <w:rFonts w:hint="eastAsia" w:ascii="宋体" w:hAnsi="宋体"/>
          <w:b/>
          <w:sz w:val="36"/>
          <w:szCs w:val="36"/>
        </w:rPr>
        <w:t>第二部分 高新区检察院2020年部门预算公开表</w:t>
      </w:r>
    </w:p>
    <w:p>
      <w:pPr>
        <w:jc w:val="center"/>
        <w:rPr>
          <w:rFonts w:ascii="黑体" w:eastAsia="黑体"/>
          <w:sz w:val="32"/>
          <w:szCs w:val="32"/>
        </w:rPr>
      </w:pPr>
    </w:p>
    <w:p>
      <w:pPr>
        <w:jc w:val="center"/>
        <w:rPr>
          <w:rFonts w:ascii="黑体" w:eastAsia="黑体"/>
          <w:sz w:val="32"/>
          <w:szCs w:val="32"/>
        </w:rPr>
      </w:pPr>
    </w:p>
    <w:p>
      <w:pP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jc w:val="center"/>
        <w:rPr>
          <w:rFonts w:ascii="宋体" w:hAnsi="宋体"/>
          <w:b/>
          <w:sz w:val="36"/>
          <w:szCs w:val="36"/>
        </w:rPr>
      </w:pPr>
      <w:r>
        <w:rPr>
          <w:rFonts w:hint="eastAsia" w:ascii="宋体" w:hAnsi="宋体"/>
          <w:b/>
          <w:sz w:val="36"/>
          <w:szCs w:val="36"/>
        </w:rPr>
        <w:t>第三部分 高新区检察院2020年部门预算情况说明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一、关于高新区检察院2020年收支预算的总体说明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高新区检察院所有收入和支出均纳入部门预算管理。收入包括：一般公共预算拨款收入；支出包括：公共安全支出、教育支出、社会保障和就业支出、卫生健康支出、住房保障支出等。高新区检察院2020年收支总预算</w:t>
      </w:r>
      <w:r>
        <w:rPr>
          <w:rFonts w:ascii="仿宋_GB2312" w:hAnsi="宋体" w:eastAsia="仿宋_GB2312"/>
          <w:sz w:val="32"/>
          <w:szCs w:val="32"/>
        </w:rPr>
        <w:t>888.59</w:t>
      </w:r>
      <w:r>
        <w:rPr>
          <w:rFonts w:hint="eastAsia" w:ascii="仿宋_GB2312" w:hAnsi="宋体" w:eastAsia="仿宋_GB2312"/>
          <w:sz w:val="32"/>
          <w:szCs w:val="32"/>
        </w:rPr>
        <w:t>万元，比2019年收支总预算665.13万元增加223.46万元。主要是由于本单位新增在职人员4名，工资、保险和人员经费等基本支出和项目支出经费都有所增加。</w:t>
      </w:r>
    </w:p>
    <w:p>
      <w:pPr>
        <w:ind w:firstLine="660"/>
        <w:rPr>
          <w:rFonts w:ascii="黑体" w:hAnsi="黑体" w:eastAsia="黑体"/>
          <w:sz w:val="32"/>
          <w:szCs w:val="32"/>
        </w:rPr>
      </w:pPr>
      <w:r>
        <w:rPr>
          <w:rFonts w:hint="eastAsia" w:ascii="黑体" w:hAnsi="黑体" w:eastAsia="黑体"/>
          <w:sz w:val="32"/>
          <w:szCs w:val="32"/>
        </w:rPr>
        <w:t>二、关于高新区检察院2020年“三公”经费预算情况说明</w:t>
      </w:r>
    </w:p>
    <w:p>
      <w:pPr>
        <w:ind w:firstLine="660"/>
        <w:rPr>
          <w:rFonts w:ascii="仿宋_GB2312" w:hAnsi="宋体" w:eastAsia="仿宋_GB2312"/>
          <w:sz w:val="32"/>
          <w:szCs w:val="32"/>
        </w:rPr>
      </w:pPr>
      <w:r>
        <w:rPr>
          <w:rFonts w:hint="eastAsia" w:ascii="仿宋_GB2312" w:hAnsi="宋体" w:eastAsia="仿宋_GB2312"/>
          <w:sz w:val="32"/>
          <w:szCs w:val="32"/>
        </w:rPr>
        <w:t>2020年“三公”经费预算数21.15万元，其中：因公出国（境）费0万元；公务接待费0.15万元；公务用车购置及运行费21万元</w:t>
      </w:r>
      <w:r>
        <w:rPr>
          <w:rFonts w:hint="eastAsia" w:ascii="仿宋_GB2312" w:hAnsi="宋体" w:eastAsia="仿宋_GB2312"/>
          <w:sz w:val="32"/>
          <w:szCs w:val="32"/>
          <w:lang w:eastAsia="zh-CN"/>
        </w:rPr>
        <w:t>，</w:t>
      </w:r>
      <w:r>
        <w:rPr>
          <w:rFonts w:hint="eastAsia" w:ascii="仿宋_GB2312" w:hAnsi="黑体" w:eastAsia="仿宋_GB2312" w:cs="Times New Roman"/>
          <w:sz w:val="32"/>
          <w:szCs w:val="32"/>
        </w:rPr>
        <w:t>其中：公务用车运行费</w:t>
      </w:r>
      <w:r>
        <w:rPr>
          <w:rFonts w:hint="eastAsia" w:ascii="仿宋_GB2312" w:hAnsi="黑体" w:eastAsia="仿宋_GB2312" w:cs="Times New Roman"/>
          <w:sz w:val="32"/>
          <w:szCs w:val="32"/>
          <w:lang w:val="en-US" w:eastAsia="zh-CN"/>
        </w:rPr>
        <w:t>21</w:t>
      </w:r>
      <w:r>
        <w:rPr>
          <w:rFonts w:hint="eastAsia" w:ascii="仿宋_GB2312" w:hAnsi="黑体" w:eastAsia="仿宋_GB2312" w:cs="Times New Roman"/>
          <w:sz w:val="32"/>
          <w:szCs w:val="32"/>
        </w:rPr>
        <w:t>万元，公务用车购置费0万元。</w:t>
      </w:r>
      <w:r>
        <w:rPr>
          <w:rFonts w:hint="eastAsia" w:ascii="仿宋_GB2312" w:hAnsi="宋体" w:eastAsia="仿宋_GB2312"/>
          <w:sz w:val="32"/>
          <w:szCs w:val="32"/>
          <w:lang w:val="en-US" w:eastAsia="zh-CN"/>
        </w:rPr>
        <w:t>2</w:t>
      </w:r>
      <w:r>
        <w:rPr>
          <w:rFonts w:hint="eastAsia" w:ascii="仿宋_GB2312" w:hAnsi="宋体" w:eastAsia="仿宋_GB2312"/>
          <w:sz w:val="32"/>
          <w:szCs w:val="32"/>
        </w:rPr>
        <w:t>020年预算数比2019年预算数减少0.06万元，其中：公务接待费比201</w:t>
      </w:r>
      <w:r>
        <w:rPr>
          <w:rFonts w:hint="eastAsia" w:ascii="仿宋_GB2312" w:hAnsi="宋体" w:eastAsia="仿宋_GB2312"/>
          <w:sz w:val="32"/>
          <w:szCs w:val="32"/>
          <w:lang w:val="en-US" w:eastAsia="zh-CN"/>
        </w:rPr>
        <w:t>9</w:t>
      </w:r>
      <w:r>
        <w:rPr>
          <w:rFonts w:hint="eastAsia" w:ascii="仿宋_GB2312" w:hAnsi="宋体" w:eastAsia="仿宋_GB2312"/>
          <w:sz w:val="32"/>
          <w:szCs w:val="32"/>
        </w:rPr>
        <w:t>年预算数减少0.06万元，主要是由于各单位压缩公务接待费支出；公务用车购置及运行费与2019年持平，主要是由于单位实行公车改革坚持压缩公务用车运行费支出；我单位没有因公出国（境）费支出。</w:t>
      </w:r>
    </w:p>
    <w:p>
      <w:pPr>
        <w:ind w:firstLine="627" w:firstLineChars="196"/>
        <w:rPr>
          <w:rFonts w:ascii="黑体" w:hAnsi="黑体" w:eastAsia="黑体"/>
          <w:sz w:val="32"/>
          <w:szCs w:val="32"/>
        </w:rPr>
      </w:pPr>
    </w:p>
    <w:p>
      <w:pPr>
        <w:ind w:firstLine="627" w:firstLineChars="196"/>
        <w:rPr>
          <w:rFonts w:ascii="黑体" w:hAnsi="黑体" w:eastAsia="黑体"/>
          <w:sz w:val="32"/>
          <w:szCs w:val="32"/>
        </w:rPr>
      </w:pPr>
    </w:p>
    <w:p>
      <w:pPr>
        <w:ind w:firstLine="627" w:firstLineChars="196"/>
        <w:rPr>
          <w:rFonts w:ascii="黑体" w:hAnsi="黑体" w:eastAsia="黑体"/>
          <w:sz w:val="32"/>
          <w:szCs w:val="32"/>
        </w:rPr>
      </w:pP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2020 年高新区检察院本级的机关运行经费财政拨款预算43.74万元，比2019年预算44.31万元减少0.57万元，下降1.29%。</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2020年高新区检察院没有政府采购预算，其中：政府采购货物预算0万元、政府采购工程预算0万元、政府采购服务预算0万元。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截至2019年底，高新区检察院共有车辆6辆，其中一般执法执勤用车6辆。单位价值100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2020年高新区检察院部门预算项目均实行绩效目标管理，涉及资金173.59万元。</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ind w:firstLine="420" w:firstLineChars="200"/>
        <w:jc w:val="left"/>
      </w:pPr>
    </w:p>
    <w:p>
      <w:pPr>
        <w:ind w:firstLine="420" w:firstLineChars="200"/>
        <w:jc w:val="left"/>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pStyle w:val="2"/>
        <w:spacing w:line="600" w:lineRule="exact"/>
        <w:ind w:firstLineChars="164"/>
        <w:rPr>
          <w:szCs w:val="32"/>
        </w:rPr>
      </w:pPr>
      <w:r>
        <w:rPr>
          <w:rFonts w:hint="eastAsia"/>
          <w:szCs w:val="32"/>
        </w:rPr>
        <w:t>1.</w:t>
      </w:r>
      <w:r>
        <w:rPr>
          <w:rFonts w:hint="eastAsia"/>
          <w:b/>
          <w:szCs w:val="32"/>
        </w:rPr>
        <w:t>财政拨款收入</w:t>
      </w:r>
      <w:r>
        <w:rPr>
          <w:rFonts w:hint="eastAsia"/>
          <w:szCs w:val="32"/>
        </w:rPr>
        <w:t>：指区级财政当年拨付的资金。</w:t>
      </w:r>
    </w:p>
    <w:p>
      <w:pPr>
        <w:pStyle w:val="2"/>
        <w:spacing w:line="600" w:lineRule="exact"/>
        <w:ind w:left="525" w:leftChars="250" w:firstLine="0"/>
        <w:rPr>
          <w:szCs w:val="32"/>
        </w:rPr>
      </w:pPr>
      <w:r>
        <w:rPr>
          <w:rFonts w:hint="eastAsia"/>
          <w:szCs w:val="32"/>
        </w:rPr>
        <w:t>2.</w:t>
      </w:r>
      <w:r>
        <w:rPr>
          <w:rFonts w:hint="eastAsia"/>
          <w:b/>
          <w:szCs w:val="32"/>
        </w:rPr>
        <w:t>上级补助收入</w:t>
      </w:r>
      <w:r>
        <w:rPr>
          <w:rFonts w:hint="eastAsia"/>
          <w:szCs w:val="32"/>
        </w:rPr>
        <w:t>：指事业单位从主管部门和上级单位取得的非财政补助收入。</w:t>
      </w:r>
    </w:p>
    <w:p>
      <w:pPr>
        <w:pStyle w:val="2"/>
        <w:spacing w:line="600" w:lineRule="exact"/>
        <w:ind w:left="525" w:firstLine="0"/>
        <w:rPr>
          <w:szCs w:val="32"/>
        </w:rPr>
      </w:pPr>
      <w:r>
        <w:rPr>
          <w:rFonts w:hint="eastAsia"/>
          <w:szCs w:val="32"/>
        </w:rPr>
        <w:t>3.</w:t>
      </w:r>
      <w:r>
        <w:rPr>
          <w:rFonts w:hint="eastAsia"/>
          <w:b/>
          <w:szCs w:val="32"/>
        </w:rPr>
        <w:t>基本支出</w:t>
      </w:r>
      <w:r>
        <w:rPr>
          <w:rFonts w:hint="eastAsia"/>
          <w:szCs w:val="32"/>
        </w:rPr>
        <w:t>：指保障机构正常运转、完成日常工作任务而发生的人员支出和公用支出。</w:t>
      </w:r>
    </w:p>
    <w:p>
      <w:pPr>
        <w:pStyle w:val="2"/>
        <w:spacing w:line="600" w:lineRule="exact"/>
        <w:ind w:left="525" w:firstLine="0"/>
        <w:rPr>
          <w:szCs w:val="32"/>
        </w:rPr>
      </w:pPr>
      <w:r>
        <w:rPr>
          <w:rFonts w:hint="eastAsia"/>
          <w:szCs w:val="32"/>
        </w:rPr>
        <w:t>4.</w:t>
      </w:r>
      <w:r>
        <w:rPr>
          <w:rFonts w:hint="eastAsia"/>
          <w:b/>
          <w:szCs w:val="32"/>
        </w:rPr>
        <w:t>项目支出</w:t>
      </w:r>
      <w:r>
        <w:rPr>
          <w:rFonts w:hint="eastAsia"/>
          <w:szCs w:val="32"/>
        </w:rPr>
        <w:t>：指在基本支出之外为完成特定行政任务和事业发展目标所发生的支出。</w:t>
      </w:r>
    </w:p>
    <w:p>
      <w:pPr>
        <w:pStyle w:val="2"/>
        <w:spacing w:line="600" w:lineRule="exact"/>
        <w:ind w:left="525" w:firstLine="0"/>
        <w:rPr>
          <w:color w:val="008000"/>
          <w:szCs w:val="32"/>
        </w:rPr>
      </w:pPr>
      <w:r>
        <w:rPr>
          <w:rFonts w:hint="eastAsia"/>
          <w:szCs w:val="32"/>
        </w:rPr>
        <w:t>5.</w:t>
      </w:r>
      <w:r>
        <w:rPr>
          <w:rFonts w:hint="eastAsia"/>
          <w:b/>
          <w:szCs w:val="32"/>
        </w:rPr>
        <w:t>“三公”经费</w:t>
      </w:r>
      <w:r>
        <w:rPr>
          <w:rFonts w:hint="eastAsia"/>
          <w:szCs w:val="32"/>
        </w:rPr>
        <w:t>：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spacing w:line="600" w:lineRule="exact"/>
        <w:ind w:left="525" w:firstLine="0"/>
        <w:rPr>
          <w:color w:val="000000"/>
          <w:szCs w:val="32"/>
        </w:rPr>
      </w:pPr>
      <w:r>
        <w:rPr>
          <w:rFonts w:hint="eastAsia"/>
          <w:color w:val="000000"/>
          <w:szCs w:val="32"/>
        </w:rPr>
        <w:t>6.</w:t>
      </w:r>
      <w:r>
        <w:rPr>
          <w:rFonts w:hint="eastAsia"/>
          <w:b/>
          <w:color w:val="000000"/>
          <w:szCs w:val="32"/>
        </w:rPr>
        <w:t>公共安全支出（类）检察（款）行政运行（项）：</w:t>
      </w:r>
      <w:r>
        <w:rPr>
          <w:rFonts w:hint="eastAsia"/>
          <w:color w:val="000000"/>
          <w:szCs w:val="32"/>
        </w:rPr>
        <w:t>反映行政单位（包括实行公务员管理的事业单位）的基本支出。</w:t>
      </w:r>
    </w:p>
    <w:p>
      <w:pPr>
        <w:pStyle w:val="2"/>
        <w:spacing w:line="600" w:lineRule="exact"/>
        <w:ind w:left="525" w:firstLine="0"/>
        <w:rPr>
          <w:color w:val="000000"/>
          <w:szCs w:val="32"/>
        </w:rPr>
      </w:pPr>
      <w:r>
        <w:rPr>
          <w:rFonts w:hint="eastAsia"/>
          <w:color w:val="000000"/>
          <w:szCs w:val="32"/>
        </w:rPr>
        <w:t>7.</w:t>
      </w:r>
      <w:r>
        <w:rPr>
          <w:rFonts w:hint="eastAsia"/>
          <w:b/>
          <w:color w:val="000000"/>
          <w:szCs w:val="32"/>
        </w:rPr>
        <w:t>公共安全支出（类）检察（款）一般行政管理事务（项）：</w:t>
      </w:r>
      <w:r>
        <w:rPr>
          <w:rFonts w:hint="eastAsia"/>
          <w:color w:val="000000"/>
          <w:szCs w:val="32"/>
        </w:rPr>
        <w:t>反映行政单位（包括实行公务员管理的事业单位）未单独设置项级科目的其他项目支出。</w:t>
      </w:r>
    </w:p>
    <w:p>
      <w:pPr>
        <w:pStyle w:val="2"/>
        <w:spacing w:line="600" w:lineRule="exact"/>
        <w:ind w:left="525" w:firstLine="0"/>
        <w:rPr>
          <w:color w:val="000000"/>
          <w:szCs w:val="32"/>
        </w:rPr>
      </w:pPr>
      <w:r>
        <w:rPr>
          <w:rFonts w:hint="eastAsia"/>
          <w:color w:val="000000"/>
          <w:szCs w:val="32"/>
        </w:rPr>
        <w:t>8.</w:t>
      </w:r>
      <w:r>
        <w:rPr>
          <w:rFonts w:hint="eastAsia"/>
          <w:b/>
          <w:color w:val="000000"/>
          <w:szCs w:val="32"/>
        </w:rPr>
        <w:t>公共安全支出（类）检察（款）侦查监督（项）：</w:t>
      </w:r>
      <w:r>
        <w:rPr>
          <w:rFonts w:hint="eastAsia"/>
          <w:color w:val="000000"/>
          <w:szCs w:val="32"/>
        </w:rPr>
        <w:t>反映对刑事犯罪嫌疑人审查批捕、决定逮捕和对刑事犯罪案件的立案、侦查活动进行监督的支出。</w:t>
      </w:r>
    </w:p>
    <w:p>
      <w:pPr>
        <w:pStyle w:val="2"/>
        <w:spacing w:line="600" w:lineRule="exact"/>
        <w:ind w:left="525" w:firstLine="0"/>
        <w:rPr>
          <w:color w:val="000000"/>
          <w:szCs w:val="32"/>
        </w:rPr>
      </w:pPr>
      <w:r>
        <w:rPr>
          <w:rFonts w:hint="eastAsia"/>
          <w:color w:val="000000"/>
          <w:szCs w:val="32"/>
        </w:rPr>
        <w:t>9.</w:t>
      </w:r>
      <w:r>
        <w:rPr>
          <w:rFonts w:hint="eastAsia"/>
          <w:b/>
          <w:color w:val="000000"/>
          <w:szCs w:val="32"/>
        </w:rPr>
        <w:t>公共安全支出（类）检察（款）其他检察支出（项）：</w:t>
      </w:r>
      <w:r>
        <w:rPr>
          <w:rFonts w:hint="eastAsia"/>
          <w:color w:val="000000"/>
          <w:szCs w:val="32"/>
        </w:rPr>
        <w:t>反映除上述项目以外其他用于检察方面的支出。</w:t>
      </w:r>
    </w:p>
    <w:p>
      <w:pPr>
        <w:pStyle w:val="2"/>
        <w:spacing w:line="600" w:lineRule="exact"/>
        <w:ind w:left="525" w:firstLine="0"/>
        <w:rPr>
          <w:color w:val="000000"/>
          <w:szCs w:val="32"/>
        </w:rPr>
      </w:pPr>
      <w:r>
        <w:rPr>
          <w:rFonts w:hint="eastAsia"/>
          <w:color w:val="000000"/>
          <w:szCs w:val="32"/>
        </w:rPr>
        <w:t>10.</w:t>
      </w:r>
      <w:r>
        <w:rPr>
          <w:rFonts w:hint="eastAsia"/>
          <w:b/>
          <w:color w:val="000000"/>
          <w:szCs w:val="32"/>
        </w:rPr>
        <w:t>教育支出（类）进修及培训（款）培训支出（项）：</w:t>
      </w:r>
      <w:r>
        <w:rPr>
          <w:rFonts w:hint="eastAsia"/>
          <w:color w:val="000000"/>
          <w:szCs w:val="32"/>
        </w:rPr>
        <w:t>反映各部门安排的用于培训的支出。</w:t>
      </w:r>
    </w:p>
    <w:p>
      <w:pPr>
        <w:pStyle w:val="2"/>
        <w:spacing w:line="600" w:lineRule="exact"/>
        <w:ind w:left="525" w:firstLine="0"/>
        <w:rPr>
          <w:color w:val="000000"/>
          <w:szCs w:val="32"/>
        </w:rPr>
      </w:pPr>
      <w:r>
        <w:rPr>
          <w:rFonts w:hint="eastAsia"/>
          <w:color w:val="000000"/>
          <w:szCs w:val="32"/>
        </w:rPr>
        <w:t>11.</w:t>
      </w:r>
      <w:r>
        <w:rPr>
          <w:b/>
          <w:color w:val="000000"/>
          <w:szCs w:val="32"/>
        </w:rPr>
        <w:t>社会保险基金支出（类）基本养老保险基金支出（款）</w:t>
      </w:r>
      <w:r>
        <w:rPr>
          <w:rFonts w:hint="eastAsia"/>
          <w:b/>
          <w:color w:val="000000"/>
          <w:szCs w:val="32"/>
        </w:rPr>
        <w:t>：</w:t>
      </w:r>
      <w:r>
        <w:rPr>
          <w:color w:val="000000"/>
          <w:szCs w:val="32"/>
        </w:rPr>
        <w:t>基本养老金（项）反映行政事业单位按人力资源和社会保障、财政部规定的基本工资和津贴补贴以及规定比例为职工缴纳的养老保险。</w:t>
      </w:r>
    </w:p>
    <w:p>
      <w:pPr>
        <w:pStyle w:val="2"/>
        <w:spacing w:line="600" w:lineRule="exact"/>
        <w:ind w:left="525" w:firstLine="0"/>
        <w:rPr>
          <w:color w:val="000000"/>
          <w:szCs w:val="32"/>
        </w:rPr>
      </w:pPr>
      <w:r>
        <w:rPr>
          <w:rFonts w:hint="eastAsia"/>
          <w:color w:val="000000"/>
          <w:szCs w:val="32"/>
        </w:rPr>
        <w:t>12.</w:t>
      </w:r>
      <w:r>
        <w:rPr>
          <w:b/>
          <w:color w:val="000000"/>
          <w:szCs w:val="32"/>
        </w:rPr>
        <w:t>卫生健康支出（类）行政事业单位医疗（款）行政单位医疗（项） ：</w:t>
      </w:r>
      <w:r>
        <w:rPr>
          <w:color w:val="000000"/>
          <w:szCs w:val="32"/>
        </w:rPr>
        <w:t xml:space="preserve">反映财政部门安排的行政单位（包括实行公务员管理的事业单位，下同）基本医疗保险缴费经费，未参加医疗保险的行政单位的公费医疗经费，按国家规定享受离休人员、红军老战士待遇人员的医疗经费。 </w:t>
      </w:r>
    </w:p>
    <w:p>
      <w:pPr>
        <w:pStyle w:val="2"/>
        <w:spacing w:line="600" w:lineRule="exact"/>
        <w:ind w:left="479" w:leftChars="228" w:firstLine="0"/>
        <w:rPr>
          <w:szCs w:val="32"/>
        </w:rPr>
      </w:pPr>
      <w:r>
        <w:rPr>
          <w:rFonts w:hint="eastAsia"/>
          <w:szCs w:val="32"/>
        </w:rPr>
        <w:t>13.</w:t>
      </w:r>
      <w:r>
        <w:rPr>
          <w:rFonts w:hint="eastAsia"/>
          <w:b/>
          <w:szCs w:val="32"/>
        </w:rPr>
        <w:t>住房保障（类）住房改革（款）住房公积金（项）：</w:t>
      </w:r>
      <w:r>
        <w:rPr>
          <w:rFonts w:hint="eastAsia"/>
          <w:szCs w:val="32"/>
        </w:rPr>
        <w:t>反映行政事业单位按人力资源和社会保障、财政部规定的基本工资和津贴补贴以及规定比例为职工缴纳的住房公积金。</w:t>
      </w:r>
    </w:p>
    <w:p>
      <w:pPr>
        <w:pStyle w:val="2"/>
        <w:spacing w:line="600" w:lineRule="exact"/>
        <w:ind w:left="525" w:firstLine="0"/>
        <w:rPr>
          <w:szCs w:val="32"/>
        </w:rPr>
      </w:pPr>
      <w:r>
        <w:rPr>
          <w:rFonts w:hint="eastAsia"/>
          <w:szCs w:val="32"/>
        </w:rPr>
        <w:t>14.</w:t>
      </w:r>
      <w:r>
        <w:rPr>
          <w:rFonts w:hint="eastAsia"/>
          <w:b/>
          <w:szCs w:val="32"/>
        </w:rPr>
        <w:t>机关运行经费：</w:t>
      </w:r>
      <w:r>
        <w:rPr>
          <w:rFonts w:hint="eastAsia"/>
          <w:szCs w:val="32"/>
        </w:rPr>
        <w:t>为保障行政单位（包括参照公务员法 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200"/>
        <w:jc w:val="left"/>
      </w:pPr>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49580"/>
      <w:docPartObj>
        <w:docPartGallery w:val="autotext"/>
      </w:docPartObj>
    </w:sdtPr>
    <w:sdtContent>
      <w:p>
        <w:pPr>
          <w:pStyle w:val="3"/>
          <w:jc w:val="center"/>
        </w:pPr>
        <w:r>
          <w:fldChar w:fldCharType="begin"/>
        </w:r>
        <w:r>
          <w:instrText xml:space="preserve"> PAGE   \* MERGEFORMAT </w:instrText>
        </w:r>
        <w:r>
          <w:fldChar w:fldCharType="separate"/>
        </w:r>
        <w:r>
          <w:rPr>
            <w:lang w:val="zh-CN"/>
          </w:rPr>
          <w:t>9</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3867"/>
    <w:rsid w:val="001760F9"/>
    <w:rsid w:val="00450157"/>
    <w:rsid w:val="00B63568"/>
    <w:rsid w:val="00D41DBC"/>
    <w:rsid w:val="00ED3867"/>
    <w:rsid w:val="00F7340E"/>
    <w:rsid w:val="00FB5FA3"/>
    <w:rsid w:val="0E27316C"/>
    <w:rsid w:val="20C278A0"/>
    <w:rsid w:val="53FA7331"/>
    <w:rsid w:val="64F05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375</Words>
  <Characters>2142</Characters>
  <Lines>17</Lines>
  <Paragraphs>5</Paragraphs>
  <TotalTime>0</TotalTime>
  <ScaleCrop>false</ScaleCrop>
  <LinksUpToDate>false</LinksUpToDate>
  <CharactersWithSpaces>2512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2020-02-05T08:13:00Z</dcterms:created>
  <dc:creator>zhimeng ren</dc:creator>
  <cp:lastModifiedBy>GD</cp:lastModifiedBy>
  <dcterms:modified xsi:type="dcterms:W3CDTF">2021-05-31T03:46:01Z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0E643DBF236641CD87DFD881A3D461AC</vt:lpwstr>
  </property>
</Properties>
</file>