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9D54E">
      <w:pPr>
        <w:jc w:val="center"/>
        <w:rPr>
          <w:rFonts w:ascii="楷体" w:hAnsi="楷体" w:eastAsia="楷体"/>
          <w:b/>
          <w:sz w:val="52"/>
        </w:rPr>
      </w:pPr>
    </w:p>
    <w:p w14:paraId="135BA8DD">
      <w:pPr>
        <w:jc w:val="center"/>
        <w:rPr>
          <w:rFonts w:ascii="楷体" w:hAnsi="楷体" w:eastAsia="楷体"/>
          <w:b/>
          <w:sz w:val="52"/>
        </w:rPr>
      </w:pPr>
    </w:p>
    <w:p w14:paraId="0DEC53E5">
      <w:pPr>
        <w:jc w:val="center"/>
        <w:rPr>
          <w:rFonts w:ascii="楷体" w:hAnsi="楷体" w:eastAsia="楷体"/>
          <w:b/>
          <w:sz w:val="52"/>
        </w:rPr>
      </w:pPr>
    </w:p>
    <w:p w14:paraId="312DF623">
      <w:pPr>
        <w:jc w:val="center"/>
        <w:rPr>
          <w:rFonts w:ascii="楷体" w:hAnsi="楷体" w:eastAsia="楷体"/>
          <w:b/>
          <w:sz w:val="52"/>
        </w:rPr>
      </w:pPr>
    </w:p>
    <w:p w14:paraId="00A0255A">
      <w:pPr>
        <w:jc w:val="center"/>
        <w:rPr>
          <w:rFonts w:ascii="楷体" w:hAnsi="楷体" w:eastAsia="楷体"/>
          <w:b/>
          <w:sz w:val="52"/>
        </w:rPr>
      </w:pPr>
    </w:p>
    <w:p w14:paraId="218F0279">
      <w:pPr>
        <w:jc w:val="center"/>
        <w:rPr>
          <w:rFonts w:ascii="楷体" w:hAnsi="楷体" w:eastAsia="楷体"/>
          <w:b/>
          <w:sz w:val="52"/>
        </w:rPr>
      </w:pPr>
      <w:r>
        <w:rPr>
          <w:rFonts w:hint="eastAsia" w:ascii="楷体" w:hAnsi="楷体" w:eastAsia="楷体"/>
          <w:b/>
          <w:sz w:val="52"/>
        </w:rPr>
        <w:t>沈阳市浑南区财政事务服务中心</w:t>
      </w:r>
    </w:p>
    <w:p w14:paraId="4D5BA6F5">
      <w:pPr>
        <w:jc w:val="center"/>
        <w:rPr>
          <w:rFonts w:hint="eastAsia" w:ascii="楷体" w:hAnsi="楷体" w:eastAsia="楷体"/>
          <w:b/>
          <w:sz w:val="52"/>
          <w:lang w:val="en-US" w:eastAsia="zh-CN"/>
        </w:rPr>
      </w:pPr>
      <w:r>
        <w:rPr>
          <w:rFonts w:hint="eastAsia" w:ascii="楷体" w:hAnsi="楷体" w:eastAsia="楷体"/>
          <w:b/>
          <w:sz w:val="52"/>
        </w:rPr>
        <w:t>202</w:t>
      </w:r>
      <w:r>
        <w:rPr>
          <w:rFonts w:hint="eastAsia" w:ascii="楷体" w:hAnsi="楷体" w:eastAsia="楷体"/>
          <w:b/>
          <w:sz w:val="52"/>
          <w:lang w:val="en-US" w:eastAsia="zh-CN"/>
        </w:rPr>
        <w:t>1</w:t>
      </w:r>
      <w:r>
        <w:rPr>
          <w:rFonts w:hint="eastAsia" w:ascii="楷体" w:hAnsi="楷体" w:eastAsia="楷体"/>
          <w:b/>
          <w:sz w:val="52"/>
        </w:rPr>
        <w:t>年部门预算</w:t>
      </w:r>
      <w:r>
        <w:rPr>
          <w:rFonts w:hint="eastAsia" w:ascii="楷体" w:hAnsi="楷体" w:eastAsia="楷体"/>
          <w:b/>
          <w:sz w:val="52"/>
          <w:lang w:val="en-US" w:eastAsia="zh-CN"/>
        </w:rPr>
        <w:t xml:space="preserve"> </w:t>
      </w:r>
    </w:p>
    <w:p w14:paraId="5D58C80B">
      <w:pPr>
        <w:jc w:val="center"/>
        <w:rPr>
          <w:b/>
          <w:sz w:val="44"/>
          <w:szCs w:val="44"/>
          <w:u w:val="single"/>
        </w:rPr>
      </w:pPr>
      <w:r>
        <w:rPr>
          <w:rFonts w:hint="eastAsia" w:ascii="楷体" w:hAnsi="楷体" w:eastAsia="楷体"/>
          <w:b/>
          <w:sz w:val="52"/>
        </w:rPr>
        <w:t>（含“三公”经费预算）</w:t>
      </w:r>
    </w:p>
    <w:p w14:paraId="775F39AC">
      <w:pPr>
        <w:jc w:val="center"/>
        <w:rPr>
          <w:b/>
          <w:sz w:val="44"/>
          <w:szCs w:val="44"/>
          <w:u w:val="single"/>
        </w:rPr>
      </w:pPr>
    </w:p>
    <w:p w14:paraId="2924AD7D">
      <w:pPr>
        <w:jc w:val="center"/>
        <w:rPr>
          <w:b/>
          <w:sz w:val="44"/>
          <w:szCs w:val="44"/>
          <w:u w:val="single"/>
        </w:rPr>
      </w:pPr>
    </w:p>
    <w:p w14:paraId="6447E60B">
      <w:pPr>
        <w:jc w:val="center"/>
        <w:rPr>
          <w:b/>
          <w:sz w:val="44"/>
          <w:szCs w:val="44"/>
          <w:u w:val="single"/>
        </w:rPr>
      </w:pPr>
    </w:p>
    <w:p w14:paraId="027F7E9C">
      <w:pPr>
        <w:jc w:val="center"/>
        <w:rPr>
          <w:b/>
          <w:sz w:val="44"/>
          <w:szCs w:val="44"/>
          <w:u w:val="single"/>
        </w:rPr>
      </w:pPr>
    </w:p>
    <w:p w14:paraId="024B000D">
      <w:pPr>
        <w:jc w:val="center"/>
        <w:rPr>
          <w:b/>
          <w:sz w:val="44"/>
          <w:szCs w:val="44"/>
          <w:u w:val="single"/>
        </w:rPr>
      </w:pPr>
    </w:p>
    <w:p w14:paraId="0053E5B6">
      <w:pPr>
        <w:jc w:val="center"/>
        <w:rPr>
          <w:b/>
          <w:sz w:val="44"/>
          <w:szCs w:val="44"/>
          <w:u w:val="single"/>
        </w:rPr>
      </w:pPr>
    </w:p>
    <w:p w14:paraId="10880F7E">
      <w:pPr>
        <w:jc w:val="center"/>
        <w:rPr>
          <w:b/>
          <w:sz w:val="44"/>
          <w:szCs w:val="44"/>
          <w:u w:val="single"/>
        </w:rPr>
      </w:pPr>
    </w:p>
    <w:p w14:paraId="4605E814">
      <w:pPr>
        <w:jc w:val="center"/>
        <w:rPr>
          <w:b/>
          <w:sz w:val="44"/>
          <w:szCs w:val="44"/>
          <w:u w:val="single"/>
        </w:rPr>
      </w:pPr>
    </w:p>
    <w:p w14:paraId="29F4476D">
      <w:pPr>
        <w:jc w:val="center"/>
        <w:rPr>
          <w:b/>
          <w:sz w:val="44"/>
          <w:szCs w:val="44"/>
          <w:u w:val="single"/>
        </w:rPr>
      </w:pPr>
    </w:p>
    <w:p w14:paraId="4743190F">
      <w:pPr>
        <w:jc w:val="center"/>
        <w:rPr>
          <w:b/>
          <w:sz w:val="44"/>
          <w:szCs w:val="44"/>
          <w:u w:val="single"/>
        </w:rPr>
      </w:pPr>
    </w:p>
    <w:p w14:paraId="44F87D64">
      <w:pPr>
        <w:jc w:val="center"/>
        <w:rPr>
          <w:b/>
          <w:sz w:val="44"/>
          <w:szCs w:val="44"/>
        </w:rPr>
      </w:pPr>
    </w:p>
    <w:p w14:paraId="0D69C60A">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2966C37B">
      <w:pPr>
        <w:rPr>
          <w:b/>
          <w:sz w:val="44"/>
          <w:szCs w:val="44"/>
          <w:u w:val="single"/>
        </w:rPr>
      </w:pPr>
    </w:p>
    <w:p w14:paraId="29515811">
      <w:pPr>
        <w:rPr>
          <w:b/>
          <w:sz w:val="44"/>
          <w:szCs w:val="44"/>
          <w:u w:val="single"/>
        </w:rPr>
      </w:pPr>
    </w:p>
    <w:p w14:paraId="77587CB3">
      <w:pPr>
        <w:ind w:firstLine="640" w:firstLineChars="200"/>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6F409D72">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14:paraId="10322A86">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14:paraId="483EF8C8">
      <w:pPr>
        <w:ind w:firstLine="480" w:firstLineChars="150"/>
        <w:rPr>
          <w:rFonts w:ascii="黑体" w:hAnsi="黑体" w:eastAsia="黑体"/>
          <w:sz w:val="32"/>
          <w:szCs w:val="32"/>
        </w:rPr>
      </w:pPr>
      <w:r>
        <w:rPr>
          <w:rFonts w:hint="eastAsia" w:ascii="黑体" w:hAnsi="黑体" w:eastAsia="黑体"/>
          <w:sz w:val="32"/>
          <w:szCs w:val="32"/>
        </w:rPr>
        <w:t>第二部分  沈阳市浑南区财政事务服务中心202</w:t>
      </w:r>
      <w:r>
        <w:rPr>
          <w:rFonts w:hint="eastAsia" w:ascii="黑体" w:hAnsi="黑体" w:eastAsia="黑体"/>
          <w:sz w:val="32"/>
          <w:szCs w:val="32"/>
          <w:lang w:val="en-US" w:eastAsia="zh-CN"/>
        </w:rPr>
        <w:t>1</w:t>
      </w:r>
      <w:r>
        <w:rPr>
          <w:rFonts w:hint="eastAsia" w:ascii="黑体" w:hAnsi="黑体" w:eastAsia="黑体"/>
          <w:sz w:val="32"/>
          <w:szCs w:val="32"/>
        </w:rPr>
        <w:t>年部门预算公开表</w:t>
      </w:r>
    </w:p>
    <w:p w14:paraId="2EB02CC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49A23224">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5C03459D">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48A1667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223BC21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714964D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34700A11">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1E4E97A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408E9FB1">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5C33482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44032E96">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677EBC9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7BBEABD2">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3AB820DB">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lang w:eastAsia="zh-CN"/>
        </w:rPr>
        <w:t>部门</w:t>
      </w:r>
      <w:r>
        <w:rPr>
          <w:rFonts w:hint="eastAsia" w:ascii="仿宋_GB2312" w:hAnsi="黑体" w:eastAsia="仿宋_GB2312"/>
          <w:sz w:val="32"/>
          <w:szCs w:val="32"/>
        </w:rPr>
        <w:t>整体绩效目标情况表</w:t>
      </w:r>
    </w:p>
    <w:p w14:paraId="6168B58F">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49CE7349">
      <w:pPr>
        <w:ind w:firstLine="320" w:firstLineChars="100"/>
        <w:rPr>
          <w:rFonts w:ascii="黑体" w:hAnsi="黑体" w:eastAsia="黑体"/>
          <w:sz w:val="32"/>
          <w:szCs w:val="32"/>
        </w:rPr>
      </w:pPr>
      <w:r>
        <w:rPr>
          <w:rFonts w:hint="eastAsia" w:ascii="黑体" w:hAnsi="黑体" w:eastAsia="黑体"/>
          <w:sz w:val="32"/>
          <w:szCs w:val="32"/>
        </w:rPr>
        <w:t>第三部分 沈阳市浑南区财政事务服务中心</w:t>
      </w:r>
      <w:r>
        <w:rPr>
          <w:rFonts w:hint="eastAsia" w:ascii="黑体" w:hAnsi="黑体" w:eastAsia="黑体"/>
          <w:sz w:val="32"/>
          <w:szCs w:val="32"/>
          <w:lang w:val="en-US" w:eastAsia="zh-CN"/>
        </w:rPr>
        <w:t>2021</w:t>
      </w:r>
      <w:r>
        <w:rPr>
          <w:rFonts w:hint="eastAsia" w:ascii="黑体" w:hAnsi="黑体" w:eastAsia="黑体"/>
          <w:sz w:val="32"/>
          <w:szCs w:val="32"/>
        </w:rPr>
        <w:t>年部门预算情况说明</w:t>
      </w:r>
    </w:p>
    <w:p w14:paraId="36F73FC6">
      <w:pPr>
        <w:ind w:firstLine="320" w:firstLineChars="100"/>
        <w:rPr>
          <w:rFonts w:ascii="黑体" w:hAnsi="黑体" w:eastAsia="黑体"/>
          <w:sz w:val="32"/>
          <w:szCs w:val="32"/>
        </w:rPr>
      </w:pPr>
      <w:r>
        <w:rPr>
          <w:rFonts w:hint="eastAsia" w:ascii="黑体" w:hAnsi="黑体" w:eastAsia="黑体"/>
          <w:sz w:val="32"/>
          <w:szCs w:val="32"/>
        </w:rPr>
        <w:t>第四部分  名词解释</w:t>
      </w:r>
    </w:p>
    <w:p w14:paraId="1CF168FA">
      <w:pPr>
        <w:jc w:val="center"/>
        <w:rPr>
          <w:rFonts w:ascii="黑体" w:hAnsi="黑体" w:eastAsia="黑体"/>
          <w:b/>
          <w:sz w:val="44"/>
          <w:szCs w:val="44"/>
          <w:u w:val="single"/>
        </w:rPr>
      </w:pPr>
    </w:p>
    <w:p w14:paraId="45169871">
      <w:pPr>
        <w:jc w:val="center"/>
        <w:rPr>
          <w:rFonts w:ascii="黑体" w:hAnsi="黑体" w:eastAsia="黑体"/>
          <w:b/>
          <w:sz w:val="44"/>
          <w:szCs w:val="44"/>
          <w:u w:val="single"/>
        </w:rPr>
      </w:pPr>
    </w:p>
    <w:p w14:paraId="51D123E1">
      <w:pPr>
        <w:jc w:val="center"/>
        <w:rPr>
          <w:rFonts w:ascii="黑体" w:hAnsi="黑体" w:eastAsia="黑体"/>
          <w:b/>
          <w:sz w:val="44"/>
          <w:szCs w:val="44"/>
          <w:u w:val="single"/>
        </w:rPr>
      </w:pPr>
    </w:p>
    <w:p w14:paraId="6A6CBC62">
      <w:pPr>
        <w:jc w:val="center"/>
        <w:rPr>
          <w:rFonts w:ascii="黑体" w:hAnsi="黑体" w:eastAsia="黑体"/>
          <w:b/>
          <w:sz w:val="44"/>
          <w:szCs w:val="44"/>
          <w:u w:val="single"/>
        </w:rPr>
      </w:pPr>
    </w:p>
    <w:p w14:paraId="0DB10562">
      <w:pPr>
        <w:jc w:val="center"/>
        <w:rPr>
          <w:rFonts w:ascii="黑体" w:hAnsi="黑体" w:eastAsia="黑体"/>
          <w:b/>
          <w:sz w:val="44"/>
          <w:szCs w:val="44"/>
          <w:u w:val="single"/>
        </w:rPr>
      </w:pPr>
    </w:p>
    <w:p w14:paraId="45097C42">
      <w:pPr>
        <w:jc w:val="center"/>
        <w:rPr>
          <w:rFonts w:ascii="黑体" w:hAnsi="黑体" w:eastAsia="黑体"/>
          <w:b/>
          <w:sz w:val="44"/>
          <w:szCs w:val="44"/>
          <w:u w:val="single"/>
        </w:rPr>
      </w:pPr>
    </w:p>
    <w:p w14:paraId="3CF1C6EB">
      <w:pPr>
        <w:jc w:val="center"/>
        <w:rPr>
          <w:rFonts w:ascii="黑体" w:hAnsi="黑体" w:eastAsia="黑体"/>
          <w:b/>
          <w:sz w:val="44"/>
          <w:szCs w:val="44"/>
          <w:u w:val="single"/>
        </w:rPr>
      </w:pPr>
    </w:p>
    <w:p w14:paraId="4994E2AA">
      <w:pPr>
        <w:jc w:val="center"/>
        <w:rPr>
          <w:rFonts w:ascii="黑体" w:hAnsi="黑体" w:eastAsia="黑体"/>
          <w:b/>
          <w:sz w:val="44"/>
          <w:szCs w:val="44"/>
          <w:u w:val="single"/>
        </w:rPr>
      </w:pPr>
    </w:p>
    <w:p w14:paraId="189D6CC7">
      <w:pPr>
        <w:jc w:val="center"/>
        <w:rPr>
          <w:rFonts w:ascii="黑体" w:hAnsi="黑体" w:eastAsia="黑体"/>
          <w:b/>
          <w:sz w:val="44"/>
          <w:szCs w:val="44"/>
          <w:u w:val="single"/>
        </w:rPr>
      </w:pPr>
    </w:p>
    <w:p w14:paraId="306AAF63">
      <w:pPr>
        <w:jc w:val="center"/>
        <w:rPr>
          <w:rFonts w:ascii="黑体" w:hAnsi="黑体" w:eastAsia="黑体"/>
          <w:b/>
          <w:sz w:val="44"/>
          <w:szCs w:val="44"/>
          <w:u w:val="single"/>
        </w:rPr>
      </w:pPr>
    </w:p>
    <w:p w14:paraId="5FB1A894">
      <w:pPr>
        <w:jc w:val="center"/>
        <w:rPr>
          <w:rFonts w:ascii="黑体" w:hAnsi="黑体" w:eastAsia="黑体"/>
          <w:b/>
          <w:sz w:val="44"/>
          <w:szCs w:val="44"/>
          <w:u w:val="single"/>
        </w:rPr>
      </w:pPr>
    </w:p>
    <w:p w14:paraId="5166AA3C">
      <w:pPr>
        <w:jc w:val="center"/>
        <w:rPr>
          <w:rFonts w:ascii="黑体" w:hAnsi="黑体" w:eastAsia="黑体"/>
          <w:b/>
          <w:sz w:val="44"/>
          <w:szCs w:val="44"/>
          <w:u w:val="single"/>
        </w:rPr>
      </w:pPr>
    </w:p>
    <w:p w14:paraId="4909C231">
      <w:pPr>
        <w:jc w:val="center"/>
        <w:rPr>
          <w:rFonts w:ascii="黑体" w:hAnsi="黑体" w:eastAsia="黑体"/>
          <w:b/>
          <w:sz w:val="44"/>
          <w:szCs w:val="44"/>
          <w:u w:val="single"/>
        </w:rPr>
      </w:pPr>
    </w:p>
    <w:p w14:paraId="67B4D8CC">
      <w:pPr>
        <w:jc w:val="center"/>
        <w:rPr>
          <w:rFonts w:ascii="黑体" w:hAnsi="黑体" w:eastAsia="黑体"/>
          <w:b/>
          <w:sz w:val="44"/>
          <w:szCs w:val="44"/>
          <w:u w:val="single"/>
        </w:rPr>
      </w:pPr>
    </w:p>
    <w:p w14:paraId="66066051">
      <w:pPr>
        <w:jc w:val="center"/>
        <w:rPr>
          <w:rFonts w:ascii="黑体" w:hAnsi="黑体" w:eastAsia="黑体"/>
          <w:b/>
          <w:sz w:val="44"/>
          <w:szCs w:val="44"/>
          <w:u w:val="single"/>
        </w:rPr>
      </w:pPr>
    </w:p>
    <w:p w14:paraId="41953925">
      <w:pPr>
        <w:jc w:val="center"/>
        <w:rPr>
          <w:rFonts w:ascii="黑体" w:hAnsi="黑体" w:eastAsia="黑体"/>
          <w:b/>
          <w:sz w:val="44"/>
          <w:szCs w:val="44"/>
          <w:u w:val="single"/>
        </w:rPr>
      </w:pPr>
    </w:p>
    <w:p w14:paraId="490B92EF">
      <w:pPr>
        <w:jc w:val="center"/>
        <w:rPr>
          <w:rFonts w:ascii="黑体" w:hAnsi="黑体" w:eastAsia="黑体"/>
          <w:b/>
          <w:sz w:val="44"/>
          <w:szCs w:val="44"/>
          <w:u w:val="single"/>
        </w:rPr>
      </w:pPr>
    </w:p>
    <w:p w14:paraId="035EC344">
      <w:pPr>
        <w:jc w:val="center"/>
        <w:rPr>
          <w:rFonts w:ascii="黑体" w:hAnsi="黑体" w:eastAsia="黑体"/>
          <w:b/>
          <w:sz w:val="44"/>
          <w:szCs w:val="44"/>
          <w:u w:val="single"/>
        </w:rPr>
      </w:pPr>
    </w:p>
    <w:p w14:paraId="549F15CC">
      <w:pPr>
        <w:rPr>
          <w:rFonts w:ascii="宋体" w:hAnsi="宋体"/>
          <w:b/>
          <w:sz w:val="36"/>
          <w:szCs w:val="36"/>
        </w:rPr>
      </w:pPr>
    </w:p>
    <w:p w14:paraId="74FEF2AF">
      <w:pPr>
        <w:jc w:val="center"/>
        <w:rPr>
          <w:rFonts w:hint="eastAsia" w:ascii="宋体" w:hAnsi="宋体"/>
          <w:b/>
          <w:sz w:val="36"/>
          <w:szCs w:val="36"/>
        </w:rPr>
      </w:pPr>
      <w:r>
        <w:rPr>
          <w:rFonts w:hint="eastAsia" w:ascii="宋体" w:hAnsi="宋体" w:eastAsia="宋体"/>
          <w:b/>
          <w:sz w:val="36"/>
          <w:szCs w:val="36"/>
        </w:rPr>
        <w:t>第一部分  浑南区财政事务服务中心</w:t>
      </w:r>
      <w:r>
        <w:rPr>
          <w:rFonts w:hint="eastAsia" w:ascii="宋体" w:hAnsi="宋体"/>
          <w:b/>
          <w:sz w:val="36"/>
          <w:szCs w:val="36"/>
        </w:rPr>
        <w:t>概况</w:t>
      </w:r>
    </w:p>
    <w:p w14:paraId="29FD312C">
      <w:pPr>
        <w:ind w:firstLine="640" w:firstLineChars="200"/>
        <w:jc w:val="left"/>
        <w:rPr>
          <w:rFonts w:hint="eastAsia" w:ascii="黑体" w:eastAsia="黑体"/>
          <w:sz w:val="32"/>
          <w:szCs w:val="32"/>
        </w:rPr>
      </w:pPr>
    </w:p>
    <w:p w14:paraId="70C35F8F">
      <w:pPr>
        <w:ind w:firstLine="640" w:firstLineChars="200"/>
        <w:jc w:val="left"/>
        <w:rPr>
          <w:rFonts w:hint="eastAsia" w:ascii="黑体" w:eastAsia="黑体"/>
          <w:sz w:val="32"/>
          <w:szCs w:val="32"/>
        </w:rPr>
      </w:pPr>
      <w:r>
        <w:rPr>
          <w:rFonts w:hint="eastAsia" w:ascii="黑体" w:eastAsia="黑体"/>
          <w:sz w:val="32"/>
          <w:szCs w:val="32"/>
        </w:rPr>
        <w:t>一、主要职责</w:t>
      </w:r>
    </w:p>
    <w:p w14:paraId="6211C4EB">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79868550">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4B47BD5F">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33E382B1">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4、负责浑南区行政事业单位预算资金的收支核算和业务处理及监督管理：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7973A3D2">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1E3CC35A">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16761DB5">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14F813FB">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6057FD33">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5BD95809">
      <w:pPr>
        <w:ind w:firstLine="640" w:firstLineChars="200"/>
        <w:jc w:val="left"/>
        <w:rPr>
          <w:rFonts w:ascii="黑体" w:eastAsia="黑体"/>
          <w:sz w:val="32"/>
          <w:szCs w:val="32"/>
        </w:rPr>
      </w:pPr>
      <w:r>
        <w:rPr>
          <w:rFonts w:hint="eastAsia" w:ascii="黑体" w:eastAsia="黑体"/>
          <w:sz w:val="32"/>
          <w:szCs w:val="32"/>
        </w:rPr>
        <w:t>二、部门预算单位构成</w:t>
      </w:r>
    </w:p>
    <w:p w14:paraId="5EA69508">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纳入沈阳市浑南区财政事务服务中心202</w:t>
      </w:r>
      <w:r>
        <w:rPr>
          <w:rFonts w:hint="eastAsia" w:ascii="仿宋_GB2312" w:eastAsia="仿宋_GB2312"/>
          <w:b/>
          <w:sz w:val="32"/>
          <w:szCs w:val="32"/>
          <w:lang w:val="en-US" w:eastAsia="zh-CN"/>
        </w:rPr>
        <w:t>1</w:t>
      </w:r>
      <w:r>
        <w:rPr>
          <w:rFonts w:hint="eastAsia" w:ascii="仿宋_GB2312" w:eastAsia="仿宋_GB2312"/>
          <w:b/>
          <w:sz w:val="32"/>
          <w:szCs w:val="32"/>
        </w:rPr>
        <w:t>年部门预算编制范围的预算单位包括：</w:t>
      </w:r>
    </w:p>
    <w:p w14:paraId="451F386F">
      <w:pPr>
        <w:ind w:firstLine="640" w:firstLineChars="200"/>
        <w:jc w:val="left"/>
        <w:rPr>
          <w:rFonts w:ascii="仿宋_GB2312" w:eastAsia="仿宋_GB2312"/>
          <w:sz w:val="32"/>
          <w:szCs w:val="32"/>
        </w:rPr>
      </w:pPr>
      <w:r>
        <w:rPr>
          <w:rFonts w:hint="eastAsia" w:ascii="仿宋_GB2312" w:eastAsia="仿宋_GB2312"/>
          <w:sz w:val="32"/>
          <w:szCs w:val="32"/>
        </w:rPr>
        <w:t>1.沈阳市浑南区财政事务服务中心</w:t>
      </w:r>
    </w:p>
    <w:p w14:paraId="274EDDB4">
      <w:pPr>
        <w:rPr>
          <w:rFonts w:ascii="宋体" w:hAnsi="宋体"/>
          <w:b/>
          <w:sz w:val="36"/>
          <w:szCs w:val="36"/>
        </w:rPr>
      </w:pPr>
    </w:p>
    <w:p w14:paraId="6106151A">
      <w:pPr>
        <w:keepNext w:val="0"/>
        <w:keepLines w:val="0"/>
        <w:pageBreakBefore/>
        <w:widowControl w:val="0"/>
        <w:numPr>
          <w:ilvl w:val="0"/>
          <w:numId w:val="1"/>
        </w:numPr>
        <w:kinsoku/>
        <w:wordWrap/>
        <w:overflowPunct/>
        <w:topLinePunct w:val="0"/>
        <w:autoSpaceDE/>
        <w:autoSpaceDN/>
        <w:bidi w:val="0"/>
        <w:adjustRightInd/>
        <w:snapToGrid/>
        <w:jc w:val="center"/>
        <w:textAlignment w:val="auto"/>
        <w:rPr>
          <w:rFonts w:ascii="宋体" w:hAnsi="宋体"/>
          <w:b/>
          <w:sz w:val="36"/>
          <w:szCs w:val="36"/>
        </w:rPr>
      </w:pPr>
      <w:r>
        <w:rPr>
          <w:rFonts w:hint="eastAsia" w:ascii="宋体" w:hAnsi="宋体"/>
          <w:b/>
          <w:sz w:val="36"/>
          <w:szCs w:val="36"/>
        </w:rPr>
        <w:t>沈阳市浑南区财政事务服务中心</w:t>
      </w:r>
      <w:r>
        <w:rPr>
          <w:rFonts w:hint="eastAsia" w:ascii="宋体" w:hAnsi="宋体"/>
          <w:b/>
          <w:sz w:val="36"/>
          <w:szCs w:val="36"/>
          <w:lang w:val="en-US" w:eastAsia="zh-CN"/>
        </w:rPr>
        <w:t>2021</w:t>
      </w:r>
      <w:r>
        <w:rPr>
          <w:rFonts w:hint="eastAsia" w:ascii="宋体" w:hAnsi="宋体"/>
          <w:b/>
          <w:sz w:val="36"/>
          <w:szCs w:val="36"/>
        </w:rPr>
        <w:t>年部门预算公开表</w:t>
      </w:r>
    </w:p>
    <w:p w14:paraId="0BA2762E">
      <w:pPr>
        <w:rPr>
          <w:rFonts w:ascii="宋体" w:hAnsi="宋体"/>
          <w:b/>
          <w:sz w:val="36"/>
          <w:szCs w:val="36"/>
        </w:rPr>
      </w:pPr>
    </w:p>
    <w:p w14:paraId="5C35A9E3">
      <w:pPr>
        <w:rPr>
          <w:rFonts w:ascii="宋体" w:hAnsi="宋体"/>
          <w:b/>
          <w:sz w:val="36"/>
          <w:szCs w:val="36"/>
        </w:rPr>
      </w:pPr>
    </w:p>
    <w:p w14:paraId="7BB93D38">
      <w:pPr>
        <w:rPr>
          <w:rFonts w:ascii="宋体" w:hAnsi="宋体"/>
          <w:b/>
          <w:sz w:val="36"/>
          <w:szCs w:val="36"/>
        </w:rPr>
      </w:pPr>
    </w:p>
    <w:p w14:paraId="1756CD01">
      <w:pPr>
        <w:rPr>
          <w:rFonts w:ascii="宋体" w:hAnsi="宋体"/>
          <w:b/>
          <w:sz w:val="36"/>
          <w:szCs w:val="36"/>
        </w:rPr>
      </w:pPr>
    </w:p>
    <w:p w14:paraId="00D862CD">
      <w:pPr>
        <w:rPr>
          <w:rFonts w:ascii="宋体" w:hAnsi="宋体"/>
          <w:b/>
          <w:sz w:val="36"/>
          <w:szCs w:val="36"/>
        </w:rPr>
      </w:pPr>
    </w:p>
    <w:p w14:paraId="3C83EDC9">
      <w:pPr>
        <w:rPr>
          <w:rFonts w:ascii="宋体" w:hAnsi="宋体"/>
          <w:b/>
          <w:sz w:val="36"/>
          <w:szCs w:val="36"/>
        </w:rPr>
      </w:pPr>
    </w:p>
    <w:p w14:paraId="3BBC7B6F">
      <w:pPr>
        <w:rPr>
          <w:rFonts w:ascii="宋体" w:hAnsi="宋体"/>
          <w:b/>
          <w:sz w:val="36"/>
          <w:szCs w:val="36"/>
        </w:rPr>
      </w:pPr>
    </w:p>
    <w:p w14:paraId="3E929280">
      <w:pPr>
        <w:rPr>
          <w:rFonts w:ascii="宋体" w:hAnsi="宋体"/>
          <w:b/>
          <w:sz w:val="36"/>
          <w:szCs w:val="36"/>
        </w:rPr>
      </w:pPr>
    </w:p>
    <w:p w14:paraId="2DB47531">
      <w:pPr>
        <w:rPr>
          <w:rFonts w:ascii="宋体" w:hAnsi="宋体"/>
          <w:b/>
          <w:sz w:val="36"/>
          <w:szCs w:val="36"/>
        </w:rPr>
      </w:pPr>
    </w:p>
    <w:p w14:paraId="18F1AB06">
      <w:pPr>
        <w:rPr>
          <w:rFonts w:ascii="宋体" w:hAnsi="宋体"/>
          <w:b/>
          <w:sz w:val="36"/>
          <w:szCs w:val="36"/>
        </w:rPr>
      </w:pPr>
    </w:p>
    <w:p w14:paraId="3FFBB165">
      <w:pPr>
        <w:rPr>
          <w:rFonts w:ascii="宋体" w:hAnsi="宋体"/>
          <w:b/>
          <w:sz w:val="36"/>
          <w:szCs w:val="36"/>
        </w:rPr>
      </w:pPr>
    </w:p>
    <w:p w14:paraId="0413A949">
      <w:pPr>
        <w:rPr>
          <w:rFonts w:ascii="宋体" w:hAnsi="宋体"/>
          <w:b/>
          <w:sz w:val="36"/>
          <w:szCs w:val="36"/>
        </w:rPr>
      </w:pPr>
    </w:p>
    <w:p w14:paraId="150D65A4">
      <w:pPr>
        <w:pStyle w:val="2"/>
        <w:keepNext w:val="0"/>
        <w:keepLines w:val="0"/>
        <w:pageBreakBefore/>
        <w:widowControl w:val="0"/>
        <w:kinsoku/>
        <w:wordWrap/>
        <w:overflowPunct/>
        <w:topLinePunct w:val="0"/>
        <w:autoSpaceDE/>
        <w:autoSpaceDN/>
        <w:bidi w:val="0"/>
        <w:adjustRightInd/>
        <w:snapToGrid/>
        <w:spacing w:line="600" w:lineRule="exact"/>
        <w:ind w:firstLine="0"/>
        <w:jc w:val="center"/>
        <w:textAlignment w:val="auto"/>
        <w:rPr>
          <w:rFonts w:ascii="宋体" w:hAnsi="宋体" w:eastAsia="宋体"/>
          <w:b/>
          <w:sz w:val="36"/>
          <w:szCs w:val="36"/>
        </w:rPr>
      </w:pPr>
      <w:r>
        <w:rPr>
          <w:rFonts w:hint="eastAsia" w:ascii="宋体" w:hAnsi="宋体" w:eastAsia="宋体"/>
          <w:b/>
          <w:sz w:val="36"/>
          <w:szCs w:val="36"/>
        </w:rPr>
        <w:t>第三部分 浑南区财政事务服务中心202</w:t>
      </w:r>
      <w:r>
        <w:rPr>
          <w:rFonts w:hint="eastAsia" w:ascii="宋体" w:hAnsi="宋体" w:eastAsia="宋体"/>
          <w:b/>
          <w:sz w:val="36"/>
          <w:szCs w:val="36"/>
          <w:lang w:val="en-US" w:eastAsia="zh-CN"/>
        </w:rPr>
        <w:t>1</w:t>
      </w:r>
      <w:r>
        <w:rPr>
          <w:rFonts w:hint="eastAsia" w:ascii="宋体" w:hAnsi="宋体" w:eastAsia="宋体"/>
          <w:b/>
          <w:sz w:val="36"/>
          <w:szCs w:val="36"/>
        </w:rPr>
        <w:t>年部门预算情况说明</w:t>
      </w:r>
    </w:p>
    <w:p w14:paraId="20B71C79">
      <w:pPr>
        <w:pStyle w:val="2"/>
        <w:spacing w:line="600" w:lineRule="exact"/>
        <w:ind w:left="525" w:firstLine="0"/>
        <w:rPr>
          <w:rFonts w:ascii="宋体" w:hAnsi="宋体" w:eastAsia="宋体"/>
          <w:b/>
          <w:sz w:val="36"/>
          <w:szCs w:val="36"/>
        </w:rPr>
      </w:pPr>
    </w:p>
    <w:p w14:paraId="66002F6D">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一、关于浑南区财政事务服务中心202</w:t>
      </w:r>
      <w:r>
        <w:rPr>
          <w:rFonts w:hint="eastAsia" w:ascii="黑体" w:hAnsi="宋体" w:eastAsia="黑体"/>
          <w:b/>
          <w:szCs w:val="32"/>
          <w:lang w:val="en-US" w:eastAsia="zh-CN"/>
        </w:rPr>
        <w:t>1</w:t>
      </w:r>
      <w:r>
        <w:rPr>
          <w:rFonts w:hint="eastAsia" w:ascii="黑体" w:hAnsi="宋体" w:eastAsia="黑体"/>
          <w:b/>
          <w:szCs w:val="32"/>
        </w:rPr>
        <w:t>年收支预算的总体说明</w:t>
      </w:r>
    </w:p>
    <w:p w14:paraId="4633AE12">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按照综合预算的原则，浑南区财政事务服务中心所有收入和支出均纳入部门预算管理。收入包括：财政拨款收入；支出包括：事业运行、基本养老金、事业单位医疗、住房公积金等。浑南区财政事务服务中心202</w:t>
      </w:r>
      <w:r>
        <w:rPr>
          <w:rFonts w:hint="eastAsia" w:ascii="仿宋_GB2312" w:eastAsia="仿宋_GB2312"/>
          <w:sz w:val="32"/>
          <w:szCs w:val="32"/>
          <w:lang w:val="en-US" w:eastAsia="zh-CN"/>
        </w:rPr>
        <w:t>1</w:t>
      </w:r>
      <w:r>
        <w:rPr>
          <w:rFonts w:hint="eastAsia" w:ascii="仿宋_GB2312" w:eastAsia="仿宋_GB2312"/>
          <w:sz w:val="32"/>
          <w:szCs w:val="32"/>
        </w:rPr>
        <w:t>年收支总预算</w:t>
      </w:r>
      <w:r>
        <w:rPr>
          <w:rFonts w:hint="eastAsia" w:ascii="仿宋_GB2312" w:eastAsia="仿宋_GB2312"/>
          <w:color w:val="000000" w:themeColor="text1"/>
          <w:sz w:val="32"/>
          <w:szCs w:val="32"/>
          <w:lang w:val="en-US" w:eastAsia="zh-CN"/>
        </w:rPr>
        <w:t>1534.98</w:t>
      </w:r>
      <w:r>
        <w:rPr>
          <w:rFonts w:hint="eastAsia" w:ascii="仿宋_GB2312" w:eastAsia="仿宋_GB2312"/>
          <w:sz w:val="32"/>
          <w:szCs w:val="32"/>
        </w:rPr>
        <w:t>万元，比</w:t>
      </w:r>
      <w:r>
        <w:rPr>
          <w:rFonts w:hint="eastAsia" w:ascii="仿宋_GB2312" w:eastAsia="仿宋_GB2312"/>
          <w:sz w:val="32"/>
          <w:szCs w:val="32"/>
          <w:lang w:val="en-US" w:eastAsia="zh-CN"/>
        </w:rPr>
        <w:t>2020</w:t>
      </w:r>
      <w:r>
        <w:rPr>
          <w:rFonts w:hint="eastAsia" w:ascii="仿宋_GB2312" w:eastAsia="仿宋_GB2312"/>
          <w:sz w:val="32"/>
          <w:szCs w:val="32"/>
        </w:rPr>
        <w:t>收支总预算</w:t>
      </w:r>
      <w:r>
        <w:rPr>
          <w:rFonts w:hint="eastAsia" w:ascii="仿宋_GB2312" w:hAnsi="宋体" w:eastAsia="仿宋_GB2312"/>
          <w:sz w:val="32"/>
          <w:szCs w:val="32"/>
          <w:lang w:val="en-US" w:eastAsia="zh-CN"/>
        </w:rPr>
        <w:t>1973.10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减少438.12</w:t>
      </w:r>
      <w:r>
        <w:rPr>
          <w:rFonts w:hint="eastAsia" w:ascii="仿宋_GB2312" w:hAnsi="宋体" w:eastAsia="仿宋_GB2312"/>
          <w:sz w:val="32"/>
          <w:szCs w:val="32"/>
        </w:rPr>
        <w:t>万元。主要由于人员经费有所</w:t>
      </w:r>
      <w:r>
        <w:rPr>
          <w:rFonts w:hint="eastAsia" w:ascii="仿宋_GB2312" w:hAnsi="宋体" w:eastAsia="仿宋_GB2312"/>
          <w:sz w:val="32"/>
          <w:szCs w:val="32"/>
          <w:lang w:eastAsia="zh-CN"/>
        </w:rPr>
        <w:t>减少</w:t>
      </w:r>
      <w:r>
        <w:rPr>
          <w:rFonts w:hint="eastAsia" w:ascii="仿宋_GB2312" w:hAnsi="宋体" w:eastAsia="仿宋_GB2312"/>
          <w:sz w:val="32"/>
          <w:szCs w:val="32"/>
        </w:rPr>
        <w:t>。</w:t>
      </w:r>
    </w:p>
    <w:p w14:paraId="4A2DDA26">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二、关于浑南区财政事务服务中心202</w:t>
      </w:r>
      <w:r>
        <w:rPr>
          <w:rFonts w:hint="eastAsia" w:ascii="黑体" w:hAnsi="宋体" w:eastAsia="黑体"/>
          <w:b/>
          <w:szCs w:val="32"/>
          <w:lang w:val="en-US" w:eastAsia="zh-CN"/>
        </w:rPr>
        <w:t>1</w:t>
      </w:r>
      <w:r>
        <w:rPr>
          <w:rFonts w:hint="eastAsia" w:ascii="黑体" w:hAnsi="宋体" w:eastAsia="黑体"/>
          <w:b/>
          <w:szCs w:val="32"/>
        </w:rPr>
        <w:t>年“三公”经费预算情况说明</w:t>
      </w:r>
    </w:p>
    <w:p w14:paraId="0A49CA66">
      <w:pPr>
        <w:pStyle w:val="2"/>
        <w:spacing w:line="600" w:lineRule="exact"/>
        <w:ind w:firstLine="660"/>
        <w:rPr>
          <w:szCs w:val="32"/>
        </w:rPr>
      </w:pPr>
      <w:r>
        <w:rPr>
          <w:rFonts w:hint="eastAsia"/>
          <w:szCs w:val="32"/>
        </w:rPr>
        <w:t>202</w:t>
      </w:r>
      <w:r>
        <w:rPr>
          <w:rFonts w:hint="eastAsia"/>
          <w:szCs w:val="32"/>
          <w:lang w:val="en-US" w:eastAsia="zh-CN"/>
        </w:rPr>
        <w:t>1</w:t>
      </w:r>
      <w:r>
        <w:rPr>
          <w:rFonts w:hint="eastAsia"/>
          <w:szCs w:val="32"/>
        </w:rPr>
        <w:t>年“三公”经费预算安排数0万元，</w:t>
      </w:r>
      <w:r>
        <w:rPr>
          <w:rFonts w:hint="eastAsia" w:hAnsi="宋体"/>
          <w:szCs w:val="32"/>
        </w:rPr>
        <w:t>202</w:t>
      </w:r>
      <w:r>
        <w:rPr>
          <w:rFonts w:hint="eastAsia" w:hAnsi="宋体"/>
          <w:szCs w:val="32"/>
          <w:lang w:val="en-US" w:eastAsia="zh-CN"/>
        </w:rPr>
        <w:t>1</w:t>
      </w:r>
      <w:r>
        <w:rPr>
          <w:rFonts w:hint="eastAsia" w:hAnsi="宋体"/>
          <w:szCs w:val="32"/>
        </w:rPr>
        <w:t>年预算数比20</w:t>
      </w:r>
      <w:r>
        <w:rPr>
          <w:rFonts w:hint="eastAsia" w:hAnsi="宋体"/>
          <w:szCs w:val="32"/>
          <w:lang w:val="en-US" w:eastAsia="zh-CN"/>
        </w:rPr>
        <w:t>20</w:t>
      </w:r>
      <w:r>
        <w:rPr>
          <w:rFonts w:hint="eastAsia" w:hAnsi="宋体"/>
          <w:szCs w:val="32"/>
        </w:rPr>
        <w:t>年预算</w:t>
      </w:r>
      <w:r>
        <w:rPr>
          <w:rFonts w:hint="eastAsia" w:hAnsi="宋体"/>
          <w:szCs w:val="32"/>
          <w:lang w:eastAsia="zh-CN"/>
        </w:rPr>
        <w:t>无增加减少</w:t>
      </w:r>
      <w:r>
        <w:rPr>
          <w:rFonts w:hint="eastAsia" w:hAnsi="宋体"/>
          <w:szCs w:val="32"/>
        </w:rPr>
        <w:t>，主要由于</w:t>
      </w:r>
      <w:r>
        <w:rPr>
          <w:rFonts w:hint="eastAsia"/>
          <w:szCs w:val="32"/>
        </w:rPr>
        <w:t>浑南区财政事务服务中心将按照中央及省委、省政府关于厉行节约、改进工作作风、密切联系群众</w:t>
      </w:r>
      <w:bookmarkStart w:id="0" w:name="_GoBack"/>
      <w:bookmarkEnd w:id="0"/>
      <w:r>
        <w:rPr>
          <w:rFonts w:hint="eastAsia"/>
          <w:szCs w:val="32"/>
          <w:lang w:eastAsia="zh-CN"/>
        </w:rPr>
        <w:t>中央八项规定</w:t>
      </w:r>
      <w:r>
        <w:rPr>
          <w:rFonts w:hint="eastAsia"/>
          <w:szCs w:val="32"/>
        </w:rPr>
        <w:t>等有关要求，严格控制“三公”经费支出。</w:t>
      </w:r>
    </w:p>
    <w:p w14:paraId="5C7A0C48">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1550CED0">
      <w:pPr>
        <w:numPr>
          <w:ilvl w:val="0"/>
          <w:numId w:val="3"/>
        </w:numPr>
        <w:rPr>
          <w:rFonts w:ascii="楷体_GB2312" w:hAnsi="宋体" w:eastAsia="楷体_GB2312"/>
          <w:sz w:val="32"/>
        </w:rPr>
      </w:pPr>
      <w:r>
        <w:rPr>
          <w:rFonts w:hint="eastAsia" w:ascii="楷体_GB2312" w:hAnsi="宋体" w:eastAsia="楷体_GB2312"/>
          <w:sz w:val="32"/>
          <w:lang w:eastAsia="zh-CN"/>
        </w:rPr>
        <w:t>机关运行</w:t>
      </w:r>
      <w:r>
        <w:rPr>
          <w:rFonts w:hint="eastAsia" w:ascii="楷体_GB2312" w:hAnsi="宋体" w:eastAsia="楷体_GB2312"/>
          <w:sz w:val="32"/>
        </w:rPr>
        <w:t>经费安排情况。</w:t>
      </w:r>
    </w:p>
    <w:p w14:paraId="0546C146">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年浑南区财政事务服务中心属于事业单位，无机关运行经费。</w:t>
      </w:r>
    </w:p>
    <w:p w14:paraId="18D87D9C">
      <w:pPr>
        <w:rPr>
          <w:rFonts w:ascii="楷体_GB2312" w:hAnsi="宋体" w:eastAsia="楷体_GB2312"/>
          <w:sz w:val="32"/>
        </w:rPr>
      </w:pPr>
    </w:p>
    <w:p w14:paraId="61269616">
      <w:pPr>
        <w:ind w:firstLine="645"/>
        <w:rPr>
          <w:rFonts w:ascii="仿宋_GB2312" w:hAnsi="宋体" w:eastAsia="仿宋_GB2312"/>
          <w:sz w:val="32"/>
        </w:rPr>
      </w:pPr>
      <w:r>
        <w:rPr>
          <w:rFonts w:hint="eastAsia" w:ascii="楷体_GB2312" w:hAnsi="宋体" w:eastAsia="楷体_GB2312"/>
          <w:sz w:val="32"/>
        </w:rPr>
        <w:t>（二）政府采购预算安排情况。</w:t>
      </w:r>
    </w:p>
    <w:p w14:paraId="4E974580">
      <w:pPr>
        <w:ind w:firstLine="645"/>
        <w:rPr>
          <w:rFonts w:ascii="仿宋_GB2312" w:hAnsi="宋体" w:eastAsia="仿宋_GB2312"/>
          <w:sz w:val="32"/>
        </w:rPr>
      </w:pPr>
      <w:r>
        <w:rPr>
          <w:rFonts w:hint="eastAsia" w:ascii="仿宋_GB2312" w:hAnsi="宋体" w:eastAsia="仿宋_GB2312"/>
          <w:sz w:val="32"/>
        </w:rPr>
        <w:t>202</w:t>
      </w:r>
      <w:r>
        <w:rPr>
          <w:rFonts w:hint="eastAsia" w:ascii="仿宋_GB2312" w:hAnsi="宋体" w:eastAsia="仿宋_GB2312"/>
          <w:sz w:val="32"/>
          <w:lang w:val="en-US" w:eastAsia="zh-CN"/>
        </w:rPr>
        <w:t>1</w:t>
      </w:r>
      <w:r>
        <w:rPr>
          <w:rFonts w:hint="eastAsia" w:ascii="仿宋_GB2312" w:hAnsi="宋体" w:eastAsia="仿宋_GB2312"/>
          <w:sz w:val="32"/>
        </w:rPr>
        <w:t>年沈阳市浑南区财政事务服务中心</w:t>
      </w:r>
      <w:r>
        <w:rPr>
          <w:rFonts w:hint="eastAsia" w:ascii="仿宋_GB2312" w:hAnsi="宋体" w:eastAsia="仿宋_GB2312"/>
          <w:sz w:val="32"/>
          <w:szCs w:val="32"/>
        </w:rPr>
        <w:t>政府采购预算总额0万元</w:t>
      </w:r>
      <w:r>
        <w:rPr>
          <w:rFonts w:hint="eastAsia" w:ascii="仿宋_GB2312" w:hAnsi="宋体" w:eastAsia="仿宋_GB2312"/>
          <w:sz w:val="32"/>
        </w:rPr>
        <w:t>。</w:t>
      </w:r>
    </w:p>
    <w:p w14:paraId="0576085B">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7800488A">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截至2020年底，</w:t>
      </w:r>
      <w:r>
        <w:rPr>
          <w:rFonts w:hint="eastAsia" w:ascii="仿宋_GB2312" w:hAnsi="宋体" w:eastAsia="仿宋_GB2312"/>
          <w:sz w:val="32"/>
        </w:rPr>
        <w:t>沈阳市浑南区财政事务服务中心</w:t>
      </w:r>
      <w:r>
        <w:rPr>
          <w:rFonts w:hint="eastAsia" w:ascii="仿宋_GB2312" w:hAnsi="宋体" w:eastAsia="仿宋_GB2312"/>
          <w:sz w:val="32"/>
          <w:szCs w:val="32"/>
        </w:rPr>
        <w:t>共有车辆0辆。单位价值200万元以上大型设备0台。</w:t>
      </w:r>
    </w:p>
    <w:p w14:paraId="607B351D">
      <w:pPr>
        <w:ind w:firstLine="645"/>
        <w:rPr>
          <w:rFonts w:hint="eastAsia" w:ascii="仿宋_GB2312" w:hAnsi="宋体" w:eastAsia="仿宋_GB2312"/>
          <w:sz w:val="32"/>
          <w:szCs w:val="32"/>
        </w:rPr>
      </w:pPr>
      <w:r>
        <w:rPr>
          <w:rFonts w:hint="eastAsia" w:ascii="仿宋_GB2312" w:hAnsi="宋体" w:eastAsia="仿宋_GB2312"/>
          <w:sz w:val="32"/>
          <w:szCs w:val="32"/>
        </w:rPr>
        <w:t>2021部门预算没有安排车辆及价值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万元以上大型设备购置。</w:t>
      </w:r>
    </w:p>
    <w:p w14:paraId="44ECDFFF">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1A24A8C">
      <w:pPr>
        <w:ind w:firstLine="645"/>
        <w:rPr>
          <w:rFonts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092867A2">
      <w:pPr>
        <w:ind w:firstLine="645"/>
        <w:rPr>
          <w:rFonts w:ascii="仿宋_GB2312" w:hAnsi="宋体" w:eastAsia="仿宋_GB2312"/>
          <w:sz w:val="32"/>
        </w:rPr>
      </w:pPr>
    </w:p>
    <w:p w14:paraId="54690EBA">
      <w:pPr>
        <w:ind w:firstLine="645"/>
        <w:rPr>
          <w:rFonts w:ascii="仿宋_GB2312" w:hAnsi="宋体" w:eastAsia="仿宋_GB2312"/>
          <w:sz w:val="32"/>
        </w:rPr>
      </w:pPr>
    </w:p>
    <w:p w14:paraId="5F68B3F6">
      <w:pPr>
        <w:pStyle w:val="2"/>
        <w:spacing w:line="600" w:lineRule="exact"/>
        <w:ind w:firstLine="708" w:firstLineChars="196"/>
        <w:rPr>
          <w:rFonts w:ascii="宋体" w:hAnsi="宋体" w:eastAsia="宋体"/>
          <w:b/>
          <w:sz w:val="36"/>
          <w:szCs w:val="36"/>
        </w:rPr>
      </w:pPr>
    </w:p>
    <w:p w14:paraId="1DF70EEB">
      <w:pPr>
        <w:pStyle w:val="2"/>
        <w:spacing w:line="600" w:lineRule="exact"/>
        <w:ind w:firstLine="0"/>
        <w:jc w:val="center"/>
        <w:rPr>
          <w:rFonts w:ascii="宋体" w:hAnsi="宋体" w:eastAsia="宋体"/>
          <w:b/>
          <w:sz w:val="36"/>
          <w:szCs w:val="36"/>
        </w:rPr>
      </w:pPr>
    </w:p>
    <w:p w14:paraId="37F819BE">
      <w:pPr>
        <w:pStyle w:val="2"/>
        <w:spacing w:line="600" w:lineRule="exact"/>
        <w:ind w:firstLine="0"/>
        <w:jc w:val="center"/>
        <w:rPr>
          <w:rFonts w:ascii="宋体" w:hAnsi="宋体" w:eastAsia="宋体"/>
          <w:b/>
          <w:sz w:val="36"/>
          <w:szCs w:val="36"/>
        </w:rPr>
      </w:pPr>
    </w:p>
    <w:p w14:paraId="08020622">
      <w:pPr>
        <w:pStyle w:val="2"/>
        <w:spacing w:line="600" w:lineRule="exact"/>
        <w:ind w:firstLine="0"/>
        <w:jc w:val="center"/>
        <w:rPr>
          <w:rFonts w:ascii="宋体" w:hAnsi="宋体" w:eastAsia="宋体"/>
          <w:b/>
          <w:sz w:val="36"/>
          <w:szCs w:val="36"/>
        </w:rPr>
      </w:pPr>
    </w:p>
    <w:p w14:paraId="1BA5EF10">
      <w:pPr>
        <w:pStyle w:val="2"/>
        <w:spacing w:line="600" w:lineRule="exact"/>
        <w:ind w:firstLine="0"/>
        <w:jc w:val="center"/>
        <w:rPr>
          <w:rFonts w:ascii="宋体" w:hAnsi="宋体" w:eastAsia="宋体"/>
          <w:b/>
          <w:sz w:val="36"/>
          <w:szCs w:val="36"/>
        </w:rPr>
      </w:pPr>
    </w:p>
    <w:p w14:paraId="188CC11E">
      <w:pPr>
        <w:pStyle w:val="2"/>
        <w:spacing w:line="600" w:lineRule="exact"/>
        <w:ind w:firstLine="0"/>
        <w:jc w:val="center"/>
        <w:rPr>
          <w:rFonts w:ascii="宋体" w:hAnsi="宋体" w:eastAsia="宋体"/>
          <w:b/>
          <w:sz w:val="36"/>
          <w:szCs w:val="36"/>
        </w:rPr>
      </w:pPr>
    </w:p>
    <w:p w14:paraId="7D4A4170">
      <w:pPr>
        <w:pStyle w:val="2"/>
        <w:spacing w:line="600" w:lineRule="exact"/>
        <w:ind w:firstLine="0"/>
        <w:jc w:val="center"/>
        <w:rPr>
          <w:rFonts w:ascii="宋体" w:hAnsi="宋体" w:eastAsia="宋体"/>
          <w:b/>
          <w:sz w:val="36"/>
          <w:szCs w:val="36"/>
        </w:rPr>
      </w:pPr>
    </w:p>
    <w:p w14:paraId="6A7C5C30">
      <w:pPr>
        <w:pStyle w:val="2"/>
        <w:spacing w:line="600" w:lineRule="exact"/>
        <w:ind w:firstLine="0"/>
        <w:jc w:val="center"/>
        <w:rPr>
          <w:rFonts w:ascii="宋体" w:hAnsi="宋体" w:eastAsia="宋体"/>
          <w:b/>
          <w:sz w:val="36"/>
          <w:szCs w:val="36"/>
        </w:rPr>
      </w:pPr>
    </w:p>
    <w:p w14:paraId="23C5AFAE">
      <w:pPr>
        <w:pStyle w:val="2"/>
        <w:spacing w:line="600" w:lineRule="exact"/>
        <w:ind w:firstLine="0"/>
        <w:rPr>
          <w:rFonts w:ascii="宋体" w:hAnsi="宋体" w:eastAsia="宋体"/>
          <w:b/>
          <w:sz w:val="36"/>
          <w:szCs w:val="36"/>
        </w:rPr>
      </w:pPr>
    </w:p>
    <w:p w14:paraId="12912EDF">
      <w:pPr>
        <w:pStyle w:val="2"/>
        <w:spacing w:line="600" w:lineRule="exact"/>
        <w:ind w:firstLine="0"/>
        <w:jc w:val="center"/>
        <w:rPr>
          <w:rFonts w:ascii="宋体" w:hAnsi="宋体" w:eastAsia="宋体"/>
          <w:b/>
          <w:sz w:val="36"/>
          <w:szCs w:val="36"/>
        </w:rPr>
      </w:pPr>
    </w:p>
    <w:p w14:paraId="7DE5873C">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14:paraId="166FB423">
      <w:pPr>
        <w:pStyle w:val="2"/>
        <w:spacing w:line="600" w:lineRule="exact"/>
        <w:ind w:firstLine="660"/>
        <w:rPr>
          <w:szCs w:val="32"/>
        </w:rPr>
      </w:pPr>
    </w:p>
    <w:p w14:paraId="48CADD3F">
      <w:pPr>
        <w:pStyle w:val="2"/>
        <w:spacing w:line="600" w:lineRule="exact"/>
        <w:ind w:left="525" w:leftChars="250" w:firstLine="640" w:firstLineChars="200"/>
        <w:rPr>
          <w:szCs w:val="32"/>
        </w:rPr>
      </w:pPr>
      <w:r>
        <w:rPr>
          <w:rFonts w:hint="eastAsia"/>
          <w:szCs w:val="32"/>
        </w:rPr>
        <w:t>1.财政拨款收入：指区级财政当年拨付的资金。</w:t>
      </w:r>
    </w:p>
    <w:p w14:paraId="64CEE772">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794C0A02">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3AB2D825">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4EC64CE2">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0DEBE6DF">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72CBB8A3">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7A3966AF">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5783FE69">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76C63651">
      <w:r>
        <w:rPr>
          <w:rFonts w:hint="eastAsia"/>
        </w:rPr>
        <w:t xml:space="preserve">  </w:t>
      </w:r>
    </w:p>
    <w:p w14:paraId="6B6D234C">
      <w:pPr>
        <w:pStyle w:val="2"/>
        <w:spacing w:line="600" w:lineRule="exact"/>
        <w:ind w:firstLine="0"/>
        <w:rPr>
          <w:szCs w:val="32"/>
        </w:rPr>
      </w:pPr>
    </w:p>
    <w:p w14:paraId="69D8EE12"/>
    <w:p w14:paraId="03124093">
      <w:pPr>
        <w:rPr>
          <w:rFonts w:ascii="仿宋_GB2312" w:eastAsia="仿宋_GB2312"/>
          <w:b/>
          <w:sz w:val="32"/>
          <w:szCs w:val="32"/>
        </w:rPr>
      </w:pPr>
    </w:p>
    <w:p w14:paraId="52E6351E"/>
    <w:p w14:paraId="70AB6F81"/>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C50B1">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14:paraId="50E0937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F972D">
    <w:pPr>
      <w:pStyle w:val="3"/>
      <w:framePr w:wrap="around" w:vAnchor="text" w:hAnchor="margin" w:xAlign="center" w:y="1"/>
      <w:rPr>
        <w:rStyle w:val="7"/>
      </w:rPr>
    </w:pPr>
    <w:r>
      <w:fldChar w:fldCharType="begin"/>
    </w:r>
    <w:r>
      <w:rPr>
        <w:rStyle w:val="7"/>
      </w:rPr>
      <w:instrText xml:space="preserve">PAGE  </w:instrText>
    </w:r>
    <w:r>
      <w:fldChar w:fldCharType="end"/>
    </w:r>
  </w:p>
  <w:p w14:paraId="73BD29A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00213578"/>
    <w:rsid w:val="00070145"/>
    <w:rsid w:val="00122F02"/>
    <w:rsid w:val="00173855"/>
    <w:rsid w:val="00201735"/>
    <w:rsid w:val="00213578"/>
    <w:rsid w:val="003C19A6"/>
    <w:rsid w:val="004138CD"/>
    <w:rsid w:val="004B555B"/>
    <w:rsid w:val="004C4B19"/>
    <w:rsid w:val="007016AC"/>
    <w:rsid w:val="00802FB8"/>
    <w:rsid w:val="008172FB"/>
    <w:rsid w:val="008F0A63"/>
    <w:rsid w:val="00B712CA"/>
    <w:rsid w:val="00BE0FB4"/>
    <w:rsid w:val="00DB4F50"/>
    <w:rsid w:val="00EB2145"/>
    <w:rsid w:val="00F349A7"/>
    <w:rsid w:val="00F50631"/>
    <w:rsid w:val="00F90514"/>
    <w:rsid w:val="00FE33DC"/>
    <w:rsid w:val="00FF78E3"/>
    <w:rsid w:val="0F9870A4"/>
    <w:rsid w:val="1511796A"/>
    <w:rsid w:val="16C43748"/>
    <w:rsid w:val="28982194"/>
    <w:rsid w:val="2D2843A4"/>
    <w:rsid w:val="2D423FA9"/>
    <w:rsid w:val="32470985"/>
    <w:rsid w:val="3D397AC6"/>
    <w:rsid w:val="3F1C6D64"/>
    <w:rsid w:val="4FAE0CD3"/>
    <w:rsid w:val="4FE55FB4"/>
    <w:rsid w:val="4FF4795C"/>
    <w:rsid w:val="537B5E34"/>
    <w:rsid w:val="58815048"/>
    <w:rsid w:val="5B216CA6"/>
    <w:rsid w:val="5BA66AED"/>
    <w:rsid w:val="5F125085"/>
    <w:rsid w:val="6486350C"/>
    <w:rsid w:val="6F646AC3"/>
    <w:rsid w:val="73301E25"/>
    <w:rsid w:val="746F7485"/>
    <w:rsid w:val="74D92D89"/>
    <w:rsid w:val="7BBC5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2621</Words>
  <Characters>2736</Characters>
  <Lines>19</Lines>
  <Paragraphs>5</Paragraphs>
  <TotalTime>1</TotalTime>
  <ScaleCrop>false</ScaleCrop>
  <LinksUpToDate>false</LinksUpToDate>
  <CharactersWithSpaces>2758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2019-01-28T02:39:00Z</dcterms:created>
  <dc:creator>SDWM</dc:creator>
  <cp:lastModifiedBy>杨洋</cp:lastModifiedBy>
  <cp:lastPrinted>2019-01-28T06:49:00Z</cp:lastPrinted>
  <dcterms:modified xsi:type="dcterms:W3CDTF">2024-10-24T02:20:42Z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21263B8BDB284AD4824A18B3F0E13DC9</vt:lpwstr>
  </property>
</Properties>
</file>