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8BA6D">
      <w:pPr>
        <w:jc w:val="center"/>
        <w:rPr>
          <w:b/>
          <w:sz w:val="44"/>
          <w:szCs w:val="44"/>
          <w:u w:val="single"/>
        </w:rPr>
      </w:pPr>
      <w:bookmarkStart w:id="1" w:name="_GoBack"/>
      <w:bookmarkEnd w:id="1"/>
    </w:p>
    <w:p w14:paraId="4857D484">
      <w:pPr>
        <w:jc w:val="center"/>
        <w:rPr>
          <w:b/>
          <w:sz w:val="44"/>
          <w:szCs w:val="44"/>
          <w:u w:val="single"/>
        </w:rPr>
      </w:pPr>
    </w:p>
    <w:p w14:paraId="3D260C65">
      <w:pPr>
        <w:jc w:val="center"/>
        <w:rPr>
          <w:b/>
          <w:sz w:val="44"/>
          <w:szCs w:val="44"/>
          <w:u w:val="single"/>
        </w:rPr>
      </w:pPr>
    </w:p>
    <w:p w14:paraId="78528010">
      <w:pPr>
        <w:jc w:val="center"/>
        <w:rPr>
          <w:b/>
          <w:sz w:val="44"/>
          <w:szCs w:val="44"/>
          <w:u w:val="single"/>
        </w:rPr>
      </w:pPr>
    </w:p>
    <w:p w14:paraId="1A83326A">
      <w:pPr>
        <w:jc w:val="center"/>
        <w:rPr>
          <w:b/>
          <w:sz w:val="44"/>
          <w:szCs w:val="44"/>
          <w:u w:val="single"/>
        </w:rPr>
      </w:pPr>
    </w:p>
    <w:p w14:paraId="72EEE193">
      <w:pPr>
        <w:jc w:val="center"/>
        <w:rPr>
          <w:b/>
          <w:sz w:val="44"/>
          <w:szCs w:val="44"/>
          <w:u w:val="single"/>
        </w:rPr>
      </w:pPr>
    </w:p>
    <w:p w14:paraId="5B3CE147">
      <w:pPr>
        <w:jc w:val="center"/>
        <w:rPr>
          <w:rFonts w:ascii="楷体" w:hAnsi="楷体" w:eastAsia="楷体"/>
          <w:b/>
          <w:sz w:val="52"/>
          <w:szCs w:val="52"/>
        </w:rPr>
      </w:pPr>
      <w:r>
        <w:rPr>
          <w:rFonts w:hint="eastAsia" w:ascii="楷体" w:hAnsi="楷体" w:eastAsia="楷体"/>
          <w:b/>
          <w:sz w:val="52"/>
          <w:szCs w:val="52"/>
        </w:rPr>
        <w:t>沈阳市浑南区林业局</w:t>
      </w:r>
    </w:p>
    <w:p w14:paraId="2353CBC7">
      <w:pPr>
        <w:jc w:val="center"/>
        <w:rPr>
          <w:rFonts w:ascii="楷体" w:hAnsi="楷体" w:eastAsia="楷体"/>
          <w:b/>
          <w:sz w:val="52"/>
          <w:szCs w:val="52"/>
        </w:rPr>
      </w:pPr>
      <w:r>
        <w:rPr>
          <w:rFonts w:hint="eastAsia" w:ascii="楷体" w:hAnsi="楷体" w:eastAsia="楷体"/>
          <w:b/>
          <w:sz w:val="52"/>
          <w:szCs w:val="52"/>
        </w:rPr>
        <w:t>2019年部门预算</w:t>
      </w:r>
    </w:p>
    <w:p w14:paraId="6CD43C09">
      <w:pPr>
        <w:jc w:val="center"/>
        <w:rPr>
          <w:rFonts w:ascii="楷体" w:hAnsi="楷体" w:eastAsia="楷体"/>
          <w:b/>
          <w:sz w:val="52"/>
          <w:szCs w:val="52"/>
        </w:rPr>
      </w:pPr>
      <w:r>
        <w:rPr>
          <w:rFonts w:hint="eastAsia" w:ascii="楷体" w:hAnsi="楷体" w:eastAsia="楷体"/>
          <w:b/>
          <w:sz w:val="52"/>
          <w:szCs w:val="52"/>
        </w:rPr>
        <w:t>（含“三公”经费预算）</w:t>
      </w:r>
    </w:p>
    <w:p w14:paraId="33700202">
      <w:pPr>
        <w:jc w:val="center"/>
        <w:rPr>
          <w:b/>
          <w:sz w:val="44"/>
          <w:szCs w:val="44"/>
          <w:u w:val="single"/>
        </w:rPr>
      </w:pPr>
    </w:p>
    <w:p w14:paraId="34FBBD91">
      <w:pPr>
        <w:jc w:val="center"/>
        <w:rPr>
          <w:b/>
          <w:sz w:val="44"/>
          <w:szCs w:val="44"/>
          <w:u w:val="single"/>
        </w:rPr>
      </w:pPr>
    </w:p>
    <w:p w14:paraId="255161D0">
      <w:pPr>
        <w:jc w:val="center"/>
        <w:rPr>
          <w:b/>
          <w:sz w:val="44"/>
          <w:szCs w:val="44"/>
          <w:u w:val="single"/>
        </w:rPr>
      </w:pPr>
    </w:p>
    <w:p w14:paraId="4B8DD4FB">
      <w:pPr>
        <w:jc w:val="center"/>
        <w:rPr>
          <w:b/>
          <w:sz w:val="44"/>
          <w:szCs w:val="44"/>
          <w:u w:val="single"/>
        </w:rPr>
      </w:pPr>
    </w:p>
    <w:p w14:paraId="5DC36B5B">
      <w:pPr>
        <w:jc w:val="center"/>
        <w:rPr>
          <w:b/>
          <w:sz w:val="44"/>
          <w:szCs w:val="44"/>
          <w:u w:val="single"/>
        </w:rPr>
      </w:pPr>
    </w:p>
    <w:p w14:paraId="39899BE0">
      <w:pPr>
        <w:jc w:val="center"/>
        <w:rPr>
          <w:b/>
          <w:sz w:val="44"/>
          <w:szCs w:val="44"/>
          <w:u w:val="single"/>
        </w:rPr>
      </w:pPr>
    </w:p>
    <w:p w14:paraId="682C765A">
      <w:pPr>
        <w:jc w:val="center"/>
        <w:rPr>
          <w:b/>
          <w:sz w:val="44"/>
          <w:szCs w:val="44"/>
          <w:u w:val="single"/>
        </w:rPr>
      </w:pPr>
    </w:p>
    <w:p w14:paraId="759B22A4">
      <w:pPr>
        <w:jc w:val="center"/>
        <w:rPr>
          <w:b/>
          <w:sz w:val="44"/>
          <w:szCs w:val="44"/>
          <w:u w:val="single"/>
        </w:rPr>
      </w:pPr>
    </w:p>
    <w:p w14:paraId="1A30C6F3">
      <w:pPr>
        <w:jc w:val="center"/>
        <w:rPr>
          <w:b/>
          <w:sz w:val="44"/>
          <w:szCs w:val="44"/>
          <w:u w:val="single"/>
        </w:rPr>
      </w:pPr>
    </w:p>
    <w:p w14:paraId="47F99C0F">
      <w:pPr>
        <w:jc w:val="center"/>
        <w:rPr>
          <w:b/>
          <w:sz w:val="44"/>
          <w:szCs w:val="44"/>
          <w:u w:val="single"/>
        </w:rPr>
      </w:pPr>
    </w:p>
    <w:p w14:paraId="1843ED9B">
      <w:pPr>
        <w:rPr>
          <w:b/>
          <w:sz w:val="44"/>
          <w:szCs w:val="44"/>
        </w:rPr>
      </w:pPr>
    </w:p>
    <w:p w14:paraId="5CE97ABD">
      <w:pPr>
        <w:jc w:val="center"/>
        <w:rPr>
          <w:b/>
          <w:sz w:val="44"/>
          <w:szCs w:val="44"/>
        </w:rPr>
      </w:pPr>
      <w:r>
        <w:rPr>
          <w:rFonts w:hint="eastAsia"/>
          <w:b/>
          <w:sz w:val="44"/>
          <w:szCs w:val="44"/>
        </w:rPr>
        <w:t>目    录</w:t>
      </w:r>
    </w:p>
    <w:p w14:paraId="60DAF8DD">
      <w:pPr>
        <w:rPr>
          <w:b/>
          <w:sz w:val="44"/>
          <w:szCs w:val="44"/>
          <w:u w:val="single"/>
        </w:rPr>
      </w:pPr>
    </w:p>
    <w:p w14:paraId="34905806">
      <w:pPr>
        <w:rPr>
          <w:b/>
          <w:sz w:val="44"/>
          <w:szCs w:val="44"/>
          <w:u w:val="single"/>
        </w:rPr>
      </w:pPr>
    </w:p>
    <w:p w14:paraId="44540698">
      <w:pPr>
        <w:rPr>
          <w:rFonts w:ascii="黑体" w:hAnsi="黑体" w:eastAsia="黑体"/>
          <w:sz w:val="32"/>
          <w:szCs w:val="32"/>
        </w:rPr>
      </w:pPr>
      <w:r>
        <w:rPr>
          <w:rFonts w:hint="eastAsia" w:ascii="黑体" w:hAnsi="黑体" w:eastAsia="黑体"/>
          <w:sz w:val="32"/>
          <w:szCs w:val="32"/>
        </w:rPr>
        <w:t>第一部分   沈阳市浑南区林业局概况</w:t>
      </w:r>
    </w:p>
    <w:p w14:paraId="456FAD28">
      <w:pPr>
        <w:numPr>
          <w:ilvl w:val="0"/>
          <w:numId w:val="1"/>
        </w:numPr>
        <w:rPr>
          <w:rFonts w:ascii="仿宋_GB2312" w:hAnsi="黑体" w:eastAsia="仿宋_GB2312"/>
          <w:sz w:val="32"/>
          <w:szCs w:val="32"/>
        </w:rPr>
      </w:pPr>
      <w:r>
        <w:rPr>
          <w:rFonts w:hint="eastAsia" w:ascii="仿宋_GB2312" w:hAnsi="黑体" w:eastAsia="仿宋_GB2312"/>
          <w:sz w:val="32"/>
          <w:szCs w:val="32"/>
        </w:rPr>
        <w:t>主要职责</w:t>
      </w:r>
    </w:p>
    <w:p w14:paraId="2E46F033">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14:paraId="3C9F9FE9">
      <w:pPr>
        <w:rPr>
          <w:rFonts w:ascii="黑体" w:hAnsi="黑体" w:eastAsia="黑体"/>
          <w:sz w:val="32"/>
          <w:szCs w:val="32"/>
        </w:rPr>
      </w:pPr>
      <w:r>
        <w:rPr>
          <w:rFonts w:hint="eastAsia" w:ascii="黑体" w:hAnsi="黑体" w:eastAsia="黑体"/>
          <w:sz w:val="32"/>
          <w:szCs w:val="32"/>
        </w:rPr>
        <w:t>第二部分   沈阳市浑南区林业局2019年部门预算公开表</w:t>
      </w:r>
    </w:p>
    <w:p w14:paraId="2AF10880">
      <w:pPr>
        <w:rPr>
          <w:rFonts w:ascii="仿宋_GB2312" w:hAnsi="黑体" w:eastAsia="仿宋_GB2312"/>
          <w:sz w:val="32"/>
          <w:szCs w:val="32"/>
        </w:rPr>
      </w:pPr>
      <w:r>
        <w:rPr>
          <w:rFonts w:hint="eastAsia" w:ascii="仿宋_GB2312" w:hAnsi="黑体" w:eastAsia="仿宋_GB2312"/>
          <w:sz w:val="32"/>
          <w:szCs w:val="32"/>
        </w:rPr>
        <w:t>表1.部门收支总表</w:t>
      </w:r>
    </w:p>
    <w:p w14:paraId="36AF2D5B">
      <w:pPr>
        <w:rPr>
          <w:rFonts w:ascii="仿宋_GB2312" w:hAnsi="黑体" w:eastAsia="仿宋_GB2312"/>
          <w:sz w:val="32"/>
          <w:szCs w:val="32"/>
        </w:rPr>
      </w:pPr>
      <w:r>
        <w:rPr>
          <w:rFonts w:hint="eastAsia" w:ascii="仿宋_GB2312" w:hAnsi="黑体" w:eastAsia="仿宋_GB2312"/>
          <w:sz w:val="32"/>
          <w:szCs w:val="32"/>
        </w:rPr>
        <w:t>表2.</w:t>
      </w:r>
      <w:r>
        <w:rPr>
          <w:rFonts w:hint="eastAsia"/>
        </w:rPr>
        <w:t xml:space="preserve"> </w:t>
      </w:r>
      <w:r>
        <w:rPr>
          <w:rFonts w:hint="eastAsia" w:ascii="仿宋_GB2312" w:hAnsi="黑体" w:eastAsia="仿宋_GB2312"/>
          <w:sz w:val="32"/>
          <w:szCs w:val="32"/>
        </w:rPr>
        <w:t>部门收入总表</w:t>
      </w:r>
    </w:p>
    <w:p w14:paraId="71C14EA0">
      <w:pPr>
        <w:rPr>
          <w:rFonts w:ascii="仿宋_GB2312" w:hAnsi="黑体" w:eastAsia="仿宋_GB2312"/>
          <w:sz w:val="32"/>
          <w:szCs w:val="32"/>
        </w:rPr>
      </w:pPr>
      <w:r>
        <w:rPr>
          <w:rFonts w:hint="eastAsia" w:ascii="仿宋_GB2312" w:hAnsi="黑体" w:eastAsia="仿宋_GB2312"/>
          <w:sz w:val="32"/>
          <w:szCs w:val="32"/>
        </w:rPr>
        <w:t>表3.部门支出总表</w:t>
      </w:r>
    </w:p>
    <w:p w14:paraId="3E549B51">
      <w:pPr>
        <w:rPr>
          <w:rFonts w:ascii="仿宋_GB2312" w:hAnsi="黑体" w:eastAsia="仿宋_GB2312"/>
          <w:sz w:val="32"/>
          <w:szCs w:val="32"/>
        </w:rPr>
      </w:pPr>
      <w:r>
        <w:rPr>
          <w:rFonts w:hint="eastAsia" w:ascii="仿宋_GB2312" w:hAnsi="黑体" w:eastAsia="仿宋_GB2312"/>
          <w:sz w:val="32"/>
          <w:szCs w:val="32"/>
        </w:rPr>
        <w:t>表4.财政拨款收支总表</w:t>
      </w:r>
    </w:p>
    <w:p w14:paraId="45F31B2E">
      <w:pPr>
        <w:rPr>
          <w:rFonts w:ascii="仿宋_GB2312" w:hAnsi="黑体" w:eastAsia="仿宋_GB2312"/>
          <w:sz w:val="32"/>
          <w:szCs w:val="32"/>
        </w:rPr>
      </w:pPr>
      <w:r>
        <w:rPr>
          <w:rFonts w:hint="eastAsia" w:ascii="仿宋_GB2312" w:hAnsi="黑体" w:eastAsia="仿宋_GB2312"/>
          <w:sz w:val="32"/>
          <w:szCs w:val="32"/>
        </w:rPr>
        <w:t>表5.一般公共预算支出表</w:t>
      </w:r>
    </w:p>
    <w:p w14:paraId="36DF9205">
      <w:pPr>
        <w:rPr>
          <w:rFonts w:ascii="仿宋_GB2312" w:hAnsi="黑体" w:eastAsia="仿宋_GB2312"/>
          <w:sz w:val="32"/>
          <w:szCs w:val="32"/>
        </w:rPr>
      </w:pPr>
      <w:r>
        <w:rPr>
          <w:rFonts w:hint="eastAsia" w:ascii="仿宋_GB2312" w:hAnsi="黑体" w:eastAsia="仿宋_GB2312"/>
          <w:sz w:val="32"/>
          <w:szCs w:val="32"/>
        </w:rPr>
        <w:t>表6.预算内财力支出预算表</w:t>
      </w:r>
    </w:p>
    <w:p w14:paraId="3E3E1845">
      <w:pPr>
        <w:rPr>
          <w:rFonts w:ascii="仿宋_GB2312" w:hAnsi="黑体" w:eastAsia="仿宋_GB2312"/>
          <w:sz w:val="32"/>
          <w:szCs w:val="32"/>
        </w:rPr>
      </w:pPr>
      <w:r>
        <w:rPr>
          <w:rFonts w:hint="eastAsia" w:ascii="仿宋_GB2312" w:hAnsi="黑体" w:eastAsia="仿宋_GB2312"/>
          <w:sz w:val="32"/>
          <w:szCs w:val="32"/>
        </w:rPr>
        <w:t>表7.一般公共预算基本支出表</w:t>
      </w:r>
    </w:p>
    <w:p w14:paraId="7FBF47C5">
      <w:pPr>
        <w:rPr>
          <w:rFonts w:ascii="仿宋_GB2312" w:hAnsi="黑体" w:eastAsia="仿宋_GB2312"/>
          <w:sz w:val="32"/>
          <w:szCs w:val="32"/>
        </w:rPr>
      </w:pPr>
      <w:r>
        <w:rPr>
          <w:rFonts w:hint="eastAsia" w:ascii="仿宋_GB2312" w:hAnsi="黑体" w:eastAsia="仿宋_GB2312"/>
          <w:sz w:val="32"/>
          <w:szCs w:val="32"/>
        </w:rPr>
        <w:t>表8.政府性基金预算支出表</w:t>
      </w:r>
    </w:p>
    <w:p w14:paraId="7FB52D8A">
      <w:pPr>
        <w:rPr>
          <w:rFonts w:ascii="仿宋_GB2312" w:hAnsi="黑体" w:eastAsia="仿宋_GB2312"/>
          <w:sz w:val="32"/>
          <w:szCs w:val="32"/>
        </w:rPr>
      </w:pPr>
      <w:r>
        <w:rPr>
          <w:rFonts w:hint="eastAsia" w:ascii="仿宋_GB2312" w:hAnsi="黑体" w:eastAsia="仿宋_GB2312"/>
          <w:sz w:val="32"/>
          <w:szCs w:val="32"/>
        </w:rPr>
        <w:t>表9.财政拨款</w:t>
      </w:r>
      <w:r>
        <w:rPr>
          <w:rFonts w:hint="eastAsia" w:ascii="仿宋_GB2312" w:hAnsi="黑体" w:eastAsia="仿宋_GB2312"/>
          <w:sz w:val="32"/>
          <w:szCs w:val="32"/>
          <w:lang w:eastAsia="zh-CN"/>
        </w:rPr>
        <w:t>“三公”经费</w:t>
      </w:r>
      <w:r>
        <w:rPr>
          <w:rFonts w:hint="eastAsia" w:ascii="仿宋_GB2312" w:hAnsi="黑体" w:eastAsia="仿宋_GB2312"/>
          <w:sz w:val="32"/>
          <w:szCs w:val="32"/>
        </w:rPr>
        <w:t>情况对比表</w:t>
      </w:r>
    </w:p>
    <w:p w14:paraId="6B48CF22">
      <w:pPr>
        <w:rPr>
          <w:rFonts w:ascii="仿宋_GB2312" w:hAnsi="黑体" w:eastAsia="仿宋_GB2312"/>
          <w:sz w:val="32"/>
          <w:szCs w:val="32"/>
        </w:rPr>
      </w:pPr>
      <w:r>
        <w:rPr>
          <w:rFonts w:hint="eastAsia" w:ascii="仿宋_GB2312" w:hAnsi="黑体" w:eastAsia="仿宋_GB2312"/>
          <w:sz w:val="32"/>
          <w:szCs w:val="32"/>
        </w:rPr>
        <w:t>表10.2019年部门预算项目支出表</w:t>
      </w:r>
    </w:p>
    <w:p w14:paraId="559DB18D">
      <w:pPr>
        <w:rPr>
          <w:rFonts w:ascii="仿宋_GB2312" w:hAnsi="黑体" w:eastAsia="仿宋_GB2312"/>
          <w:sz w:val="32"/>
          <w:szCs w:val="32"/>
        </w:rPr>
      </w:pPr>
      <w:r>
        <w:rPr>
          <w:rFonts w:hint="eastAsia" w:ascii="仿宋_GB2312" w:hAnsi="黑体" w:eastAsia="仿宋_GB2312"/>
          <w:sz w:val="32"/>
          <w:szCs w:val="32"/>
        </w:rPr>
        <w:t>表11.收入预算按单位分类汇总表</w:t>
      </w:r>
    </w:p>
    <w:p w14:paraId="3F6DE9CD">
      <w:pPr>
        <w:rPr>
          <w:rFonts w:ascii="仿宋_GB2312" w:hAnsi="黑体" w:eastAsia="仿宋_GB2312"/>
          <w:sz w:val="32"/>
          <w:szCs w:val="32"/>
        </w:rPr>
      </w:pPr>
      <w:r>
        <w:rPr>
          <w:rFonts w:hint="eastAsia" w:ascii="仿宋_GB2312" w:hAnsi="黑体" w:eastAsia="仿宋_GB2312"/>
          <w:sz w:val="32"/>
          <w:szCs w:val="32"/>
        </w:rPr>
        <w:t>表12.支出预算按单位分类汇总表</w:t>
      </w:r>
    </w:p>
    <w:p w14:paraId="55D84DB7">
      <w:pPr>
        <w:rPr>
          <w:rFonts w:ascii="黑体" w:hAnsi="黑体" w:eastAsia="黑体"/>
          <w:sz w:val="32"/>
          <w:szCs w:val="32"/>
        </w:rPr>
      </w:pPr>
      <w:r>
        <w:rPr>
          <w:rFonts w:hint="eastAsia" w:ascii="黑体" w:hAnsi="黑体" w:eastAsia="黑体"/>
          <w:sz w:val="32"/>
          <w:szCs w:val="32"/>
        </w:rPr>
        <w:t>第三部分   沈阳市浑南区林业局2019年部门预算情况说明</w:t>
      </w:r>
    </w:p>
    <w:p w14:paraId="62C28B6D">
      <w:pPr>
        <w:rPr>
          <w:rFonts w:ascii="黑体" w:hAnsi="黑体" w:eastAsia="黑体"/>
          <w:sz w:val="32"/>
          <w:szCs w:val="32"/>
        </w:rPr>
      </w:pPr>
      <w:r>
        <w:rPr>
          <w:rFonts w:hint="eastAsia" w:ascii="黑体" w:hAnsi="黑体" w:eastAsia="黑体"/>
          <w:sz w:val="32"/>
          <w:szCs w:val="32"/>
        </w:rPr>
        <w:t>第四部分   名词解释</w:t>
      </w:r>
    </w:p>
    <w:p w14:paraId="65B58EB9">
      <w:pPr>
        <w:rPr>
          <w:b/>
          <w:sz w:val="44"/>
          <w:szCs w:val="44"/>
          <w:u w:val="single"/>
        </w:rPr>
      </w:pPr>
    </w:p>
    <w:p w14:paraId="6C25505D">
      <w:pPr>
        <w:jc w:val="center"/>
        <w:rPr>
          <w:rFonts w:ascii="宋体" w:hAnsi="宋体"/>
          <w:b/>
          <w:sz w:val="36"/>
          <w:szCs w:val="36"/>
        </w:rPr>
      </w:pPr>
      <w:r>
        <w:rPr>
          <w:rFonts w:hint="eastAsia" w:ascii="宋体" w:hAnsi="宋体"/>
          <w:b/>
          <w:sz w:val="36"/>
          <w:szCs w:val="36"/>
        </w:rPr>
        <w:t>第一部分 沈阳市浑南区林业局概况</w:t>
      </w:r>
    </w:p>
    <w:p w14:paraId="3CEFE6B6">
      <w:pPr>
        <w:ind w:firstLine="640" w:firstLineChars="200"/>
        <w:jc w:val="left"/>
        <w:rPr>
          <w:rFonts w:ascii="黑体" w:eastAsia="黑体"/>
          <w:sz w:val="32"/>
          <w:szCs w:val="32"/>
        </w:rPr>
      </w:pPr>
    </w:p>
    <w:p w14:paraId="0B5B13B2">
      <w:pPr>
        <w:ind w:firstLine="640" w:firstLineChars="200"/>
        <w:jc w:val="left"/>
        <w:rPr>
          <w:rFonts w:ascii="黑体" w:eastAsia="黑体"/>
          <w:sz w:val="32"/>
          <w:szCs w:val="32"/>
        </w:rPr>
      </w:pPr>
      <w:r>
        <w:rPr>
          <w:rFonts w:hint="eastAsia" w:ascii="黑体" w:eastAsia="黑体"/>
          <w:sz w:val="32"/>
          <w:szCs w:val="32"/>
        </w:rPr>
        <w:t>一、主要职责</w:t>
      </w:r>
    </w:p>
    <w:p w14:paraId="5B09E687">
      <w:pPr>
        <w:ind w:firstLine="627" w:firstLineChars="196"/>
        <w:rPr>
          <w:rFonts w:ascii="仿宋_GB2312" w:hAnsi="华文中宋" w:eastAsia="仿宋_GB2312"/>
          <w:sz w:val="32"/>
          <w:szCs w:val="32"/>
        </w:rPr>
      </w:pPr>
      <w:r>
        <w:rPr>
          <w:rFonts w:hint="eastAsia" w:ascii="仿宋_GB2312" w:hAnsi="华文中宋" w:eastAsia="仿宋_GB2312"/>
          <w:sz w:val="32"/>
          <w:szCs w:val="32"/>
        </w:rPr>
        <w:t>根据《关于区林业局、旅游局机构设计的通知》（沈东陵编办发[2013]26号）精神，设立沈阳市浑南区林业局，为沈阳市浑南区政府工作部门。</w:t>
      </w:r>
    </w:p>
    <w:p w14:paraId="0A07E8EB">
      <w:pPr>
        <w:ind w:firstLine="590" w:firstLineChars="196"/>
        <w:rPr>
          <w:rFonts w:ascii="黑体" w:hAnsi="华文中宋" w:eastAsia="黑体"/>
          <w:b/>
          <w:sz w:val="36"/>
          <w:szCs w:val="36"/>
        </w:rPr>
      </w:pPr>
      <w:r>
        <w:rPr>
          <w:rFonts w:hint="eastAsia" w:ascii="黑体" w:hAnsi="华文中宋" w:eastAsia="黑体"/>
          <w:b/>
          <w:sz w:val="30"/>
          <w:szCs w:val="30"/>
        </w:rPr>
        <w:t>区林业局主要职责</w:t>
      </w:r>
      <w:r>
        <w:rPr>
          <w:rFonts w:hint="eastAsia" w:ascii="黑体" w:hAnsi="华文中宋" w:eastAsia="黑体"/>
          <w:b/>
          <w:sz w:val="36"/>
          <w:szCs w:val="36"/>
        </w:rPr>
        <w:t>：</w:t>
      </w:r>
    </w:p>
    <w:p w14:paraId="56555669">
      <w:pPr>
        <w:numPr>
          <w:ilvl w:val="0"/>
          <w:numId w:val="2"/>
        </w:numPr>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浑南区林业局为区政府职能部门，主要职责负责编制实施林业发展规划、保护森林资源、林权管理、征占用林地审核、森林防火等工作。</w:t>
      </w:r>
    </w:p>
    <w:p w14:paraId="0B0C0EC9">
      <w:pPr>
        <w:numPr>
          <w:ilvl w:val="0"/>
          <w:numId w:val="2"/>
        </w:numPr>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下辖区森林公安局，主要负责开展全区森林公安工作，管理森林公安队伍；侦办全区森林治安案件、刑事案件；指导全区林区社会治安治理工作。</w:t>
      </w:r>
    </w:p>
    <w:p w14:paraId="520E5EE9">
      <w:pPr>
        <w:numPr>
          <w:ilvl w:val="0"/>
          <w:numId w:val="2"/>
        </w:numPr>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职能办公室党政综合办公室，主要负责综合协调、督查督办和后勤保障工作；负责文字材料综合工作；负责日常政务处理、文件收发、档案管理和保密工作；负责国有资产管理、信访协调工作；负责人事、财务管理及办公用品申购工作。</w:t>
      </w:r>
    </w:p>
    <w:p w14:paraId="4C456C63">
      <w:pPr>
        <w:numPr>
          <w:ilvl w:val="0"/>
          <w:numId w:val="2"/>
        </w:numPr>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职能办公室资源林政办公室，主要负责组织编制林业发展的规划设计及实施，组织编制并监督执行森林采伐限额；负责林地林权管理、审核、报批征用占用林地的申请；负责监督林地开发利用，承担全区林地林权的有关管理；负责林业行政监督执法处罚；负责生态公益林日常管理，开展林业调查设计，协调林改有关工作。</w:t>
      </w:r>
    </w:p>
    <w:p w14:paraId="7DD4CE83">
      <w:pPr>
        <w:numPr>
          <w:ilvl w:val="0"/>
          <w:numId w:val="2"/>
        </w:numPr>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职能办公室造林绿化办公室，主要负责全区造林、营林管理，组织指导全民义务植树、城乡绿化，负责青山工程相关工作；协调退耕还林相关工作；负责组织林业技术培训，提供林业技术、信息和服务。</w:t>
      </w:r>
    </w:p>
    <w:p w14:paraId="4472F129">
      <w:pPr>
        <w:numPr>
          <w:ilvl w:val="0"/>
          <w:numId w:val="2"/>
        </w:numPr>
        <w:autoSpaceDN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职能办公室森林防火办公室，主要负责</w:t>
      </w:r>
      <w:r>
        <w:rPr>
          <w:rFonts w:hint="eastAsia" w:ascii="仿宋" w:hAnsi="仿宋" w:eastAsia="仿宋"/>
          <w:sz w:val="32"/>
          <w:szCs w:val="32"/>
        </w:rPr>
        <w:t>组织、协调、指导、监督、管理全区森林防火和火灾扑救。完成区森林防火指挥部办公室工作任务，承担区森林防火指挥部办公室工作职责。管理区森林消防大队、各护林防火大队、全区护林员；业务指导、监管森林消防预警指挥中心、护林防火督察大队。</w:t>
      </w:r>
      <w:r>
        <w:rPr>
          <w:rFonts w:hint="eastAsia" w:ascii="仿宋" w:hAnsi="仿宋" w:eastAsia="仿宋" w:cs="宋体"/>
          <w:sz w:val="32"/>
          <w:szCs w:val="32"/>
        </w:rPr>
        <w:t>承担、落实法律、法规及上级文件中应由县级林业主管部门或县级森林防火机构履行的森林防火工作职责、任务。</w:t>
      </w:r>
      <w:r>
        <w:rPr>
          <w:rFonts w:hint="eastAsia" w:ascii="仿宋" w:hAnsi="仿宋" w:eastAsia="仿宋"/>
          <w:sz w:val="32"/>
          <w:szCs w:val="32"/>
        </w:rPr>
        <w:t>负责全区森林防火经费的计划、使用、监管。负责全区森林防火队伍建设和基础设施建设工作及森林防火物资储备。</w:t>
      </w:r>
    </w:p>
    <w:p w14:paraId="0968B69C">
      <w:pPr>
        <w:ind w:firstLine="640" w:firstLineChars="200"/>
        <w:jc w:val="left"/>
        <w:rPr>
          <w:rFonts w:ascii="黑体" w:eastAsia="黑体"/>
          <w:sz w:val="32"/>
          <w:szCs w:val="32"/>
        </w:rPr>
      </w:pPr>
      <w:r>
        <w:rPr>
          <w:rFonts w:hint="eastAsia" w:ascii="黑体" w:eastAsia="黑体"/>
          <w:sz w:val="32"/>
          <w:szCs w:val="32"/>
        </w:rPr>
        <w:t>二、部门预算单位构成</w:t>
      </w:r>
    </w:p>
    <w:p w14:paraId="4DCC28FB">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纳入沈阳市浑南区林业局2019年部门预算编制范围的二级预算单位包括：</w:t>
      </w:r>
    </w:p>
    <w:p w14:paraId="17E1BCD2">
      <w:pPr>
        <w:ind w:firstLine="640" w:firstLineChars="200"/>
        <w:jc w:val="left"/>
        <w:rPr>
          <w:rFonts w:ascii="宋体" w:hAnsi="宋体"/>
          <w:b/>
          <w:sz w:val="36"/>
          <w:szCs w:val="36"/>
        </w:rPr>
      </w:pPr>
      <w:r>
        <w:rPr>
          <w:rFonts w:hint="eastAsia" w:ascii="仿宋_GB2312" w:hAnsi="仿宋_GB2312" w:eastAsia="仿宋_GB2312"/>
          <w:sz w:val="32"/>
          <w:szCs w:val="32"/>
        </w:rPr>
        <w:t>沈阳市浑南区林业局本级</w:t>
      </w:r>
    </w:p>
    <w:p w14:paraId="13800C80">
      <w:pPr>
        <w:jc w:val="center"/>
        <w:rPr>
          <w:rFonts w:ascii="宋体" w:hAnsi="宋体"/>
          <w:b/>
          <w:sz w:val="36"/>
          <w:szCs w:val="36"/>
        </w:rPr>
      </w:pPr>
    </w:p>
    <w:p w14:paraId="6F21264B">
      <w:pPr>
        <w:jc w:val="center"/>
        <w:rPr>
          <w:rFonts w:ascii="宋体" w:hAnsi="宋体"/>
          <w:b/>
          <w:sz w:val="36"/>
          <w:szCs w:val="36"/>
        </w:rPr>
      </w:pPr>
    </w:p>
    <w:p w14:paraId="1F2469F0">
      <w:pPr>
        <w:jc w:val="center"/>
        <w:rPr>
          <w:rFonts w:ascii="宋体" w:hAnsi="宋体"/>
          <w:b/>
          <w:sz w:val="36"/>
          <w:szCs w:val="36"/>
        </w:rPr>
      </w:pPr>
    </w:p>
    <w:p w14:paraId="4508F3BA">
      <w:pPr>
        <w:jc w:val="center"/>
        <w:rPr>
          <w:rFonts w:ascii="宋体" w:hAnsi="宋体"/>
          <w:b/>
          <w:sz w:val="36"/>
          <w:szCs w:val="36"/>
        </w:rPr>
      </w:pPr>
    </w:p>
    <w:p w14:paraId="77B7B0AA">
      <w:pPr>
        <w:jc w:val="center"/>
        <w:rPr>
          <w:rFonts w:ascii="宋体" w:hAnsi="宋体"/>
          <w:b/>
          <w:sz w:val="36"/>
          <w:szCs w:val="36"/>
        </w:rPr>
      </w:pPr>
    </w:p>
    <w:p w14:paraId="17A52418">
      <w:pPr>
        <w:rPr>
          <w:rFonts w:ascii="宋体" w:hAnsi="宋体"/>
          <w:b/>
          <w:sz w:val="36"/>
          <w:szCs w:val="36"/>
        </w:rPr>
      </w:pPr>
    </w:p>
    <w:p w14:paraId="5997143E">
      <w:pPr>
        <w:rPr>
          <w:rFonts w:ascii="宋体" w:hAnsi="宋体"/>
          <w:b/>
          <w:sz w:val="36"/>
          <w:szCs w:val="36"/>
        </w:rPr>
      </w:pPr>
    </w:p>
    <w:p w14:paraId="549D32E0">
      <w:pPr>
        <w:jc w:val="center"/>
        <w:rPr>
          <w:rFonts w:ascii="宋体" w:hAnsi="宋体"/>
          <w:b/>
          <w:sz w:val="36"/>
          <w:szCs w:val="36"/>
        </w:rPr>
      </w:pPr>
    </w:p>
    <w:p w14:paraId="2CD53C58">
      <w:pPr>
        <w:jc w:val="center"/>
        <w:rPr>
          <w:rFonts w:ascii="宋体" w:hAnsi="宋体"/>
          <w:b/>
          <w:sz w:val="36"/>
          <w:szCs w:val="36"/>
        </w:rPr>
      </w:pPr>
    </w:p>
    <w:p w14:paraId="75508385">
      <w:pPr>
        <w:rPr>
          <w:rFonts w:ascii="宋体" w:hAnsi="宋体"/>
          <w:b/>
          <w:sz w:val="36"/>
          <w:szCs w:val="36"/>
        </w:rPr>
      </w:pPr>
    </w:p>
    <w:p w14:paraId="70C5B1F8">
      <w:pPr>
        <w:jc w:val="center"/>
        <w:rPr>
          <w:rFonts w:ascii="仿宋_GB2312" w:eastAsia="仿宋_GB2312"/>
          <w:sz w:val="32"/>
          <w:szCs w:val="32"/>
        </w:rPr>
      </w:pPr>
      <w:r>
        <w:rPr>
          <w:rFonts w:hint="eastAsia" w:ascii="宋体" w:hAnsi="宋体"/>
          <w:b/>
          <w:sz w:val="36"/>
          <w:szCs w:val="36"/>
        </w:rPr>
        <w:t>第二部分 沈阳市浑南区林业局2019年部门预算公开表</w:t>
      </w:r>
    </w:p>
    <w:p w14:paraId="0C091622">
      <w:pPr>
        <w:jc w:val="center"/>
        <w:rPr>
          <w:rFonts w:ascii="黑体" w:eastAsia="黑体"/>
          <w:sz w:val="32"/>
          <w:szCs w:val="32"/>
        </w:rPr>
        <w:sectPr>
          <w:footerReference r:id="rId3" w:type="default"/>
          <w:footerReference r:id="rId4" w:type="even"/>
          <w:pgSz w:w="11906" w:h="16838"/>
          <w:pgMar w:top="1440" w:right="1800" w:bottom="1440" w:left="1800" w:header="851" w:footer="992" w:gutter="0"/>
          <w:cols w:space="720" w:num="1"/>
          <w:docGrid w:type="lines" w:linePitch="312" w:charSpace="0"/>
        </w:sectPr>
      </w:pPr>
    </w:p>
    <w:p w14:paraId="32B4DE2D">
      <w:pPr>
        <w:numPr>
          <w:ilvl w:val="0"/>
          <w:numId w:val="3"/>
        </w:numPr>
        <w:jc w:val="center"/>
        <w:rPr>
          <w:rFonts w:ascii="宋体" w:hAnsi="宋体"/>
          <w:b/>
          <w:sz w:val="36"/>
          <w:szCs w:val="36"/>
        </w:rPr>
      </w:pPr>
      <w:r>
        <w:rPr>
          <w:rFonts w:hint="eastAsia" w:ascii="宋体" w:hAnsi="宋体"/>
          <w:b/>
          <w:sz w:val="36"/>
          <w:szCs w:val="36"/>
        </w:rPr>
        <w:t>沈阳市浑南区林业局2019年部门预算情况</w:t>
      </w:r>
    </w:p>
    <w:p w14:paraId="47524ADB">
      <w:pPr>
        <w:ind w:firstLine="627" w:firstLineChars="196"/>
        <w:rPr>
          <w:rFonts w:ascii="黑体" w:hAnsi="黑体" w:eastAsia="黑体"/>
          <w:sz w:val="32"/>
          <w:szCs w:val="32"/>
        </w:rPr>
      </w:pPr>
      <w:r>
        <w:rPr>
          <w:rFonts w:hint="eastAsia" w:ascii="黑体" w:hAnsi="黑体" w:eastAsia="黑体"/>
          <w:sz w:val="32"/>
          <w:szCs w:val="32"/>
        </w:rPr>
        <w:t>一、关于沈阳市浑南区林业局2019年收支预算的总体说明</w:t>
      </w:r>
    </w:p>
    <w:p w14:paraId="66600467">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浑南区林业局所有收入和支出均纳入部门预算管理。收入包括：一般公共预算拨款收入、纳入专户管理的预算外资金安排的拨款收入、上级补助、财政结转资金、单位其他收入；支出包括：社会保障和就业支出、医疗卫生与计划生育支出、农林水支出、住房保障支出。沈阳市浑南区林业局2019年收支总预算3,336.87万元，比2018年收支总预算5,409.72万元减少2,072.85万元。主要是由于机构改革后事业单位划出项目专项经费等经费安排至区农业技术推广与行政执法中心，在区林业局预算中未体现。</w:t>
      </w:r>
    </w:p>
    <w:p w14:paraId="4A4AC513">
      <w:pPr>
        <w:ind w:firstLine="660"/>
        <w:rPr>
          <w:rFonts w:ascii="黑体" w:hAnsi="黑体" w:eastAsia="黑体"/>
          <w:sz w:val="32"/>
          <w:szCs w:val="32"/>
        </w:rPr>
      </w:pPr>
      <w:r>
        <w:rPr>
          <w:rFonts w:hint="eastAsia" w:ascii="黑体" w:hAnsi="黑体" w:eastAsia="黑体"/>
          <w:sz w:val="32"/>
          <w:szCs w:val="32"/>
        </w:rPr>
        <w:t>二、关于沈阳市浑南区林业局2019年“三公”经费预算情况说明</w:t>
      </w:r>
    </w:p>
    <w:p w14:paraId="60BD4D6A">
      <w:pPr>
        <w:ind w:firstLine="645"/>
        <w:rPr>
          <w:rFonts w:ascii="仿宋_GB2312" w:hAnsi="宋体" w:eastAsia="仿宋_GB2312"/>
          <w:sz w:val="32"/>
          <w:szCs w:val="32"/>
        </w:rPr>
      </w:pPr>
      <w:r>
        <w:rPr>
          <w:rFonts w:hint="eastAsia" w:ascii="仿宋_GB2312" w:hAnsi="宋体" w:eastAsia="仿宋_GB2312"/>
          <w:sz w:val="32"/>
          <w:szCs w:val="32"/>
        </w:rPr>
        <w:t>2019年“三公”经费预算数243.38万元，其中：因公出国（境）费0万元；公务接待费0.38万元；公务用车购置及运行费243万元，其中公务用车购置0元，公务用车运行维护费243万元。2019年预算数比2018年预算数增加29.69万元，其中：因公出国（境）费比2018年预算数增加0万元；公务接待费比2018年预算数减少6.81万元，主要是由于单位压缩公务接待费支出；公务用车购置及运行费比2018年增加36.5万元，主要是由于2018年新购置森林消防专业用车车辆运行费支出增加。</w:t>
      </w:r>
    </w:p>
    <w:p w14:paraId="1FDA586A">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0F51ABF5">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14:paraId="268F41D9">
      <w:pPr>
        <w:ind w:firstLine="660"/>
        <w:rPr>
          <w:rFonts w:ascii="仿宋_GB2312" w:hAnsi="宋体" w:eastAsia="仿宋_GB2312"/>
          <w:sz w:val="32"/>
          <w:szCs w:val="32"/>
        </w:rPr>
      </w:pPr>
      <w:r>
        <w:rPr>
          <w:rFonts w:hint="eastAsia" w:ascii="仿宋" w:hAnsi="仿宋" w:eastAsia="仿宋" w:cs="仿宋"/>
          <w:sz w:val="32"/>
          <w:szCs w:val="32"/>
        </w:rPr>
        <w:t>2019 年区林业局本级机关的机关运行经费507.76万元，</w:t>
      </w:r>
      <w:r>
        <w:rPr>
          <w:rFonts w:hint="eastAsia" w:ascii="仿宋_GB2312" w:hAnsi="宋体" w:eastAsia="仿宋_GB2312"/>
          <w:sz w:val="32"/>
          <w:szCs w:val="32"/>
        </w:rPr>
        <w:t>财政拨款预算507.76万元，比2018年预算1586.48万元减少1078.72万元，下降212.45%。主要是由于机构改革后事业单位划出机关运行经费安排至区农业技术推广与行政执法中心，在区林业局预算中未体现。</w:t>
      </w:r>
    </w:p>
    <w:p w14:paraId="642B2C4B">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5A2B0050">
      <w:pPr>
        <w:ind w:firstLine="645"/>
        <w:rPr>
          <w:rFonts w:ascii="仿宋_GB2312" w:hAnsi="宋体" w:eastAsia="仿宋_GB2312"/>
          <w:sz w:val="32"/>
          <w:szCs w:val="32"/>
        </w:rPr>
      </w:pPr>
      <w:r>
        <w:rPr>
          <w:rFonts w:hint="eastAsia" w:ascii="仿宋_GB2312" w:hAnsi="宋体" w:eastAsia="仿宋_GB2312"/>
          <w:sz w:val="32"/>
          <w:szCs w:val="32"/>
        </w:rPr>
        <w:t>2019年沈阳市浑南区林业局各单位政府采购预算总额533.4万元，其中：政府采购货物预算331万元、政府采购工程预算68.9万元、政府采购服务预算133.5万元。</w:t>
      </w:r>
    </w:p>
    <w:p w14:paraId="714D0D43">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3B2FA7A4">
      <w:pPr>
        <w:ind w:firstLine="645"/>
        <w:rPr>
          <w:rFonts w:ascii="仿宋_GB2312" w:hAnsi="宋体" w:eastAsia="仿宋_GB2312"/>
          <w:sz w:val="32"/>
          <w:szCs w:val="32"/>
        </w:rPr>
      </w:pPr>
      <w:r>
        <w:rPr>
          <w:rFonts w:hint="eastAsia" w:ascii="仿宋_GB2312" w:hAnsi="宋体" w:eastAsia="仿宋_GB2312"/>
          <w:sz w:val="32"/>
          <w:szCs w:val="32"/>
        </w:rPr>
        <w:t>截至2018 年底，沈阳市浑南区林业局所属各预算单位共有车辆82 辆，其中：一般公务用车2辆、一般执法执勤用车0辆、特种专业技术用车80辆、其他用车0辆。单位价值100 万元以上大型设备0台。2019年部门预算没有安排车辆及价值100万元以上大型设备购置。</w:t>
      </w:r>
    </w:p>
    <w:p w14:paraId="565934FA">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52D2F54D">
      <w:pPr>
        <w:ind w:firstLine="645"/>
        <w:rPr>
          <w:rFonts w:ascii="仿宋_GB2312" w:hAnsi="宋体" w:eastAsia="仿宋_GB2312"/>
          <w:sz w:val="32"/>
          <w:szCs w:val="32"/>
        </w:rPr>
      </w:pPr>
      <w:r>
        <w:rPr>
          <w:rFonts w:hint="eastAsia" w:ascii="仿宋_GB2312" w:hAnsi="宋体" w:eastAsia="仿宋_GB2312"/>
          <w:sz w:val="32"/>
          <w:szCs w:val="32"/>
        </w:rPr>
        <w:t>2019年沈阳市浑南区林业局部门预算项目均实行绩效目标管理，涉及资金2796.37万元。</w:t>
      </w:r>
    </w:p>
    <w:p w14:paraId="65FC1D4B">
      <w:pPr>
        <w:jc w:val="center"/>
        <w:rPr>
          <w:rFonts w:ascii="宋体" w:hAnsi="宋体"/>
          <w:b/>
          <w:sz w:val="36"/>
          <w:szCs w:val="36"/>
        </w:rPr>
      </w:pPr>
    </w:p>
    <w:p w14:paraId="37CA08F2">
      <w:pPr>
        <w:jc w:val="center"/>
        <w:rPr>
          <w:rFonts w:ascii="宋体" w:hAnsi="宋体"/>
          <w:b/>
          <w:sz w:val="36"/>
          <w:szCs w:val="36"/>
        </w:rPr>
      </w:pPr>
    </w:p>
    <w:p w14:paraId="7E71436E">
      <w:pPr>
        <w:jc w:val="center"/>
        <w:rPr>
          <w:rFonts w:ascii="宋体" w:hAnsi="宋体"/>
          <w:b/>
          <w:sz w:val="36"/>
          <w:szCs w:val="36"/>
        </w:rPr>
      </w:pPr>
    </w:p>
    <w:p w14:paraId="09A8A33F">
      <w:pPr>
        <w:jc w:val="center"/>
        <w:rPr>
          <w:rFonts w:ascii="宋体" w:hAnsi="宋体"/>
          <w:b/>
          <w:sz w:val="36"/>
          <w:szCs w:val="36"/>
        </w:rPr>
      </w:pPr>
      <w:r>
        <w:rPr>
          <w:rFonts w:hint="eastAsia" w:ascii="宋体" w:hAnsi="宋体"/>
          <w:b/>
          <w:sz w:val="36"/>
          <w:szCs w:val="36"/>
        </w:rPr>
        <w:t>第四部分 名词解释</w:t>
      </w:r>
    </w:p>
    <w:p w14:paraId="656ED956">
      <w:pPr>
        <w:jc w:val="center"/>
        <w:rPr>
          <w:rFonts w:ascii="黑体" w:eastAsia="黑体"/>
          <w:sz w:val="36"/>
          <w:szCs w:val="36"/>
        </w:rPr>
      </w:pPr>
    </w:p>
    <w:p w14:paraId="4600E05E">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0B78928F">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49820336">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5E754CDD">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2B404C98">
      <w:pPr>
        <w:ind w:firstLine="643" w:firstLineChars="200"/>
        <w:jc w:val="left"/>
        <w:rPr>
          <w:rFonts w:ascii="仿宋_GB2312" w:eastAsia="仿宋_GB2312"/>
          <w:b/>
          <w:sz w:val="32"/>
          <w:szCs w:val="32"/>
        </w:rPr>
      </w:pPr>
      <w:r>
        <w:rPr>
          <w:rFonts w:hint="eastAsia" w:ascii="仿宋_GB2312" w:eastAsia="仿宋_GB2312"/>
          <w:b/>
          <w:sz w:val="32"/>
          <w:szCs w:val="32"/>
        </w:rPr>
        <w:t>5.社会保障和就业支出（类）行政事业单位离退休（款）机关事业单位职业年金缴费支出（项）：</w:t>
      </w:r>
      <w:r>
        <w:rPr>
          <w:rFonts w:hint="eastAsia" w:ascii="仿宋_GB2312" w:eastAsia="仿宋_GB2312"/>
          <w:bCs/>
          <w:sz w:val="32"/>
          <w:szCs w:val="32"/>
        </w:rPr>
        <w:t>反映机关事业单位实施养老保险制度由单位实际缴纳的职业年金支出。</w:t>
      </w:r>
    </w:p>
    <w:p w14:paraId="1B21E958">
      <w:pPr>
        <w:ind w:firstLine="643" w:firstLineChars="200"/>
        <w:jc w:val="left"/>
        <w:rPr>
          <w:rFonts w:ascii="仿宋_GB2312" w:eastAsia="仿宋_GB2312"/>
          <w:bCs/>
          <w:sz w:val="32"/>
          <w:szCs w:val="32"/>
        </w:rPr>
      </w:pPr>
      <w:r>
        <w:rPr>
          <w:rFonts w:hint="eastAsia" w:ascii="仿宋_GB2312" w:eastAsia="仿宋_GB2312"/>
          <w:b/>
          <w:sz w:val="32"/>
          <w:szCs w:val="32"/>
        </w:rPr>
        <w:t>6.社会保障和就业支出（类）行政事业单位离退休（款）机关事业单位基本养老保险缴费支出（项）：</w:t>
      </w:r>
      <w:r>
        <w:rPr>
          <w:rFonts w:hint="eastAsia" w:ascii="仿宋_GB2312" w:eastAsia="仿宋_GB2312"/>
          <w:bCs/>
          <w:sz w:val="32"/>
          <w:szCs w:val="32"/>
        </w:rPr>
        <w:t>反映机关事业单位实施养老保险制度由单位缴纳的基本养老保险费支出。</w:t>
      </w:r>
    </w:p>
    <w:p w14:paraId="27C30482">
      <w:pPr>
        <w:ind w:firstLine="643" w:firstLineChars="200"/>
        <w:jc w:val="left"/>
        <w:rPr>
          <w:rFonts w:ascii="仿宋_GB2312" w:eastAsia="仿宋_GB2312"/>
          <w:b/>
          <w:sz w:val="32"/>
          <w:szCs w:val="32"/>
        </w:rPr>
      </w:pPr>
      <w:r>
        <w:rPr>
          <w:rFonts w:hint="eastAsia" w:ascii="仿宋_GB2312" w:eastAsia="仿宋_GB2312"/>
          <w:b/>
          <w:sz w:val="32"/>
          <w:szCs w:val="32"/>
        </w:rPr>
        <w:t>7.卫生健康支出（类）行政事业单位医疗（款）行政单位医疗（项）：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17034A70">
      <w:pPr>
        <w:ind w:firstLine="643" w:firstLineChars="200"/>
        <w:jc w:val="left"/>
        <w:rPr>
          <w:rFonts w:ascii="仿宋_GB2312" w:eastAsia="仿宋_GB2312"/>
          <w:bCs/>
          <w:sz w:val="32"/>
          <w:szCs w:val="32"/>
        </w:rPr>
      </w:pPr>
      <w:r>
        <w:rPr>
          <w:rFonts w:hint="eastAsia" w:ascii="仿宋_GB2312" w:eastAsia="仿宋_GB2312"/>
          <w:b/>
          <w:sz w:val="32"/>
          <w:szCs w:val="32"/>
        </w:rPr>
        <w:t>8.卫生健康支出（类）行政事业单位医疗（款）公务员医疗补助（项）：</w:t>
      </w:r>
      <w:r>
        <w:rPr>
          <w:rFonts w:hint="eastAsia" w:ascii="仿宋_GB2312" w:eastAsia="仿宋_GB2312"/>
          <w:bCs/>
          <w:sz w:val="32"/>
          <w:szCs w:val="32"/>
        </w:rPr>
        <w:t>反映财政部门安排的公务员医疗补助经费。</w:t>
      </w:r>
    </w:p>
    <w:p w14:paraId="5BFD25DB">
      <w:pPr>
        <w:ind w:left="638" w:leftChars="304"/>
        <w:jc w:val="left"/>
        <w:rPr>
          <w:rFonts w:ascii="仿宋_GB2312" w:eastAsia="仿宋_GB2312"/>
          <w:b/>
          <w:sz w:val="32"/>
          <w:szCs w:val="32"/>
        </w:rPr>
      </w:pPr>
      <w:r>
        <w:rPr>
          <w:rFonts w:hint="eastAsia" w:ascii="仿宋_GB2312" w:eastAsia="仿宋_GB2312"/>
          <w:b/>
          <w:sz w:val="32"/>
          <w:szCs w:val="32"/>
        </w:rPr>
        <w:t>9.农林水支出（类）林业和草原（款）行政运行（项）：</w:t>
      </w:r>
    </w:p>
    <w:p w14:paraId="5DEA4DC1">
      <w:pPr>
        <w:jc w:val="left"/>
        <w:rPr>
          <w:rFonts w:ascii="仿宋_GB2312" w:eastAsia="仿宋_GB2312"/>
          <w:bCs/>
          <w:sz w:val="32"/>
          <w:szCs w:val="32"/>
        </w:rPr>
      </w:pPr>
      <w:r>
        <w:rPr>
          <w:rFonts w:hint="eastAsia" w:ascii="仿宋_GB2312" w:eastAsia="仿宋_GB2312"/>
          <w:bCs/>
          <w:sz w:val="32"/>
          <w:szCs w:val="32"/>
        </w:rPr>
        <w:t>反映行政单位（包括实行公务员管理的事业单位）的基本支出。</w:t>
      </w:r>
    </w:p>
    <w:p w14:paraId="4A8010C7">
      <w:pPr>
        <w:ind w:left="638" w:leftChars="304"/>
        <w:jc w:val="left"/>
        <w:rPr>
          <w:rFonts w:ascii="仿宋_GB2312" w:eastAsia="仿宋_GB2312"/>
          <w:b/>
          <w:sz w:val="32"/>
          <w:szCs w:val="32"/>
        </w:rPr>
      </w:pPr>
      <w:r>
        <w:rPr>
          <w:rFonts w:hint="eastAsia" w:ascii="仿宋_GB2312" w:eastAsia="仿宋_GB2312"/>
          <w:b/>
          <w:sz w:val="32"/>
          <w:szCs w:val="32"/>
        </w:rPr>
        <w:t>10.农林水支出（类）林业和草原（款）一般行政管理</w:t>
      </w:r>
    </w:p>
    <w:p w14:paraId="4F8AEA6F">
      <w:pPr>
        <w:jc w:val="left"/>
        <w:rPr>
          <w:rFonts w:ascii="仿宋_GB2312" w:eastAsia="仿宋_GB2312"/>
          <w:bCs/>
          <w:sz w:val="32"/>
          <w:szCs w:val="32"/>
        </w:rPr>
      </w:pPr>
      <w:r>
        <w:rPr>
          <w:rFonts w:hint="eastAsia" w:ascii="仿宋_GB2312" w:eastAsia="仿宋_GB2312"/>
          <w:b/>
          <w:sz w:val="32"/>
          <w:szCs w:val="32"/>
        </w:rPr>
        <w:t>事务（项）：</w:t>
      </w:r>
      <w:r>
        <w:rPr>
          <w:rFonts w:hint="eastAsia" w:ascii="仿宋_GB2312" w:eastAsia="仿宋_GB2312"/>
          <w:bCs/>
          <w:sz w:val="32"/>
          <w:szCs w:val="32"/>
        </w:rPr>
        <w:t>反映行政单位（包括实行公务员管理的事业单位）未单独设置项级科目的其他项目支出。</w:t>
      </w:r>
    </w:p>
    <w:p w14:paraId="49C234E8">
      <w:pPr>
        <w:pStyle w:val="2"/>
        <w:spacing w:line="556" w:lineRule="exact"/>
        <w:ind w:firstLine="643" w:firstLineChars="200"/>
        <w:rPr>
          <w:bCs/>
          <w:szCs w:val="32"/>
        </w:rPr>
      </w:pPr>
      <w:r>
        <w:rPr>
          <w:rFonts w:hint="eastAsia"/>
          <w:b/>
          <w:szCs w:val="32"/>
        </w:rPr>
        <w:t>11.农林水支出（类）林业和草原（款）森林资源管理（项）：</w:t>
      </w:r>
      <w:r>
        <w:rPr>
          <w:rFonts w:hint="eastAsia"/>
          <w:bCs/>
          <w:szCs w:val="32"/>
        </w:rPr>
        <w:t>反映森林经营、利用、森林资源资产、林地保护及权属调处等森林资源管理方面的支出。</w:t>
      </w:r>
    </w:p>
    <w:p w14:paraId="6C28BCBB">
      <w:pPr>
        <w:pStyle w:val="2"/>
        <w:spacing w:line="556" w:lineRule="exact"/>
        <w:ind w:firstLine="643" w:firstLineChars="200"/>
        <w:rPr>
          <w:szCs w:val="32"/>
        </w:rPr>
      </w:pPr>
      <w:r>
        <w:rPr>
          <w:rFonts w:hint="eastAsia"/>
          <w:b/>
          <w:szCs w:val="32"/>
        </w:rPr>
        <w:t>12.农林水支出（类）林业和草原（款）</w:t>
      </w:r>
      <w:r>
        <w:rPr>
          <w:rFonts w:hint="eastAsia"/>
          <w:b/>
          <w:bCs/>
          <w:szCs w:val="32"/>
        </w:rPr>
        <w:t>森林生态效益补偿（项）：</w:t>
      </w:r>
      <w:r>
        <w:rPr>
          <w:rFonts w:hint="eastAsia"/>
          <w:szCs w:val="32"/>
        </w:rPr>
        <w:t>反映由森林生态效益补偿基金安排用于公益林营造、抚育、管理和保护等方面的支出。</w:t>
      </w:r>
    </w:p>
    <w:p w14:paraId="4FD06C0C">
      <w:pPr>
        <w:pStyle w:val="2"/>
        <w:spacing w:line="556" w:lineRule="exact"/>
        <w:ind w:left="638" w:leftChars="304" w:firstLine="0"/>
        <w:rPr>
          <w:b/>
          <w:bCs/>
          <w:szCs w:val="32"/>
        </w:rPr>
      </w:pPr>
      <w:r>
        <w:rPr>
          <w:rFonts w:hint="eastAsia"/>
          <w:b/>
          <w:szCs w:val="32"/>
        </w:rPr>
        <w:t>13.农林水支出（类）林业和草原（款）</w:t>
      </w:r>
      <w:r>
        <w:rPr>
          <w:rFonts w:hint="eastAsia"/>
          <w:b/>
          <w:bCs/>
          <w:szCs w:val="32"/>
        </w:rPr>
        <w:t>动植物保护（项）：</w:t>
      </w:r>
    </w:p>
    <w:p w14:paraId="217A9B76">
      <w:pPr>
        <w:pStyle w:val="2"/>
        <w:spacing w:line="556" w:lineRule="exact"/>
        <w:ind w:firstLine="0"/>
        <w:rPr>
          <w:szCs w:val="32"/>
        </w:rPr>
      </w:pPr>
      <w:r>
        <w:rPr>
          <w:rFonts w:hint="eastAsia"/>
          <w:szCs w:val="32"/>
        </w:rPr>
        <w:t>反映动植物资源及其生存环境调查、监测，动植物资源保护管理、野外放归、巡护，濒危野生动物拯救、繁育，野生动物疫惊疫病监测防控等方面的支出。</w:t>
      </w:r>
    </w:p>
    <w:p w14:paraId="7216A8FF">
      <w:pPr>
        <w:pStyle w:val="2"/>
        <w:spacing w:line="556" w:lineRule="exact"/>
        <w:ind w:firstLine="643" w:firstLineChars="200"/>
        <w:rPr>
          <w:b/>
          <w:bCs/>
          <w:szCs w:val="32"/>
        </w:rPr>
      </w:pPr>
      <w:r>
        <w:rPr>
          <w:rFonts w:hint="eastAsia"/>
          <w:b/>
          <w:bCs/>
          <w:szCs w:val="32"/>
        </w:rPr>
        <w:t>14.</w:t>
      </w:r>
      <w:r>
        <w:rPr>
          <w:rFonts w:hint="eastAsia"/>
          <w:b/>
          <w:szCs w:val="32"/>
        </w:rPr>
        <w:t>农林水支出（类）林业和草原（款）</w:t>
      </w:r>
      <w:r>
        <w:rPr>
          <w:rFonts w:hint="eastAsia"/>
          <w:b/>
          <w:bCs/>
          <w:szCs w:val="32"/>
        </w:rPr>
        <w:t>执法与监督</w:t>
      </w:r>
    </w:p>
    <w:p w14:paraId="40BCEB77">
      <w:pPr>
        <w:pStyle w:val="2"/>
        <w:spacing w:line="556" w:lineRule="exact"/>
        <w:ind w:firstLine="0"/>
        <w:rPr>
          <w:szCs w:val="32"/>
        </w:rPr>
      </w:pPr>
      <w:r>
        <w:rPr>
          <w:rFonts w:hint="eastAsia"/>
          <w:b/>
          <w:bCs/>
          <w:szCs w:val="32"/>
        </w:rPr>
        <w:t>（项）：</w:t>
      </w:r>
      <w:r>
        <w:rPr>
          <w:rFonts w:hint="eastAsia"/>
          <w:szCs w:val="32"/>
        </w:rPr>
        <w:t>反映林业执法与监督队伍建设，林业刑事、行政案件受理、查处和督办，林业行政许可、复议与诉讼管理等方面的支出。</w:t>
      </w:r>
    </w:p>
    <w:p w14:paraId="5291E71D">
      <w:pPr>
        <w:pStyle w:val="2"/>
        <w:spacing w:line="556" w:lineRule="exact"/>
        <w:ind w:firstLine="643" w:firstLineChars="200"/>
        <w:rPr>
          <w:b/>
          <w:bCs/>
          <w:szCs w:val="32"/>
        </w:rPr>
      </w:pPr>
      <w:r>
        <w:rPr>
          <w:rFonts w:hint="eastAsia"/>
          <w:b/>
          <w:bCs/>
          <w:szCs w:val="32"/>
        </w:rPr>
        <w:t>15.</w:t>
      </w:r>
      <w:r>
        <w:rPr>
          <w:rFonts w:hint="eastAsia"/>
          <w:b/>
          <w:szCs w:val="32"/>
        </w:rPr>
        <w:t>农林水支出（类）林业和草原（款）</w:t>
      </w:r>
      <w:r>
        <w:rPr>
          <w:rFonts w:hint="eastAsia"/>
          <w:b/>
          <w:bCs/>
          <w:szCs w:val="32"/>
        </w:rPr>
        <w:t>防灾减灾（项）：</w:t>
      </w:r>
    </w:p>
    <w:p w14:paraId="15434296">
      <w:pPr>
        <w:pStyle w:val="2"/>
        <w:spacing w:line="556" w:lineRule="exact"/>
        <w:ind w:firstLine="0"/>
        <w:rPr>
          <w:b/>
          <w:bCs/>
          <w:szCs w:val="32"/>
        </w:rPr>
      </w:pPr>
      <w:r>
        <w:rPr>
          <w:rFonts w:hint="eastAsia"/>
          <w:szCs w:val="32"/>
        </w:rPr>
        <w:t>反映为预防和扑救、救治森林火灾、林业有害生物灾害、自然水旱灾害等发生的支出。</w:t>
      </w:r>
    </w:p>
    <w:p w14:paraId="181DB47A">
      <w:pPr>
        <w:pStyle w:val="2"/>
        <w:spacing w:line="556" w:lineRule="exact"/>
        <w:ind w:left="638" w:leftChars="304" w:firstLine="0"/>
        <w:rPr>
          <w:b/>
          <w:bCs/>
          <w:szCs w:val="32"/>
        </w:rPr>
      </w:pPr>
      <w:r>
        <w:rPr>
          <w:rFonts w:hint="eastAsia"/>
          <w:b/>
          <w:bCs/>
          <w:szCs w:val="32"/>
        </w:rPr>
        <w:t>16.</w:t>
      </w:r>
      <w:r>
        <w:rPr>
          <w:rFonts w:hint="eastAsia"/>
          <w:b/>
          <w:szCs w:val="32"/>
        </w:rPr>
        <w:t>农林水支出（类）林业和草原（款）</w:t>
      </w:r>
      <w:r>
        <w:rPr>
          <w:rFonts w:hint="eastAsia"/>
          <w:b/>
          <w:bCs/>
          <w:szCs w:val="32"/>
        </w:rPr>
        <w:t>其他林业支出</w:t>
      </w:r>
    </w:p>
    <w:p w14:paraId="3388BD63">
      <w:pPr>
        <w:pStyle w:val="2"/>
        <w:spacing w:line="556" w:lineRule="exact"/>
        <w:ind w:firstLine="0"/>
        <w:rPr>
          <w:szCs w:val="32"/>
        </w:rPr>
      </w:pPr>
      <w:r>
        <w:rPr>
          <w:rFonts w:hint="eastAsia"/>
          <w:b/>
          <w:bCs/>
          <w:szCs w:val="32"/>
        </w:rPr>
        <w:t>（项）：</w:t>
      </w:r>
      <w:r>
        <w:rPr>
          <w:rFonts w:hint="eastAsia"/>
          <w:szCs w:val="32"/>
        </w:rPr>
        <w:t>反映除上述项目以外其他用于林业方面的支出。</w:t>
      </w:r>
    </w:p>
    <w:p w14:paraId="3FFB112C">
      <w:pPr>
        <w:ind w:firstLine="643" w:firstLineChars="200"/>
        <w:jc w:val="left"/>
        <w:rPr>
          <w:rFonts w:ascii="仿宋_GB2312" w:eastAsia="仿宋_GB2312"/>
          <w:b/>
          <w:sz w:val="32"/>
          <w:szCs w:val="32"/>
        </w:rPr>
      </w:pPr>
      <w:r>
        <w:rPr>
          <w:rFonts w:hint="eastAsia" w:ascii="仿宋_GB2312" w:eastAsia="仿宋_GB2312"/>
          <w:b/>
          <w:sz w:val="32"/>
          <w:szCs w:val="32"/>
        </w:rPr>
        <w:t>17.住房保障（类）住房改革（款）住房公积金（项）：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3271BFC9">
      <w:pPr>
        <w:ind w:firstLine="643" w:firstLineChars="200"/>
        <w:jc w:val="left"/>
        <w:rPr>
          <w:rFonts w:ascii="仿宋_GB2312" w:eastAsia="仿宋_GB2312"/>
          <w:b/>
          <w:sz w:val="32"/>
          <w:szCs w:val="32"/>
        </w:rPr>
      </w:pPr>
      <w:r>
        <w:rPr>
          <w:rFonts w:hint="eastAsia" w:ascii="仿宋_GB2312" w:eastAsia="仿宋_GB2312"/>
          <w:b/>
          <w:sz w:val="32"/>
          <w:szCs w:val="32"/>
        </w:rPr>
        <w:t>18. 基本支出：</w:t>
      </w:r>
      <w:r>
        <w:rPr>
          <w:rFonts w:hint="eastAsia" w:ascii="仿宋_GB2312" w:eastAsia="仿宋_GB2312"/>
          <w:sz w:val="32"/>
          <w:szCs w:val="32"/>
        </w:rPr>
        <w:t>指保障机构正常运转、完成日常工作任务而发生的人员支出和公用支出。</w:t>
      </w:r>
    </w:p>
    <w:p w14:paraId="4C09FD5D">
      <w:pPr>
        <w:ind w:firstLine="643" w:firstLineChars="200"/>
        <w:jc w:val="left"/>
        <w:rPr>
          <w:rFonts w:ascii="仿宋_GB2312" w:eastAsia="仿宋_GB2312"/>
          <w:sz w:val="32"/>
          <w:szCs w:val="32"/>
        </w:rPr>
      </w:pPr>
      <w:r>
        <w:rPr>
          <w:rFonts w:hint="eastAsia" w:ascii="仿宋_GB2312" w:eastAsia="仿宋_GB2312"/>
          <w:b/>
          <w:sz w:val="32"/>
          <w:szCs w:val="32"/>
        </w:rPr>
        <w:t>19.项目支出：</w:t>
      </w:r>
      <w:r>
        <w:rPr>
          <w:rFonts w:hint="eastAsia" w:ascii="仿宋_GB2312" w:eastAsia="仿宋_GB2312"/>
          <w:sz w:val="32"/>
          <w:szCs w:val="32"/>
        </w:rPr>
        <w:t>指在基本支出之外为完成特定行政任务和事业发展目标所发生的支出。</w:t>
      </w:r>
    </w:p>
    <w:p w14:paraId="2C745FED">
      <w:pPr>
        <w:ind w:firstLine="643" w:firstLineChars="200"/>
        <w:jc w:val="left"/>
        <w:rPr>
          <w:rFonts w:ascii="仿宋_GB2312" w:eastAsia="仿宋_GB2312"/>
          <w:sz w:val="32"/>
          <w:szCs w:val="32"/>
        </w:rPr>
      </w:pPr>
      <w:r>
        <w:rPr>
          <w:rFonts w:hint="eastAsia" w:ascii="仿宋_GB2312" w:eastAsia="仿宋_GB2312"/>
          <w:b/>
          <w:sz w:val="32"/>
          <w:szCs w:val="32"/>
        </w:rPr>
        <w:t>20.“三公”经费：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510B2A29">
      <w:pPr>
        <w:ind w:firstLine="643" w:firstLineChars="200"/>
        <w:jc w:val="left"/>
        <w:rPr>
          <w:rFonts w:ascii="仿宋_GB2312" w:eastAsia="仿宋_GB2312"/>
          <w:b/>
          <w:sz w:val="32"/>
          <w:szCs w:val="32"/>
        </w:rPr>
      </w:pPr>
      <w:r>
        <w:rPr>
          <w:rFonts w:hint="eastAsia" w:ascii="仿宋_GB2312" w:eastAsia="仿宋_GB2312"/>
          <w:b/>
          <w:sz w:val="32"/>
          <w:szCs w:val="32"/>
        </w:rPr>
        <w:t>21.机关运行经费：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A805349"/>
    <w:sectPr>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C29D5">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14:paraId="76C8DEC1">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DAF81A">
    <w:pPr>
      <w:pStyle w:val="3"/>
      <w:framePr w:wrap="around" w:vAnchor="text" w:hAnchor="margin" w:xAlign="center" w:y="1"/>
      <w:rPr>
        <w:rStyle w:val="7"/>
      </w:rPr>
    </w:pPr>
    <w:r>
      <w:fldChar w:fldCharType="begin"/>
    </w:r>
    <w:r>
      <w:rPr>
        <w:rStyle w:val="7"/>
      </w:rPr>
      <w:instrText xml:space="preserve">PAGE  </w:instrText>
    </w:r>
    <w:r>
      <w:fldChar w:fldCharType="end"/>
    </w:r>
  </w:p>
  <w:p w14:paraId="35A00027">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C29DA7"/>
    <w:multiLevelType w:val="singleLevel"/>
    <w:tmpl w:val="C9C29DA7"/>
    <w:lvl w:ilvl="0" w:tentative="0">
      <w:start w:val="3"/>
      <w:numFmt w:val="chineseCounting"/>
      <w:suff w:val="space"/>
      <w:lvlText w:val="第%1部分"/>
      <w:lvlJc w:val="left"/>
      <w:rPr>
        <w:rFonts w:hint="eastAsia"/>
      </w:rPr>
    </w:lvl>
  </w:abstractNum>
  <w:abstractNum w:abstractNumId="1">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BC5EB0"/>
    <w:multiLevelType w:val="singleLevel"/>
    <w:tmpl w:val="54BC5EB0"/>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E102BC3"/>
    <w:rsid w:val="000F168C"/>
    <w:rsid w:val="001B3ADF"/>
    <w:rsid w:val="00570D6F"/>
    <w:rsid w:val="00744D10"/>
    <w:rsid w:val="007E4AC0"/>
    <w:rsid w:val="009252C0"/>
    <w:rsid w:val="00B90FDE"/>
    <w:rsid w:val="00CF6A7C"/>
    <w:rsid w:val="00D86430"/>
    <w:rsid w:val="00DF2F45"/>
    <w:rsid w:val="00E232A2"/>
    <w:rsid w:val="00EB3EEF"/>
    <w:rsid w:val="0191665D"/>
    <w:rsid w:val="01A018E0"/>
    <w:rsid w:val="074A11F7"/>
    <w:rsid w:val="0D7A6206"/>
    <w:rsid w:val="18DD5ECF"/>
    <w:rsid w:val="2E40123B"/>
    <w:rsid w:val="32A122C8"/>
    <w:rsid w:val="374A5D09"/>
    <w:rsid w:val="3E102BC3"/>
    <w:rsid w:val="49F52D5E"/>
    <w:rsid w:val="52FC2100"/>
    <w:rsid w:val="57682D03"/>
    <w:rsid w:val="5C32406E"/>
    <w:rsid w:val="5DCC1829"/>
    <w:rsid w:val="78FA4271"/>
    <w:rsid w:val="792501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3437</Words>
  <Characters>3661</Characters>
  <Lines>26</Lines>
  <Paragraphs>7</Paragraphs>
  <TotalTime>101</TotalTime>
  <ScaleCrop>false</ScaleCrop>
  <LinksUpToDate>false</LinksUpToDate>
  <CharactersWithSpaces>3687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2019-01-23T05:50:00Z</dcterms:created>
  <dc:creator>Janet</dc:creator>
  <cp:lastModifiedBy>杨洋</cp:lastModifiedBy>
  <dcterms:modified xsi:type="dcterms:W3CDTF">2025-09-25T07:35:38Z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eyJoZGlkIjoiNzZiZTQ3ZmI1OTFmODUzNzgwMGRlNDBmMWZiZDQzMjEiLCJ1c2VySWQiOiIyMzQ0MjI2NjQifQ==</vt:lpwstr>
  </property>
  <property fmtid="{D5CDD505-2E9C-101B-9397-08002B2CF9AE}" pid="4" name="ICV">
    <vt:lpwstr>51D3E6E030E24F30850BC7AF6B572A48_12</vt:lpwstr>
  </property>
</Properties>
</file>