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2AC09">
      <w:pPr>
        <w:widowControl/>
        <w:jc w:val="center"/>
        <w:rPr>
          <w:rFonts w:ascii="Arial" w:hAnsi="Arial" w:cs="Arial"/>
          <w:kern w:val="0"/>
          <w:szCs w:val="21"/>
        </w:rPr>
      </w:pPr>
      <w:bookmarkStart w:id="1" w:name="_GoBack"/>
      <w:bookmarkEnd w:id="1"/>
      <w:r>
        <w:rPr>
          <w:rFonts w:ascii="Arial" w:hAnsi="Arial" w:cs="Arial"/>
          <w:b/>
          <w:bCs/>
          <w:kern w:val="0"/>
          <w:sz w:val="44"/>
          <w:szCs w:val="44"/>
        </w:rPr>
        <w:t> </w:t>
      </w:r>
    </w:p>
    <w:p w14:paraId="1FF86874">
      <w:pPr>
        <w:widowControl/>
        <w:jc w:val="center"/>
        <w:rPr>
          <w:rFonts w:ascii="Arial" w:hAnsi="Arial" w:cs="Arial"/>
          <w:kern w:val="0"/>
          <w:szCs w:val="21"/>
        </w:rPr>
      </w:pPr>
      <w:r>
        <w:rPr>
          <w:rFonts w:ascii="Arial" w:hAnsi="Arial" w:cs="Arial"/>
          <w:b/>
          <w:bCs/>
          <w:kern w:val="0"/>
          <w:sz w:val="44"/>
          <w:szCs w:val="44"/>
        </w:rPr>
        <w:t> </w:t>
      </w:r>
    </w:p>
    <w:p w14:paraId="17FC1A67">
      <w:pPr>
        <w:widowControl/>
        <w:jc w:val="center"/>
        <w:rPr>
          <w:rFonts w:ascii="Arial" w:hAnsi="Arial" w:cs="Arial"/>
          <w:kern w:val="0"/>
          <w:szCs w:val="21"/>
        </w:rPr>
      </w:pPr>
      <w:r>
        <w:rPr>
          <w:rFonts w:ascii="Arial" w:hAnsi="Arial" w:cs="Arial"/>
          <w:b/>
          <w:bCs/>
          <w:kern w:val="0"/>
          <w:sz w:val="44"/>
          <w:szCs w:val="44"/>
        </w:rPr>
        <w:t> </w:t>
      </w:r>
    </w:p>
    <w:p w14:paraId="4042FC03">
      <w:pPr>
        <w:widowControl/>
        <w:jc w:val="center"/>
        <w:rPr>
          <w:rFonts w:ascii="Arial" w:hAnsi="Arial" w:cs="Arial"/>
          <w:kern w:val="0"/>
          <w:szCs w:val="21"/>
        </w:rPr>
      </w:pPr>
      <w:r>
        <w:rPr>
          <w:rFonts w:ascii="Arial" w:hAnsi="Arial" w:cs="Arial"/>
          <w:b/>
          <w:bCs/>
          <w:kern w:val="0"/>
          <w:sz w:val="44"/>
          <w:szCs w:val="44"/>
        </w:rPr>
        <w:t> </w:t>
      </w:r>
    </w:p>
    <w:p w14:paraId="0321FD58">
      <w:pPr>
        <w:widowControl/>
        <w:jc w:val="center"/>
        <w:rPr>
          <w:rFonts w:ascii="Arial" w:hAnsi="Arial" w:cs="Arial"/>
          <w:kern w:val="0"/>
          <w:szCs w:val="21"/>
        </w:rPr>
      </w:pPr>
      <w:r>
        <w:rPr>
          <w:rFonts w:ascii="Arial" w:hAnsi="Arial" w:cs="Arial"/>
          <w:b/>
          <w:bCs/>
          <w:kern w:val="0"/>
          <w:sz w:val="44"/>
          <w:szCs w:val="44"/>
        </w:rPr>
        <w:t> </w:t>
      </w:r>
    </w:p>
    <w:p w14:paraId="6EB7AA5C">
      <w:pPr>
        <w:widowControl/>
        <w:jc w:val="center"/>
        <w:rPr>
          <w:rFonts w:ascii="Arial" w:hAnsi="Arial" w:cs="Arial"/>
          <w:kern w:val="0"/>
          <w:szCs w:val="21"/>
        </w:rPr>
      </w:pPr>
      <w:r>
        <w:rPr>
          <w:rFonts w:hint="eastAsia" w:ascii="楷体" w:hAnsi="楷体" w:eastAsia="楷体" w:cs="Arial"/>
          <w:b/>
          <w:bCs/>
          <w:kern w:val="0"/>
          <w:sz w:val="53"/>
        </w:rPr>
        <w:t>沈阳市浑南区高坎街道办事处</w:t>
      </w:r>
    </w:p>
    <w:p w14:paraId="1DD7C4A7">
      <w:pPr>
        <w:widowControl/>
        <w:jc w:val="center"/>
        <w:rPr>
          <w:rFonts w:ascii="Arial" w:hAnsi="Arial" w:cs="Arial"/>
          <w:kern w:val="0"/>
          <w:szCs w:val="21"/>
        </w:rPr>
      </w:pPr>
      <w:r>
        <w:rPr>
          <w:rFonts w:hint="eastAsia" w:ascii="楷体" w:hAnsi="楷体" w:eastAsia="楷体" w:cs="Arial"/>
          <w:b/>
          <w:bCs/>
          <w:kern w:val="0"/>
          <w:sz w:val="53"/>
        </w:rPr>
        <w:t>2019年部门预算</w:t>
      </w:r>
    </w:p>
    <w:p w14:paraId="411D85C2">
      <w:pPr>
        <w:widowControl/>
        <w:jc w:val="center"/>
        <w:rPr>
          <w:rFonts w:ascii="Arial" w:hAnsi="Arial" w:cs="Arial"/>
          <w:kern w:val="0"/>
          <w:szCs w:val="21"/>
        </w:rPr>
      </w:pPr>
      <w:r>
        <w:rPr>
          <w:rFonts w:hint="eastAsia" w:ascii="楷体" w:hAnsi="楷体" w:eastAsia="楷体" w:cs="Arial"/>
          <w:b/>
          <w:bCs/>
          <w:kern w:val="0"/>
          <w:sz w:val="53"/>
        </w:rPr>
        <w:t>（含“三公”经费预算）</w:t>
      </w:r>
    </w:p>
    <w:p w14:paraId="199CF386">
      <w:pPr>
        <w:widowControl/>
        <w:jc w:val="center"/>
        <w:rPr>
          <w:rFonts w:ascii="Arial" w:hAnsi="Arial" w:cs="Arial"/>
          <w:kern w:val="0"/>
          <w:szCs w:val="21"/>
        </w:rPr>
      </w:pPr>
      <w:r>
        <w:rPr>
          <w:rFonts w:ascii="Arial" w:hAnsi="Arial" w:cs="Arial"/>
          <w:b/>
          <w:bCs/>
          <w:kern w:val="0"/>
          <w:sz w:val="44"/>
          <w:szCs w:val="44"/>
        </w:rPr>
        <w:t> </w:t>
      </w:r>
    </w:p>
    <w:p w14:paraId="03360252">
      <w:pPr>
        <w:widowControl/>
        <w:jc w:val="center"/>
        <w:rPr>
          <w:rFonts w:ascii="Arial" w:hAnsi="Arial" w:cs="Arial"/>
          <w:kern w:val="0"/>
          <w:szCs w:val="21"/>
        </w:rPr>
      </w:pPr>
      <w:r>
        <w:rPr>
          <w:rFonts w:ascii="Arial" w:hAnsi="Arial" w:cs="Arial"/>
          <w:b/>
          <w:bCs/>
          <w:kern w:val="0"/>
          <w:sz w:val="44"/>
          <w:szCs w:val="44"/>
        </w:rPr>
        <w:t> </w:t>
      </w:r>
    </w:p>
    <w:p w14:paraId="358D7580">
      <w:pPr>
        <w:widowControl/>
        <w:jc w:val="center"/>
        <w:rPr>
          <w:rFonts w:ascii="Arial" w:hAnsi="Arial" w:cs="Arial"/>
          <w:kern w:val="0"/>
          <w:szCs w:val="21"/>
        </w:rPr>
      </w:pPr>
      <w:r>
        <w:rPr>
          <w:rFonts w:ascii="Arial" w:hAnsi="Arial" w:cs="Arial"/>
          <w:b/>
          <w:bCs/>
          <w:kern w:val="0"/>
          <w:sz w:val="44"/>
          <w:szCs w:val="44"/>
        </w:rPr>
        <w:t> </w:t>
      </w:r>
    </w:p>
    <w:p w14:paraId="5AA9E4DE">
      <w:pPr>
        <w:widowControl/>
        <w:jc w:val="center"/>
        <w:rPr>
          <w:rFonts w:ascii="Arial" w:hAnsi="Arial" w:cs="Arial"/>
          <w:kern w:val="0"/>
          <w:szCs w:val="21"/>
        </w:rPr>
      </w:pPr>
      <w:r>
        <w:rPr>
          <w:rFonts w:ascii="Arial" w:hAnsi="Arial" w:cs="Arial"/>
          <w:b/>
          <w:bCs/>
          <w:kern w:val="0"/>
          <w:sz w:val="44"/>
          <w:szCs w:val="44"/>
        </w:rPr>
        <w:t> </w:t>
      </w:r>
    </w:p>
    <w:p w14:paraId="496675BC">
      <w:pPr>
        <w:widowControl/>
        <w:jc w:val="center"/>
        <w:rPr>
          <w:rFonts w:ascii="Arial" w:hAnsi="Arial" w:cs="Arial"/>
          <w:kern w:val="0"/>
          <w:szCs w:val="21"/>
        </w:rPr>
      </w:pPr>
      <w:r>
        <w:rPr>
          <w:rFonts w:ascii="Arial" w:hAnsi="Arial" w:cs="Arial"/>
          <w:b/>
          <w:bCs/>
          <w:kern w:val="0"/>
          <w:sz w:val="44"/>
          <w:szCs w:val="44"/>
        </w:rPr>
        <w:t> </w:t>
      </w:r>
    </w:p>
    <w:p w14:paraId="2CABD61C">
      <w:pPr>
        <w:widowControl/>
        <w:jc w:val="center"/>
        <w:rPr>
          <w:rFonts w:ascii="Arial" w:hAnsi="Arial" w:cs="Arial"/>
          <w:kern w:val="0"/>
          <w:szCs w:val="21"/>
        </w:rPr>
      </w:pPr>
      <w:r>
        <w:rPr>
          <w:rFonts w:ascii="Arial" w:hAnsi="Arial" w:cs="Arial"/>
          <w:b/>
          <w:bCs/>
          <w:kern w:val="0"/>
          <w:sz w:val="44"/>
          <w:szCs w:val="44"/>
        </w:rPr>
        <w:t> </w:t>
      </w:r>
    </w:p>
    <w:p w14:paraId="19DEE38F">
      <w:pPr>
        <w:widowControl/>
        <w:jc w:val="center"/>
        <w:rPr>
          <w:rFonts w:ascii="Arial" w:hAnsi="Arial" w:cs="Arial"/>
          <w:kern w:val="0"/>
          <w:szCs w:val="21"/>
        </w:rPr>
      </w:pPr>
      <w:r>
        <w:rPr>
          <w:rFonts w:ascii="Arial" w:hAnsi="Arial" w:cs="Arial"/>
          <w:b/>
          <w:bCs/>
          <w:kern w:val="0"/>
          <w:sz w:val="44"/>
          <w:szCs w:val="44"/>
        </w:rPr>
        <w:t> </w:t>
      </w:r>
    </w:p>
    <w:p w14:paraId="2856726C">
      <w:pPr>
        <w:widowControl/>
        <w:jc w:val="center"/>
        <w:rPr>
          <w:rFonts w:ascii="Arial" w:hAnsi="Arial" w:cs="Arial"/>
          <w:kern w:val="0"/>
          <w:szCs w:val="21"/>
        </w:rPr>
      </w:pPr>
      <w:r>
        <w:rPr>
          <w:rFonts w:ascii="Arial" w:hAnsi="Arial" w:cs="Arial"/>
          <w:b/>
          <w:bCs/>
          <w:kern w:val="0"/>
          <w:sz w:val="44"/>
          <w:szCs w:val="44"/>
        </w:rPr>
        <w:t> </w:t>
      </w:r>
    </w:p>
    <w:p w14:paraId="1DE1E2BD">
      <w:pPr>
        <w:widowControl/>
        <w:jc w:val="center"/>
        <w:rPr>
          <w:rFonts w:ascii="Arial" w:hAnsi="Arial" w:cs="Arial"/>
          <w:kern w:val="0"/>
          <w:szCs w:val="21"/>
        </w:rPr>
      </w:pPr>
      <w:r>
        <w:rPr>
          <w:rFonts w:ascii="Arial" w:hAnsi="Arial" w:cs="Arial"/>
          <w:b/>
          <w:bCs/>
          <w:kern w:val="0"/>
          <w:sz w:val="44"/>
          <w:szCs w:val="44"/>
        </w:rPr>
        <w:t> </w:t>
      </w:r>
    </w:p>
    <w:p w14:paraId="7865531A">
      <w:pPr>
        <w:widowControl/>
        <w:jc w:val="center"/>
        <w:rPr>
          <w:rFonts w:ascii="Arial" w:hAnsi="Arial" w:cs="Arial"/>
          <w:kern w:val="0"/>
          <w:szCs w:val="21"/>
        </w:rPr>
      </w:pPr>
      <w:r>
        <w:rPr>
          <w:rFonts w:ascii="Arial" w:hAnsi="Arial" w:cs="Arial"/>
          <w:b/>
          <w:bCs/>
          <w:kern w:val="0"/>
          <w:sz w:val="44"/>
          <w:szCs w:val="44"/>
        </w:rPr>
        <w:t> </w:t>
      </w:r>
    </w:p>
    <w:p w14:paraId="542D8631">
      <w:pPr>
        <w:widowControl/>
        <w:jc w:val="left"/>
        <w:rPr>
          <w:rFonts w:ascii="Arial" w:hAnsi="Arial" w:cs="Arial"/>
          <w:kern w:val="0"/>
          <w:szCs w:val="21"/>
        </w:rPr>
      </w:pPr>
      <w:r>
        <w:rPr>
          <w:rFonts w:ascii="Arial" w:hAnsi="Arial" w:cs="Arial"/>
          <w:b/>
          <w:bCs/>
          <w:kern w:val="0"/>
          <w:sz w:val="44"/>
          <w:szCs w:val="44"/>
        </w:rPr>
        <w:t> </w:t>
      </w:r>
    </w:p>
    <w:p w14:paraId="1F40A3BB">
      <w:pPr>
        <w:widowControl/>
        <w:jc w:val="center"/>
        <w:rPr>
          <w:rFonts w:ascii="Arial" w:hAnsi="Arial" w:cs="Arial"/>
          <w:b/>
          <w:bCs/>
          <w:kern w:val="0"/>
          <w:sz w:val="44"/>
        </w:rPr>
      </w:pPr>
    </w:p>
    <w:p w14:paraId="2C738E5B">
      <w:pPr>
        <w:widowControl/>
        <w:jc w:val="center"/>
        <w:rPr>
          <w:rFonts w:ascii="Arial" w:hAnsi="Arial" w:cs="Arial"/>
          <w:kern w:val="0"/>
          <w:szCs w:val="21"/>
        </w:rPr>
      </w:pPr>
      <w:r>
        <w:rPr>
          <w:rFonts w:ascii="Arial" w:hAnsi="Arial" w:cs="Arial"/>
          <w:b/>
          <w:bCs/>
          <w:kern w:val="0"/>
          <w:sz w:val="44"/>
        </w:rPr>
        <w:t>目    录</w:t>
      </w:r>
    </w:p>
    <w:p w14:paraId="461F13A8">
      <w:pPr>
        <w:widowControl/>
        <w:jc w:val="left"/>
        <w:rPr>
          <w:rFonts w:ascii="Arial" w:hAnsi="Arial" w:cs="Arial"/>
          <w:kern w:val="0"/>
          <w:szCs w:val="21"/>
        </w:rPr>
      </w:pPr>
      <w:r>
        <w:rPr>
          <w:rFonts w:ascii="Arial" w:hAnsi="Arial" w:cs="Arial"/>
          <w:b/>
          <w:bCs/>
          <w:kern w:val="0"/>
          <w:sz w:val="44"/>
          <w:szCs w:val="44"/>
        </w:rPr>
        <w:t> </w:t>
      </w:r>
    </w:p>
    <w:p w14:paraId="759B249A">
      <w:pPr>
        <w:widowControl/>
        <w:jc w:val="left"/>
        <w:rPr>
          <w:rFonts w:ascii="Arial" w:hAnsi="Arial" w:cs="Arial"/>
          <w:kern w:val="0"/>
          <w:szCs w:val="21"/>
        </w:rPr>
      </w:pPr>
    </w:p>
    <w:p w14:paraId="124C576C">
      <w:pPr>
        <w:widowControl/>
        <w:jc w:val="left"/>
        <w:rPr>
          <w:rFonts w:ascii="Arial" w:hAnsi="Arial" w:cs="Arial"/>
          <w:kern w:val="0"/>
          <w:szCs w:val="21"/>
        </w:rPr>
      </w:pPr>
      <w:r>
        <w:rPr>
          <w:rFonts w:hint="eastAsia" w:ascii="黑体" w:hAnsi="黑体" w:eastAsia="黑体" w:cs="Arial"/>
          <w:kern w:val="0"/>
          <w:sz w:val="32"/>
        </w:rPr>
        <w:t>第一部分</w:t>
      </w:r>
      <w:r>
        <w:rPr>
          <w:rFonts w:hint="eastAsia" w:ascii="宋体" w:hAnsi="宋体" w:cs="宋体"/>
          <w:kern w:val="0"/>
          <w:sz w:val="32"/>
        </w:rPr>
        <w:t>  </w:t>
      </w:r>
      <w:r>
        <w:rPr>
          <w:rFonts w:hint="eastAsia" w:ascii="黑体" w:hAnsi="黑体" w:eastAsia="黑体" w:cs="Arial"/>
          <w:kern w:val="0"/>
          <w:sz w:val="32"/>
        </w:rPr>
        <w:t>沈阳市浑南区高坎街道办事处概况</w:t>
      </w:r>
    </w:p>
    <w:p w14:paraId="00D0F456">
      <w:pPr>
        <w:widowControl/>
        <w:jc w:val="left"/>
        <w:rPr>
          <w:rFonts w:ascii="Arial" w:hAnsi="Arial" w:cs="Arial"/>
          <w:kern w:val="0"/>
          <w:szCs w:val="21"/>
        </w:rPr>
      </w:pPr>
      <w:r>
        <w:rPr>
          <w:rFonts w:hint="eastAsia" w:ascii="仿宋_GB2312" w:hAnsi="Arial" w:eastAsia="仿宋_GB2312" w:cs="Arial"/>
          <w:kern w:val="0"/>
          <w:sz w:val="32"/>
        </w:rPr>
        <w:t>一、 主要职责</w:t>
      </w:r>
    </w:p>
    <w:p w14:paraId="34D5C06B">
      <w:pPr>
        <w:widowControl/>
        <w:jc w:val="left"/>
        <w:rPr>
          <w:rFonts w:ascii="Arial" w:hAnsi="Arial" w:cs="Arial"/>
          <w:kern w:val="0"/>
          <w:szCs w:val="21"/>
        </w:rPr>
      </w:pPr>
      <w:r>
        <w:rPr>
          <w:rFonts w:hint="eastAsia" w:ascii="仿宋_GB2312" w:hAnsi="Arial" w:eastAsia="仿宋_GB2312" w:cs="Arial"/>
          <w:kern w:val="0"/>
          <w:sz w:val="32"/>
        </w:rPr>
        <w:t>二、 部门预算单位构成</w:t>
      </w:r>
    </w:p>
    <w:p w14:paraId="6EF4D142">
      <w:pPr>
        <w:widowControl/>
        <w:jc w:val="left"/>
        <w:rPr>
          <w:rFonts w:ascii="Arial" w:hAnsi="Arial" w:cs="Arial"/>
          <w:kern w:val="0"/>
          <w:szCs w:val="21"/>
        </w:rPr>
      </w:pPr>
      <w:r>
        <w:rPr>
          <w:rFonts w:hint="eastAsia" w:ascii="黑体" w:hAnsi="黑体" w:eastAsia="黑体" w:cs="Arial"/>
          <w:kern w:val="0"/>
          <w:sz w:val="32"/>
        </w:rPr>
        <w:t>第二部分</w:t>
      </w:r>
      <w:r>
        <w:rPr>
          <w:rFonts w:hint="eastAsia" w:ascii="宋体" w:hAnsi="宋体" w:cs="宋体"/>
          <w:kern w:val="0"/>
          <w:sz w:val="32"/>
        </w:rPr>
        <w:t>  </w:t>
      </w:r>
      <w:r>
        <w:rPr>
          <w:rFonts w:hint="eastAsia" w:ascii="黑体" w:hAnsi="黑体" w:eastAsia="黑体" w:cs="Arial"/>
          <w:kern w:val="0"/>
          <w:sz w:val="32"/>
        </w:rPr>
        <w:t>沈阳市浑南区高坎街道办事处2019年部门预算公开表</w:t>
      </w:r>
    </w:p>
    <w:p w14:paraId="7F7197E8">
      <w:pPr>
        <w:rPr>
          <w:rFonts w:hint="eastAsia" w:ascii="仿宋_GB2312" w:hAnsi="黑体" w:eastAsia="仿宋_GB2312"/>
          <w:sz w:val="32"/>
          <w:szCs w:val="32"/>
        </w:rPr>
      </w:pPr>
      <w:r>
        <w:rPr>
          <w:rFonts w:hint="eastAsia" w:ascii="仿宋_GB2312" w:hAnsi="黑体" w:eastAsia="仿宋_GB2312"/>
          <w:sz w:val="32"/>
          <w:szCs w:val="32"/>
        </w:rPr>
        <w:t>表1.</w:t>
      </w:r>
      <w:r>
        <w:rPr>
          <w:rFonts w:hint="eastAsia"/>
        </w:rPr>
        <w:t xml:space="preserve"> </w:t>
      </w:r>
      <w:r>
        <w:rPr>
          <w:rFonts w:hint="eastAsia" w:ascii="仿宋_GB2312" w:hAnsi="黑体" w:eastAsia="仿宋_GB2312"/>
          <w:sz w:val="32"/>
          <w:szCs w:val="32"/>
        </w:rPr>
        <w:t>部门收支总表</w:t>
      </w:r>
    </w:p>
    <w:p w14:paraId="27F0AEB0">
      <w:pPr>
        <w:rPr>
          <w:rFonts w:hint="eastAsia" w:ascii="仿宋_GB2312" w:hAnsi="黑体" w:eastAsia="仿宋_GB2312"/>
          <w:sz w:val="32"/>
          <w:szCs w:val="32"/>
        </w:rPr>
      </w:pPr>
      <w:r>
        <w:rPr>
          <w:rFonts w:hint="eastAsia" w:ascii="仿宋_GB2312" w:hAnsi="黑体" w:eastAsia="仿宋_GB2312"/>
          <w:sz w:val="32"/>
          <w:szCs w:val="32"/>
        </w:rPr>
        <w:t>表2.</w:t>
      </w:r>
      <w:r>
        <w:rPr>
          <w:rFonts w:hint="eastAsia"/>
        </w:rPr>
        <w:t xml:space="preserve"> </w:t>
      </w:r>
      <w:r>
        <w:rPr>
          <w:rFonts w:hint="eastAsia" w:ascii="仿宋_GB2312" w:hAnsi="黑体" w:eastAsia="仿宋_GB2312"/>
          <w:sz w:val="32"/>
          <w:szCs w:val="32"/>
        </w:rPr>
        <w:t>部门收入总表</w:t>
      </w:r>
    </w:p>
    <w:p w14:paraId="4F471BA1">
      <w:pPr>
        <w:rPr>
          <w:rFonts w:hint="eastAsia" w:ascii="仿宋_GB2312" w:hAnsi="黑体" w:eastAsia="仿宋_GB2312"/>
          <w:sz w:val="32"/>
          <w:szCs w:val="32"/>
        </w:rPr>
      </w:pPr>
      <w:r>
        <w:rPr>
          <w:rFonts w:hint="eastAsia" w:ascii="仿宋_GB2312" w:hAnsi="黑体" w:eastAsia="仿宋_GB2312"/>
          <w:sz w:val="32"/>
          <w:szCs w:val="32"/>
        </w:rPr>
        <w:t>表3.</w:t>
      </w:r>
      <w:r>
        <w:rPr>
          <w:rFonts w:hint="eastAsia"/>
        </w:rPr>
        <w:t xml:space="preserve"> </w:t>
      </w:r>
      <w:r>
        <w:rPr>
          <w:rFonts w:hint="eastAsia" w:ascii="仿宋_GB2312" w:hAnsi="黑体" w:eastAsia="仿宋_GB2312"/>
          <w:sz w:val="32"/>
          <w:szCs w:val="32"/>
        </w:rPr>
        <w:t>部门支出总表</w:t>
      </w:r>
    </w:p>
    <w:p w14:paraId="14F2E97B">
      <w:pPr>
        <w:rPr>
          <w:rFonts w:hint="eastAsia" w:ascii="仿宋_GB2312" w:hAnsi="黑体" w:eastAsia="仿宋_GB2312"/>
          <w:sz w:val="32"/>
          <w:szCs w:val="32"/>
        </w:rPr>
      </w:pPr>
      <w:r>
        <w:rPr>
          <w:rFonts w:hint="eastAsia" w:ascii="仿宋_GB2312" w:hAnsi="黑体" w:eastAsia="仿宋_GB2312"/>
          <w:sz w:val="32"/>
          <w:szCs w:val="32"/>
        </w:rPr>
        <w:t>表4.</w:t>
      </w:r>
      <w:r>
        <w:rPr>
          <w:rFonts w:hint="eastAsia"/>
        </w:rPr>
        <w:t xml:space="preserve"> </w:t>
      </w:r>
      <w:r>
        <w:rPr>
          <w:rFonts w:hint="eastAsia" w:ascii="仿宋_GB2312" w:hAnsi="黑体" w:eastAsia="仿宋_GB2312"/>
          <w:sz w:val="32"/>
          <w:szCs w:val="32"/>
        </w:rPr>
        <w:t>财政拨款收支总表</w:t>
      </w:r>
    </w:p>
    <w:p w14:paraId="17450B8A">
      <w:pPr>
        <w:rPr>
          <w:rFonts w:hint="eastAsia" w:ascii="仿宋_GB2312" w:hAnsi="黑体" w:eastAsia="仿宋_GB2312"/>
          <w:sz w:val="32"/>
          <w:szCs w:val="32"/>
        </w:rPr>
      </w:pPr>
      <w:r>
        <w:rPr>
          <w:rFonts w:hint="eastAsia" w:ascii="仿宋_GB2312" w:hAnsi="黑体" w:eastAsia="仿宋_GB2312"/>
          <w:sz w:val="32"/>
          <w:szCs w:val="32"/>
        </w:rPr>
        <w:t>表5.</w:t>
      </w:r>
      <w:r>
        <w:rPr>
          <w:rFonts w:hint="eastAsia"/>
        </w:rPr>
        <w:t xml:space="preserve"> </w:t>
      </w:r>
      <w:r>
        <w:rPr>
          <w:rFonts w:hint="eastAsia" w:ascii="仿宋_GB2312" w:hAnsi="黑体" w:eastAsia="仿宋_GB2312"/>
          <w:sz w:val="32"/>
          <w:szCs w:val="32"/>
        </w:rPr>
        <w:t>一般公共预算支出表</w:t>
      </w:r>
    </w:p>
    <w:p w14:paraId="3D3C593F">
      <w:pPr>
        <w:rPr>
          <w:rFonts w:hint="eastAsia" w:ascii="仿宋_GB2312" w:hAnsi="黑体" w:eastAsia="仿宋_GB2312"/>
          <w:sz w:val="32"/>
          <w:szCs w:val="32"/>
        </w:rPr>
      </w:pPr>
      <w:r>
        <w:rPr>
          <w:rFonts w:hint="eastAsia" w:ascii="仿宋_GB2312" w:hAnsi="黑体" w:eastAsia="仿宋_GB2312"/>
          <w:sz w:val="32"/>
          <w:szCs w:val="32"/>
        </w:rPr>
        <w:t>表6.</w:t>
      </w:r>
      <w:r>
        <w:rPr>
          <w:rFonts w:hint="eastAsia"/>
        </w:rPr>
        <w:t xml:space="preserve"> </w:t>
      </w:r>
      <w:r>
        <w:rPr>
          <w:rFonts w:hint="eastAsia" w:ascii="仿宋_GB2312" w:hAnsi="黑体" w:eastAsia="仿宋_GB2312"/>
          <w:sz w:val="32"/>
          <w:szCs w:val="32"/>
        </w:rPr>
        <w:t>预算内财力支出预算表</w:t>
      </w:r>
    </w:p>
    <w:p w14:paraId="4AD58137">
      <w:pPr>
        <w:rPr>
          <w:rFonts w:hint="eastAsia" w:ascii="仿宋_GB2312" w:hAnsi="黑体" w:eastAsia="仿宋_GB2312"/>
          <w:sz w:val="32"/>
          <w:szCs w:val="32"/>
        </w:rPr>
      </w:pPr>
      <w:r>
        <w:rPr>
          <w:rFonts w:hint="eastAsia" w:ascii="仿宋_GB2312" w:hAnsi="黑体" w:eastAsia="仿宋_GB2312"/>
          <w:sz w:val="32"/>
          <w:szCs w:val="32"/>
        </w:rPr>
        <w:t>表7.</w:t>
      </w:r>
      <w:r>
        <w:rPr>
          <w:rFonts w:hint="eastAsia"/>
        </w:rPr>
        <w:t xml:space="preserve"> </w:t>
      </w:r>
      <w:r>
        <w:rPr>
          <w:rFonts w:hint="eastAsia" w:ascii="仿宋_GB2312" w:hAnsi="黑体" w:eastAsia="仿宋_GB2312"/>
          <w:sz w:val="32"/>
          <w:szCs w:val="32"/>
        </w:rPr>
        <w:t>一般公共预算基本支出表</w:t>
      </w:r>
    </w:p>
    <w:p w14:paraId="613E70CC">
      <w:pPr>
        <w:rPr>
          <w:rFonts w:hint="eastAsia" w:ascii="仿宋_GB2312" w:hAnsi="黑体" w:eastAsia="仿宋_GB2312"/>
          <w:sz w:val="32"/>
          <w:szCs w:val="32"/>
        </w:rPr>
      </w:pPr>
      <w:r>
        <w:rPr>
          <w:rFonts w:hint="eastAsia" w:ascii="仿宋_GB2312" w:hAnsi="黑体" w:eastAsia="仿宋_GB2312"/>
          <w:sz w:val="32"/>
          <w:szCs w:val="32"/>
        </w:rPr>
        <w:t>表8.</w:t>
      </w:r>
      <w:r>
        <w:rPr>
          <w:rFonts w:hint="eastAsia"/>
        </w:rPr>
        <w:t xml:space="preserve"> </w:t>
      </w:r>
      <w:r>
        <w:rPr>
          <w:rFonts w:hint="eastAsia" w:ascii="仿宋_GB2312" w:hAnsi="黑体" w:eastAsia="仿宋_GB2312"/>
          <w:sz w:val="32"/>
          <w:szCs w:val="32"/>
        </w:rPr>
        <w:t>政府性基金预算支出表</w:t>
      </w:r>
    </w:p>
    <w:p w14:paraId="4D758FD7">
      <w:pPr>
        <w:rPr>
          <w:rFonts w:hint="eastAsia" w:ascii="仿宋_GB2312" w:hAnsi="黑体" w:eastAsia="仿宋_GB2312"/>
          <w:sz w:val="32"/>
          <w:szCs w:val="32"/>
        </w:rPr>
      </w:pPr>
      <w:r>
        <w:rPr>
          <w:rFonts w:hint="eastAsia" w:ascii="仿宋_GB2312" w:hAnsi="黑体" w:eastAsia="仿宋_GB2312"/>
          <w:sz w:val="32"/>
          <w:szCs w:val="32"/>
        </w:rPr>
        <w:t>表9.</w:t>
      </w:r>
      <w:r>
        <w:rPr>
          <w:rFonts w:hint="eastAsia"/>
        </w:rPr>
        <w:t xml:space="preserve"> </w:t>
      </w:r>
      <w:r>
        <w:rPr>
          <w:rFonts w:hint="eastAsia" w:ascii="仿宋_GB2312" w:hAnsi="黑体" w:eastAsia="仿宋_GB2312"/>
          <w:sz w:val="32"/>
          <w:szCs w:val="32"/>
        </w:rPr>
        <w:t>财政拨款</w:t>
      </w:r>
      <w:r>
        <w:rPr>
          <w:rFonts w:hint="eastAsia" w:ascii="仿宋_GB2312" w:hAnsi="黑体" w:eastAsia="仿宋_GB2312"/>
          <w:sz w:val="32"/>
          <w:szCs w:val="32"/>
          <w:lang w:eastAsia="zh-CN"/>
        </w:rPr>
        <w:t>“三公”经费</w:t>
      </w:r>
      <w:r>
        <w:rPr>
          <w:rFonts w:hint="eastAsia" w:ascii="仿宋_GB2312" w:hAnsi="黑体" w:eastAsia="仿宋_GB2312"/>
          <w:sz w:val="32"/>
          <w:szCs w:val="32"/>
        </w:rPr>
        <w:t>情况对比表</w:t>
      </w:r>
    </w:p>
    <w:p w14:paraId="433E6043">
      <w:pPr>
        <w:rPr>
          <w:rFonts w:hint="eastAsia" w:ascii="仿宋_GB2312" w:hAnsi="黑体" w:eastAsia="仿宋_GB2312"/>
          <w:sz w:val="32"/>
          <w:szCs w:val="32"/>
        </w:rPr>
      </w:pPr>
      <w:r>
        <w:rPr>
          <w:rFonts w:hint="eastAsia" w:ascii="仿宋_GB2312" w:hAnsi="黑体" w:eastAsia="仿宋_GB2312"/>
          <w:sz w:val="32"/>
          <w:szCs w:val="32"/>
        </w:rPr>
        <w:t>表10.</w:t>
      </w:r>
      <w:r>
        <w:rPr>
          <w:rFonts w:hint="eastAsia"/>
        </w:rPr>
        <w:t xml:space="preserve"> </w:t>
      </w:r>
      <w:r>
        <w:rPr>
          <w:rFonts w:hint="eastAsia" w:ascii="仿宋_GB2312" w:hAnsi="黑体" w:eastAsia="仿宋_GB2312"/>
          <w:sz w:val="32"/>
          <w:szCs w:val="32"/>
        </w:rPr>
        <w:t>2019年部门预算项目支出表</w:t>
      </w:r>
    </w:p>
    <w:p w14:paraId="0F0C5AA6">
      <w:pPr>
        <w:rPr>
          <w:rFonts w:hint="eastAsia" w:ascii="仿宋_GB2312" w:hAnsi="黑体" w:eastAsia="仿宋_GB2312"/>
          <w:sz w:val="32"/>
          <w:szCs w:val="32"/>
        </w:rPr>
      </w:pPr>
      <w:r>
        <w:rPr>
          <w:rFonts w:hint="eastAsia" w:ascii="仿宋_GB2312" w:hAnsi="黑体" w:eastAsia="仿宋_GB2312"/>
          <w:sz w:val="32"/>
          <w:szCs w:val="32"/>
        </w:rPr>
        <w:t>表11.</w:t>
      </w:r>
      <w:r>
        <w:rPr>
          <w:rFonts w:hint="eastAsia"/>
        </w:rPr>
        <w:t xml:space="preserve"> </w:t>
      </w:r>
      <w:r>
        <w:rPr>
          <w:rFonts w:hint="eastAsia" w:ascii="仿宋_GB2312" w:hAnsi="黑体" w:eastAsia="仿宋_GB2312"/>
          <w:sz w:val="32"/>
          <w:szCs w:val="32"/>
        </w:rPr>
        <w:t>收入预算按单位分类汇总表</w:t>
      </w:r>
    </w:p>
    <w:p w14:paraId="78816270">
      <w:pPr>
        <w:rPr>
          <w:rFonts w:hint="eastAsia" w:ascii="仿宋_GB2312" w:hAnsi="黑体" w:eastAsia="仿宋_GB2312"/>
          <w:sz w:val="32"/>
          <w:szCs w:val="32"/>
        </w:rPr>
      </w:pPr>
      <w:r>
        <w:rPr>
          <w:rFonts w:hint="eastAsia" w:ascii="仿宋_GB2312" w:hAnsi="黑体" w:eastAsia="仿宋_GB2312"/>
          <w:sz w:val="32"/>
          <w:szCs w:val="32"/>
        </w:rPr>
        <w:t>表12.</w:t>
      </w:r>
      <w:r>
        <w:rPr>
          <w:rFonts w:hint="eastAsia"/>
        </w:rPr>
        <w:t xml:space="preserve"> </w:t>
      </w:r>
      <w:r>
        <w:rPr>
          <w:rFonts w:hint="eastAsia" w:ascii="仿宋_GB2312" w:hAnsi="黑体" w:eastAsia="仿宋_GB2312"/>
          <w:sz w:val="32"/>
          <w:szCs w:val="32"/>
        </w:rPr>
        <w:t>支出预算按单位分类汇总表</w:t>
      </w:r>
    </w:p>
    <w:p w14:paraId="5E0C0567">
      <w:pPr>
        <w:widowControl/>
        <w:jc w:val="left"/>
        <w:rPr>
          <w:rFonts w:ascii="Arial" w:hAnsi="Arial" w:cs="Arial"/>
          <w:kern w:val="0"/>
          <w:szCs w:val="21"/>
        </w:rPr>
      </w:pPr>
      <w:r>
        <w:rPr>
          <w:rFonts w:hint="eastAsia" w:ascii="黑体" w:hAnsi="黑体" w:eastAsia="黑体" w:cs="Arial"/>
          <w:kern w:val="0"/>
          <w:sz w:val="32"/>
        </w:rPr>
        <w:t>第三部分</w:t>
      </w:r>
      <w:r>
        <w:rPr>
          <w:rFonts w:hint="eastAsia" w:ascii="宋体" w:hAnsi="宋体" w:cs="宋体"/>
          <w:kern w:val="0"/>
          <w:sz w:val="32"/>
        </w:rPr>
        <w:t> </w:t>
      </w:r>
      <w:r>
        <w:rPr>
          <w:rFonts w:hint="eastAsia" w:ascii="黑体" w:hAnsi="黑体" w:eastAsia="黑体" w:cs="Arial"/>
          <w:kern w:val="0"/>
          <w:sz w:val="32"/>
        </w:rPr>
        <w:t>沈阳市浑南区高坎街道办事处2019年部门预算情况说明</w:t>
      </w:r>
    </w:p>
    <w:p w14:paraId="17BDBD14">
      <w:pPr>
        <w:widowControl/>
        <w:jc w:val="left"/>
        <w:rPr>
          <w:rFonts w:ascii="Arial" w:hAnsi="Arial" w:cs="Arial"/>
          <w:kern w:val="0"/>
          <w:szCs w:val="21"/>
        </w:rPr>
      </w:pPr>
      <w:r>
        <w:rPr>
          <w:rFonts w:hint="eastAsia" w:ascii="黑体" w:hAnsi="黑体" w:eastAsia="黑体" w:cs="Arial"/>
          <w:kern w:val="0"/>
          <w:sz w:val="32"/>
        </w:rPr>
        <w:t>第四部分</w:t>
      </w:r>
      <w:r>
        <w:rPr>
          <w:rFonts w:hint="eastAsia" w:ascii="宋体" w:hAnsi="宋体" w:cs="宋体"/>
          <w:kern w:val="0"/>
          <w:sz w:val="32"/>
        </w:rPr>
        <w:t> </w:t>
      </w:r>
      <w:r>
        <w:rPr>
          <w:rFonts w:hint="eastAsia" w:ascii="黑体" w:hAnsi="黑体" w:eastAsia="黑体" w:cs="Arial"/>
          <w:kern w:val="0"/>
          <w:sz w:val="32"/>
        </w:rPr>
        <w:t>名词解释</w:t>
      </w:r>
    </w:p>
    <w:p w14:paraId="138079A2">
      <w:pPr>
        <w:widowControl/>
        <w:jc w:val="left"/>
        <w:rPr>
          <w:rFonts w:ascii="Arial" w:hAnsi="Arial" w:cs="Arial"/>
          <w:kern w:val="0"/>
          <w:szCs w:val="21"/>
        </w:rPr>
      </w:pPr>
      <w:r>
        <w:rPr>
          <w:rFonts w:hint="eastAsia" w:ascii="宋体" w:hAnsi="宋体" w:cs="宋体"/>
          <w:b/>
          <w:bCs/>
          <w:kern w:val="0"/>
          <w:sz w:val="44"/>
          <w:szCs w:val="44"/>
        </w:rPr>
        <w:t> </w:t>
      </w:r>
    </w:p>
    <w:p w14:paraId="0891F02C">
      <w:pPr>
        <w:widowControl/>
        <w:jc w:val="center"/>
        <w:rPr>
          <w:rFonts w:ascii="Arial" w:hAnsi="Arial" w:cs="Arial"/>
          <w:kern w:val="0"/>
          <w:szCs w:val="21"/>
        </w:rPr>
      </w:pPr>
      <w:r>
        <w:rPr>
          <w:rFonts w:ascii="Arial" w:hAnsi="Arial" w:cs="Arial"/>
          <w:b/>
          <w:bCs/>
          <w:kern w:val="0"/>
          <w:sz w:val="36"/>
        </w:rPr>
        <w:t>第一部分 沈阳市</w:t>
      </w:r>
      <w:r>
        <w:rPr>
          <w:rFonts w:hint="eastAsia" w:ascii="Arial" w:hAnsi="Arial" w:cs="Arial"/>
          <w:b/>
          <w:bCs/>
          <w:kern w:val="0"/>
          <w:sz w:val="36"/>
        </w:rPr>
        <w:t>浑南区高坎街道办事处</w:t>
      </w:r>
      <w:r>
        <w:rPr>
          <w:rFonts w:ascii="Arial" w:hAnsi="Arial" w:cs="Arial"/>
          <w:b/>
          <w:bCs/>
          <w:kern w:val="0"/>
          <w:sz w:val="36"/>
        </w:rPr>
        <w:t>概况</w:t>
      </w:r>
    </w:p>
    <w:p w14:paraId="00702BBD">
      <w:pPr>
        <w:widowControl/>
        <w:ind w:firstLine="645"/>
        <w:jc w:val="left"/>
        <w:rPr>
          <w:rFonts w:ascii="Arial" w:hAnsi="Arial" w:cs="Arial"/>
          <w:kern w:val="0"/>
          <w:szCs w:val="21"/>
        </w:rPr>
      </w:pPr>
      <w:r>
        <w:rPr>
          <w:rFonts w:hint="eastAsia" w:ascii="宋体" w:hAnsi="宋体" w:cs="宋体"/>
          <w:kern w:val="0"/>
          <w:sz w:val="32"/>
          <w:szCs w:val="32"/>
        </w:rPr>
        <w:t> </w:t>
      </w:r>
    </w:p>
    <w:p w14:paraId="1B40ECB6">
      <w:pPr>
        <w:widowControl/>
        <w:ind w:firstLine="645"/>
        <w:jc w:val="left"/>
        <w:rPr>
          <w:rFonts w:ascii="Arial" w:hAnsi="Arial" w:cs="Arial"/>
          <w:kern w:val="0"/>
          <w:szCs w:val="21"/>
        </w:rPr>
      </w:pPr>
      <w:r>
        <w:rPr>
          <w:rFonts w:hint="eastAsia" w:ascii="黑体" w:hAnsi="黑体" w:eastAsia="黑体" w:cs="Arial"/>
          <w:kern w:val="0"/>
          <w:sz w:val="32"/>
        </w:rPr>
        <w:t>一、主要职责</w:t>
      </w:r>
    </w:p>
    <w:p w14:paraId="1427856B">
      <w:pPr>
        <w:pStyle w:val="7"/>
        <w:spacing w:line="520" w:lineRule="exact"/>
        <w:ind w:firstLine="640"/>
        <w:rPr>
          <w:rFonts w:hAnsi="仿宋_GB2312" w:cs="仿宋_GB2312"/>
          <w:szCs w:val="32"/>
        </w:rPr>
      </w:pPr>
      <w:r>
        <w:rPr>
          <w:rFonts w:hint="eastAsia" w:hAnsi="仿宋_GB2312" w:cs="仿宋_GB2312"/>
          <w:szCs w:val="32"/>
        </w:rPr>
        <w:t>根据《沈阳市浑南区街道机构改革方案》，街道的职能定位为：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14:paraId="197C9DFB">
      <w:pPr>
        <w:pStyle w:val="7"/>
        <w:spacing w:line="520" w:lineRule="exact"/>
        <w:ind w:firstLine="640"/>
        <w:rPr>
          <w:rFonts w:hAnsi="仿宋_GB2312" w:cs="仿宋_GB2312"/>
          <w:szCs w:val="32"/>
        </w:rPr>
      </w:pPr>
      <w:r>
        <w:rPr>
          <w:rFonts w:hint="eastAsia" w:hAnsi="仿宋_GB2312" w:cs="仿宋_GB2312"/>
          <w:szCs w:val="32"/>
        </w:rPr>
        <w:t>根据上述职能定位，确定街道综合办事机构工作职能如下：</w:t>
      </w:r>
    </w:p>
    <w:p w14:paraId="744EBA62">
      <w:pPr>
        <w:pStyle w:val="2"/>
        <w:spacing w:line="520" w:lineRule="exact"/>
        <w:ind w:firstLine="640"/>
        <w:rPr>
          <w:rFonts w:ascii="仿宋_GB2312" w:hAnsi="仿宋_GB2312" w:eastAsia="仿宋_GB2312" w:cs="仿宋_GB2312"/>
          <w:sz w:val="32"/>
        </w:rPr>
      </w:pPr>
      <w:r>
        <w:rPr>
          <w:rFonts w:hint="eastAsia" w:ascii="仿宋_GB2312" w:hAnsi="仿宋_GB2312" w:eastAsia="仿宋_GB2312" w:cs="仿宋_GB2312"/>
          <w:sz w:val="32"/>
        </w:rPr>
        <w:t>1.党政综合办公室（党建工作办公室）</w:t>
      </w:r>
    </w:p>
    <w:p w14:paraId="09120F00">
      <w:pPr>
        <w:pStyle w:val="7"/>
        <w:spacing w:line="520" w:lineRule="exact"/>
        <w:ind w:firstLine="640"/>
        <w:rPr>
          <w:rFonts w:hAnsi="仿宋_GB2312" w:cs="仿宋_GB2312"/>
          <w:szCs w:val="32"/>
        </w:rPr>
      </w:pPr>
      <w:r>
        <w:rPr>
          <w:rFonts w:hint="eastAsia" w:hAnsi="仿宋_GB2312" w:cs="仿宋_GB2312"/>
          <w:szCs w:val="32"/>
        </w:rPr>
        <w:t>主要履行机关日常事务、综合协调、服务保障及党的建设等工作职能。</w:t>
      </w:r>
    </w:p>
    <w:p w14:paraId="26BE8140">
      <w:pPr>
        <w:pStyle w:val="7"/>
        <w:spacing w:line="520" w:lineRule="exact"/>
        <w:ind w:firstLine="640"/>
        <w:rPr>
          <w:rFonts w:hAnsi="仿宋_GB2312" w:cs="仿宋_GB2312"/>
          <w:szCs w:val="32"/>
        </w:rPr>
      </w:pPr>
      <w:r>
        <w:rPr>
          <w:rFonts w:hint="eastAsia" w:hAnsi="仿宋_GB2312" w:cs="仿宋_GB2312"/>
          <w:szCs w:val="32"/>
        </w:rPr>
        <w:t>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日常值班、考勤统计、档案、保密、依法行政等工作；负责机构编制、人事管理、绩效考评等工作；负责在职人员管理、离退休干部服务等工作；负责人民武装工作。</w:t>
      </w:r>
    </w:p>
    <w:p w14:paraId="4A557E2A">
      <w:pPr>
        <w:pStyle w:val="7"/>
        <w:spacing w:line="520" w:lineRule="exact"/>
        <w:ind w:firstLine="640"/>
        <w:rPr>
          <w:rFonts w:hAnsi="仿宋_GB2312" w:cs="仿宋_GB2312"/>
          <w:szCs w:val="32"/>
        </w:rPr>
      </w:pPr>
      <w:r>
        <w:rPr>
          <w:rFonts w:hint="eastAsia" w:hAnsi="仿宋_GB2312" w:cs="仿宋_GB2312"/>
          <w:szCs w:val="32"/>
        </w:rPr>
        <w:t>负责落实基层党建工作责任制，统筹推进基层党建工作，实现党的组织和工作全覆盖；负责党员管理教育、组织关系接转、政审外调、党费收缴等工作；负责基层社区、非公企业、社会组织党组织建设；依托街道事务受理中心和文化活动中心，建立街道党建服务中心，面向辖区内党组织和党员开展党建活动、提供党建服务，使其成为服务区域党员群众的枢纽。负责承办街道党工委交办的临时性工作。</w:t>
      </w:r>
    </w:p>
    <w:p w14:paraId="20472DD4">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2.社会治理办公室</w:t>
      </w:r>
    </w:p>
    <w:p w14:paraId="4A0D908C">
      <w:pPr>
        <w:pStyle w:val="7"/>
        <w:spacing w:line="520" w:lineRule="exact"/>
        <w:ind w:firstLine="640"/>
        <w:rPr>
          <w:rFonts w:hAnsi="仿宋_GB2312" w:cs="仿宋_GB2312"/>
          <w:szCs w:val="32"/>
        </w:rPr>
      </w:pPr>
      <w:r>
        <w:rPr>
          <w:rFonts w:hint="eastAsia" w:hAnsi="仿宋_GB2312" w:cs="仿宋_GB2312"/>
          <w:szCs w:val="32"/>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负责协调派出所开展相关工作；负责承办街道党工委交办的临时性工作。</w:t>
      </w:r>
    </w:p>
    <w:p w14:paraId="39DDD392">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3.公共服务办公室（政务服务大厅）</w:t>
      </w:r>
    </w:p>
    <w:p w14:paraId="0E28C864">
      <w:pPr>
        <w:pStyle w:val="7"/>
        <w:spacing w:line="520" w:lineRule="exact"/>
        <w:ind w:firstLine="640"/>
        <w:rPr>
          <w:rFonts w:hAnsi="仿宋_GB2312" w:cs="仿宋_GB2312"/>
          <w:szCs w:val="32"/>
        </w:rPr>
      </w:pPr>
      <w:r>
        <w:rPr>
          <w:rFonts w:hint="eastAsia" w:hAnsi="仿宋_GB2312" w:cs="仿宋_GB2312"/>
          <w:szCs w:val="32"/>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负责承办街道党工委交办的临时性工作。</w:t>
      </w:r>
    </w:p>
    <w:p w14:paraId="3332BC92">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4.城乡管理办公室</w:t>
      </w:r>
    </w:p>
    <w:p w14:paraId="09AB9B88">
      <w:pPr>
        <w:pStyle w:val="7"/>
        <w:spacing w:line="520" w:lineRule="exact"/>
        <w:ind w:firstLine="640"/>
        <w:rPr>
          <w:rFonts w:hAnsi="仿宋_GB2312" w:cs="仿宋_GB2312"/>
          <w:szCs w:val="32"/>
        </w:rPr>
      </w:pPr>
      <w:r>
        <w:rPr>
          <w:rFonts w:hint="eastAsia" w:hAnsi="仿宋_GB2312" w:cs="仿宋_GB2312"/>
          <w:szCs w:val="32"/>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负责承办街道党工委交办的临时性工作。</w:t>
      </w:r>
    </w:p>
    <w:p w14:paraId="25BEAA12">
      <w:pPr>
        <w:pStyle w:val="7"/>
        <w:spacing w:line="520" w:lineRule="exact"/>
        <w:ind w:firstLine="640"/>
        <w:rPr>
          <w:rFonts w:hAnsi="仿宋_GB2312" w:cs="仿宋_GB2312"/>
          <w:szCs w:val="32"/>
        </w:rPr>
      </w:pPr>
      <w:r>
        <w:rPr>
          <w:rFonts w:hint="eastAsia" w:hAnsi="仿宋_GB2312" w:cs="仿宋_GB2312"/>
          <w:szCs w:val="32"/>
        </w:rPr>
        <w:t>协调协同现场征收部、执法大队、环卫所开展工作。</w:t>
      </w:r>
    </w:p>
    <w:p w14:paraId="7127F9EC">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5.经济发展办公室</w:t>
      </w:r>
    </w:p>
    <w:p w14:paraId="5043FD39">
      <w:pPr>
        <w:pStyle w:val="7"/>
        <w:spacing w:line="520" w:lineRule="exact"/>
        <w:ind w:firstLine="640"/>
        <w:rPr>
          <w:rFonts w:hAnsi="仿宋_GB2312" w:cs="仿宋_GB2312"/>
          <w:b/>
          <w:bCs/>
          <w:szCs w:val="32"/>
        </w:rPr>
      </w:pPr>
      <w:r>
        <w:rPr>
          <w:rFonts w:hint="eastAsia" w:hAnsi="仿宋_GB2312" w:cs="仿宋_GB2312"/>
          <w:szCs w:val="32"/>
        </w:rPr>
        <w:t>主要履行发展决策落实、企业商贸服务、营商环境建设和在地统计等工作职能。负责财务管理、资产管理、政府采购、招商等项工作，负责办公场所运转维护、安全、卫生清洁等后勤服务保障工作；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负责承办街道党工委交办的临时性工作。</w:t>
      </w:r>
    </w:p>
    <w:p w14:paraId="19D20538">
      <w:pPr>
        <w:pStyle w:val="7"/>
        <w:spacing w:line="520" w:lineRule="exact"/>
        <w:ind w:firstLine="640"/>
        <w:rPr>
          <w:rFonts w:hAnsi="仿宋_GB2312" w:cs="仿宋_GB2312"/>
          <w:szCs w:val="32"/>
        </w:rPr>
      </w:pPr>
      <w:r>
        <w:rPr>
          <w:rFonts w:hint="eastAsia" w:hAnsi="仿宋_GB2312" w:cs="仿宋_GB2312"/>
          <w:szCs w:val="32"/>
        </w:rPr>
        <w:t>协调协同街道综合服务分中心开展工作。</w:t>
      </w:r>
    </w:p>
    <w:p w14:paraId="20CE8A54">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6.应急管理办公室（投诉平台）</w:t>
      </w:r>
    </w:p>
    <w:p w14:paraId="7C3E093F">
      <w:pPr>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负责整合现有设在街道的党的建设、综合治理、社区治理、数字城管等系统指挥信息资源，建立一体化的信息系统和综合指挥平台，实现互联互通、信息共享、实时监控、综合监测。负责承办街道党工委交办的临时性工作。</w:t>
      </w:r>
    </w:p>
    <w:p w14:paraId="58209C66">
      <w:pPr>
        <w:pStyle w:val="7"/>
        <w:spacing w:line="520" w:lineRule="exact"/>
        <w:ind w:firstLine="640"/>
        <w:rPr>
          <w:rFonts w:hAnsi="仿宋_GB2312" w:cs="仿宋_GB2312"/>
          <w:szCs w:val="32"/>
        </w:rPr>
      </w:pPr>
      <w:r>
        <w:rPr>
          <w:rFonts w:hint="eastAsia" w:hAnsi="仿宋_GB2312" w:cs="仿宋_GB2312"/>
          <w:szCs w:val="32"/>
        </w:rPr>
        <w:t>协调协同应急中队、市场监督管理所开展工作。</w:t>
      </w:r>
    </w:p>
    <w:p w14:paraId="67965742">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7.社区建设指导办公室</w:t>
      </w:r>
    </w:p>
    <w:p w14:paraId="2C271182">
      <w:pPr>
        <w:pStyle w:val="7"/>
        <w:spacing w:line="520" w:lineRule="exact"/>
        <w:ind w:firstLine="640"/>
        <w:rPr>
          <w:rFonts w:hAnsi="仿宋_GB2312" w:cs="仿宋_GB2312"/>
          <w:b/>
          <w:bCs/>
          <w:szCs w:val="32"/>
        </w:rPr>
      </w:pPr>
      <w:r>
        <w:rPr>
          <w:rFonts w:hint="eastAsia" w:hAnsi="仿宋_GB2312" w:cs="仿宋_GB2312"/>
          <w:szCs w:val="32"/>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加强社区综合服务站点建设，设置便民服务站，推动基本公共服务事项进驻社区办理。负责承办街道党工委交办的临时性工作。</w:t>
      </w:r>
    </w:p>
    <w:p w14:paraId="10F87A59">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8.纪工委（监察办公室）</w:t>
      </w:r>
    </w:p>
    <w:p w14:paraId="083E7AC3">
      <w:pPr>
        <w:pStyle w:val="7"/>
        <w:spacing w:line="520" w:lineRule="exact"/>
        <w:ind w:firstLine="640"/>
        <w:rPr>
          <w:rFonts w:hAnsi="仿宋_GB2312" w:cs="仿宋_GB2312"/>
          <w:szCs w:val="32"/>
        </w:rPr>
      </w:pPr>
      <w:r>
        <w:rPr>
          <w:rFonts w:hint="eastAsia" w:hAnsi="仿宋_GB2312" w:cs="仿宋_GB2312"/>
          <w:szCs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及街道党工委交办的临时性工作。</w:t>
      </w:r>
    </w:p>
    <w:p w14:paraId="09ADE123">
      <w:pPr>
        <w:widowControl/>
        <w:ind w:firstLine="645"/>
        <w:jc w:val="left"/>
        <w:rPr>
          <w:rFonts w:ascii="仿宋_GB2312" w:hAnsi="仿宋_GB2312" w:eastAsia="仿宋_GB2312" w:cs="仿宋_GB2312"/>
          <w:kern w:val="0"/>
          <w:sz w:val="32"/>
        </w:rPr>
      </w:pPr>
      <w:r>
        <w:rPr>
          <w:rFonts w:hint="eastAsia" w:ascii="仿宋_GB2312" w:hAnsi="仿宋_GB2312" w:eastAsia="仿宋_GB2312" w:cs="仿宋_GB2312"/>
          <w:sz w:val="32"/>
          <w:szCs w:val="32"/>
        </w:rPr>
        <w:t>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4BC470EA">
      <w:pPr>
        <w:widowControl/>
        <w:ind w:firstLine="645"/>
        <w:jc w:val="left"/>
        <w:rPr>
          <w:rFonts w:ascii="Arial" w:hAnsi="Arial" w:cs="Arial"/>
          <w:kern w:val="0"/>
          <w:szCs w:val="21"/>
        </w:rPr>
      </w:pPr>
      <w:r>
        <w:rPr>
          <w:rFonts w:hint="eastAsia" w:ascii="黑体" w:hAnsi="黑体" w:eastAsia="黑体" w:cs="Arial"/>
          <w:kern w:val="0"/>
          <w:sz w:val="32"/>
        </w:rPr>
        <w:t>二、部门预算单位构成</w:t>
      </w:r>
    </w:p>
    <w:p w14:paraId="423065FA">
      <w:pPr>
        <w:widowControl/>
        <w:ind w:firstLine="645"/>
        <w:jc w:val="left"/>
        <w:rPr>
          <w:rFonts w:ascii="Arial" w:hAnsi="Arial" w:cs="Arial"/>
          <w:kern w:val="0"/>
          <w:szCs w:val="21"/>
        </w:rPr>
      </w:pPr>
      <w:r>
        <w:rPr>
          <w:rFonts w:hint="eastAsia" w:ascii="仿宋_GB2312" w:hAnsi="Arial" w:eastAsia="仿宋_GB2312" w:cs="Arial"/>
          <w:b/>
          <w:bCs/>
          <w:kern w:val="0"/>
          <w:sz w:val="32"/>
        </w:rPr>
        <w:t>纳入浑南区高坎街道办事处2019年部门预算编制范围的二级预算单位包括：</w:t>
      </w:r>
    </w:p>
    <w:p w14:paraId="29AF5A4A">
      <w:pPr>
        <w:widowControl/>
        <w:ind w:firstLine="640" w:firstLineChars="200"/>
        <w:jc w:val="left"/>
        <w:rPr>
          <w:rFonts w:ascii="Arial" w:hAnsi="Arial" w:cs="Arial"/>
          <w:kern w:val="0"/>
          <w:szCs w:val="21"/>
        </w:rPr>
      </w:pPr>
      <w:r>
        <w:rPr>
          <w:rFonts w:hint="eastAsia" w:ascii="仿宋_GB2312" w:eastAsia="仿宋_GB2312"/>
          <w:bCs/>
          <w:sz w:val="32"/>
          <w:szCs w:val="32"/>
        </w:rPr>
        <w:t>沈阳市浑南区高坎街道办事处本级</w:t>
      </w:r>
    </w:p>
    <w:p w14:paraId="389B32EC">
      <w:pPr>
        <w:widowControl/>
        <w:ind w:left="1260"/>
        <w:jc w:val="left"/>
        <w:rPr>
          <w:rFonts w:ascii="Arial" w:hAnsi="Arial" w:cs="Arial"/>
          <w:kern w:val="0"/>
          <w:szCs w:val="21"/>
        </w:rPr>
      </w:pPr>
      <w:r>
        <w:rPr>
          <w:rFonts w:hint="eastAsia" w:ascii="仿宋_GB2312" w:hAnsi="Arial" w:eastAsia="仿宋_GB2312" w:cs="Arial"/>
          <w:kern w:val="0"/>
          <w:sz w:val="32"/>
          <w:szCs w:val="32"/>
        </w:rPr>
        <w:t> </w:t>
      </w:r>
    </w:p>
    <w:p w14:paraId="0D6299D5">
      <w:pPr>
        <w:widowControl/>
        <w:ind w:firstLine="705"/>
        <w:jc w:val="left"/>
        <w:rPr>
          <w:rFonts w:ascii="Arial" w:hAnsi="Arial" w:cs="Arial"/>
          <w:kern w:val="0"/>
          <w:szCs w:val="21"/>
        </w:rPr>
      </w:pPr>
      <w:r>
        <w:rPr>
          <w:rFonts w:ascii="Arial" w:hAnsi="Arial" w:cs="Arial"/>
          <w:kern w:val="0"/>
          <w:sz w:val="36"/>
          <w:szCs w:val="36"/>
        </w:rPr>
        <w:t> </w:t>
      </w:r>
    </w:p>
    <w:p w14:paraId="24802C5C">
      <w:pPr>
        <w:widowControl/>
        <w:jc w:val="center"/>
        <w:rPr>
          <w:rFonts w:ascii="Arial" w:hAnsi="Arial" w:cs="Arial"/>
          <w:kern w:val="0"/>
          <w:szCs w:val="21"/>
        </w:rPr>
      </w:pPr>
      <w:r>
        <w:rPr>
          <w:rFonts w:ascii="Arial" w:hAnsi="Arial" w:cs="Arial"/>
          <w:b/>
          <w:bCs/>
          <w:kern w:val="0"/>
          <w:sz w:val="36"/>
          <w:szCs w:val="36"/>
        </w:rPr>
        <w:t> </w:t>
      </w:r>
    </w:p>
    <w:p w14:paraId="1289D238">
      <w:pPr>
        <w:widowControl/>
        <w:jc w:val="center"/>
        <w:rPr>
          <w:rFonts w:ascii="Arial" w:hAnsi="Arial" w:cs="Arial"/>
          <w:kern w:val="0"/>
          <w:szCs w:val="21"/>
        </w:rPr>
      </w:pPr>
      <w:r>
        <w:rPr>
          <w:rFonts w:ascii="Arial" w:hAnsi="Arial" w:cs="Arial"/>
          <w:b/>
          <w:bCs/>
          <w:kern w:val="0"/>
          <w:sz w:val="36"/>
          <w:szCs w:val="36"/>
        </w:rPr>
        <w:t> </w:t>
      </w:r>
    </w:p>
    <w:p w14:paraId="12AD954E">
      <w:pPr>
        <w:widowControl/>
        <w:jc w:val="center"/>
        <w:rPr>
          <w:rFonts w:ascii="Arial" w:hAnsi="Arial" w:cs="Arial"/>
          <w:kern w:val="0"/>
          <w:szCs w:val="21"/>
        </w:rPr>
      </w:pPr>
      <w:r>
        <w:rPr>
          <w:rFonts w:ascii="Arial" w:hAnsi="Arial" w:cs="Arial"/>
          <w:b/>
          <w:bCs/>
          <w:kern w:val="0"/>
          <w:sz w:val="36"/>
          <w:szCs w:val="36"/>
        </w:rPr>
        <w:t> </w:t>
      </w:r>
    </w:p>
    <w:p w14:paraId="166695B3">
      <w:pPr>
        <w:widowControl/>
        <w:jc w:val="center"/>
        <w:rPr>
          <w:rFonts w:ascii="Arial" w:hAnsi="Arial" w:cs="Arial"/>
          <w:kern w:val="0"/>
          <w:szCs w:val="21"/>
        </w:rPr>
      </w:pPr>
      <w:r>
        <w:rPr>
          <w:rFonts w:ascii="Arial" w:hAnsi="Arial" w:cs="Arial"/>
          <w:b/>
          <w:bCs/>
          <w:kern w:val="0"/>
          <w:sz w:val="36"/>
        </w:rPr>
        <w:t>第二部分 沈阳市</w:t>
      </w:r>
      <w:r>
        <w:rPr>
          <w:rFonts w:hint="eastAsia" w:ascii="Arial" w:hAnsi="Arial" w:cs="Arial"/>
          <w:b/>
          <w:bCs/>
          <w:kern w:val="0"/>
          <w:sz w:val="36"/>
        </w:rPr>
        <w:t>浑南区高坎街道办事处</w:t>
      </w:r>
      <w:r>
        <w:rPr>
          <w:rFonts w:ascii="Arial" w:hAnsi="Arial" w:cs="Arial"/>
          <w:b/>
          <w:bCs/>
          <w:kern w:val="0"/>
          <w:sz w:val="36"/>
        </w:rPr>
        <w:t>2019年部门预算公开表</w:t>
      </w:r>
    </w:p>
    <w:p w14:paraId="1E90D368">
      <w:pPr>
        <w:widowControl/>
        <w:jc w:val="center"/>
        <w:rPr>
          <w:rFonts w:ascii="Arial" w:hAnsi="Arial" w:cs="Arial"/>
          <w:kern w:val="0"/>
          <w:szCs w:val="21"/>
        </w:rPr>
      </w:pPr>
      <w:r>
        <w:rPr>
          <w:rFonts w:hint="eastAsia" w:ascii="宋体" w:hAnsi="宋体" w:cs="宋体"/>
          <w:kern w:val="0"/>
          <w:sz w:val="32"/>
          <w:szCs w:val="32"/>
        </w:rPr>
        <w:t> </w:t>
      </w:r>
    </w:p>
    <w:p w14:paraId="6A0FE152">
      <w:pPr>
        <w:widowControl/>
        <w:jc w:val="center"/>
        <w:rPr>
          <w:rFonts w:ascii="Arial" w:hAnsi="Arial" w:cs="Arial"/>
          <w:kern w:val="0"/>
          <w:szCs w:val="21"/>
        </w:rPr>
      </w:pPr>
      <w:r>
        <w:rPr>
          <w:rFonts w:hint="eastAsia" w:ascii="宋体" w:hAnsi="宋体" w:cs="宋体"/>
          <w:kern w:val="0"/>
          <w:sz w:val="32"/>
          <w:szCs w:val="32"/>
        </w:rPr>
        <w:t> </w:t>
      </w:r>
    </w:p>
    <w:p w14:paraId="1C6569FC">
      <w:pPr>
        <w:widowControl/>
        <w:jc w:val="left"/>
        <w:rPr>
          <w:rFonts w:ascii="Arial" w:hAnsi="Arial" w:cs="Arial"/>
          <w:kern w:val="0"/>
          <w:szCs w:val="21"/>
        </w:rPr>
      </w:pPr>
      <w:r>
        <w:rPr>
          <w:rFonts w:hint="eastAsia" w:ascii="黑体" w:hAnsi="黑体" w:eastAsia="黑体" w:cs="Arial"/>
          <w:kern w:val="0"/>
          <w:sz w:val="36"/>
          <w:szCs w:val="36"/>
        </w:rPr>
        <w:br w:type="textWrapping" w:clear="all"/>
      </w:r>
    </w:p>
    <w:p w14:paraId="13713F2A">
      <w:pPr>
        <w:widowControl/>
        <w:jc w:val="left"/>
        <w:rPr>
          <w:rFonts w:ascii="Arial" w:hAnsi="Arial" w:cs="Arial"/>
          <w:kern w:val="0"/>
          <w:szCs w:val="21"/>
        </w:rPr>
      </w:pPr>
      <w:r>
        <w:rPr>
          <w:rFonts w:hint="eastAsia" w:ascii="宋体" w:hAnsi="宋体" w:cs="宋体"/>
          <w:kern w:val="0"/>
          <w:sz w:val="36"/>
          <w:szCs w:val="36"/>
        </w:rPr>
        <w:t> </w:t>
      </w:r>
    </w:p>
    <w:tbl>
      <w:tblPr>
        <w:tblStyle w:val="5"/>
        <w:tblW w:w="1960" w:type="dxa"/>
        <w:tblInd w:w="11480" w:type="dxa"/>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960"/>
      </w:tblGrid>
      <w:tr w14:paraId="027220EB">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1FDD5201">
            <w:pPr>
              <w:widowControl/>
              <w:jc w:val="right"/>
              <w:textAlignment w:val="center"/>
              <w:rPr>
                <w:rFonts w:ascii="Arial" w:hAnsi="Arial" w:cs="Arial"/>
                <w:kern w:val="0"/>
                <w:szCs w:val="21"/>
              </w:rPr>
            </w:pPr>
            <w:bookmarkStart w:id="0" w:name="RANGE!A1:F38"/>
            <w:bookmarkEnd w:id="0"/>
          </w:p>
        </w:tc>
      </w:tr>
      <w:tr w14:paraId="0C325640">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3AE9B5CE">
            <w:pPr>
              <w:widowControl/>
              <w:jc w:val="center"/>
              <w:textAlignment w:val="center"/>
              <w:rPr>
                <w:rFonts w:ascii="Arial" w:hAnsi="Arial" w:cs="Arial"/>
                <w:kern w:val="0"/>
                <w:szCs w:val="21"/>
              </w:rPr>
            </w:pPr>
          </w:p>
        </w:tc>
      </w:tr>
      <w:tr w14:paraId="6648678B">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72D306E6">
            <w:pPr>
              <w:widowControl/>
              <w:jc w:val="right"/>
              <w:textAlignment w:val="center"/>
              <w:rPr>
                <w:rFonts w:ascii="Arial" w:hAnsi="Arial" w:cs="Arial"/>
                <w:kern w:val="0"/>
                <w:szCs w:val="21"/>
              </w:rPr>
            </w:pPr>
          </w:p>
        </w:tc>
      </w:tr>
      <w:tr w14:paraId="3E888453">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617F5F12">
            <w:pPr>
              <w:widowControl/>
              <w:jc w:val="right"/>
              <w:textAlignment w:val="center"/>
              <w:rPr>
                <w:rFonts w:ascii="Arial" w:hAnsi="Arial" w:cs="Arial"/>
                <w:kern w:val="0"/>
                <w:szCs w:val="21"/>
              </w:rPr>
            </w:pPr>
          </w:p>
        </w:tc>
      </w:tr>
      <w:tr w14:paraId="32BD63F7">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5A7B8327">
            <w:pPr>
              <w:widowControl/>
              <w:jc w:val="right"/>
              <w:textAlignment w:val="center"/>
              <w:rPr>
                <w:rFonts w:ascii="Arial" w:hAnsi="Arial" w:cs="Arial"/>
                <w:kern w:val="0"/>
                <w:szCs w:val="21"/>
              </w:rPr>
            </w:pPr>
          </w:p>
        </w:tc>
      </w:tr>
      <w:tr w14:paraId="26D61938">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5F4833C9">
            <w:pPr>
              <w:widowControl/>
              <w:jc w:val="right"/>
              <w:textAlignment w:val="center"/>
              <w:rPr>
                <w:rFonts w:ascii="Arial" w:hAnsi="Arial" w:cs="Arial"/>
                <w:kern w:val="0"/>
                <w:szCs w:val="21"/>
              </w:rPr>
            </w:pPr>
          </w:p>
        </w:tc>
      </w:tr>
      <w:tr w14:paraId="4C504471">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74AF4877">
            <w:pPr>
              <w:widowControl/>
              <w:jc w:val="right"/>
              <w:textAlignment w:val="center"/>
              <w:rPr>
                <w:rFonts w:ascii="Arial" w:hAnsi="Arial" w:cs="Arial"/>
                <w:kern w:val="0"/>
                <w:szCs w:val="21"/>
              </w:rPr>
            </w:pPr>
          </w:p>
        </w:tc>
      </w:tr>
      <w:tr w14:paraId="2AA2FA80">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3BBF9FBF">
            <w:pPr>
              <w:widowControl/>
              <w:jc w:val="right"/>
              <w:textAlignment w:val="center"/>
              <w:rPr>
                <w:rFonts w:ascii="Arial" w:hAnsi="Arial" w:cs="Arial"/>
                <w:kern w:val="0"/>
                <w:szCs w:val="21"/>
              </w:rPr>
            </w:pPr>
          </w:p>
        </w:tc>
      </w:tr>
      <w:tr w14:paraId="2FF059CD">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74B93534">
            <w:pPr>
              <w:widowControl/>
              <w:jc w:val="right"/>
              <w:textAlignment w:val="center"/>
              <w:rPr>
                <w:rFonts w:ascii="Arial" w:hAnsi="Arial" w:cs="Arial"/>
                <w:kern w:val="0"/>
                <w:szCs w:val="21"/>
              </w:rPr>
            </w:pPr>
          </w:p>
        </w:tc>
      </w:tr>
      <w:tr w14:paraId="6D0938A8">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45319912">
            <w:pPr>
              <w:widowControl/>
              <w:jc w:val="right"/>
              <w:textAlignment w:val="center"/>
              <w:rPr>
                <w:rFonts w:ascii="Arial" w:hAnsi="Arial" w:cs="Arial"/>
                <w:kern w:val="0"/>
                <w:szCs w:val="21"/>
              </w:rPr>
            </w:pPr>
          </w:p>
        </w:tc>
      </w:tr>
      <w:tr w14:paraId="3AA52FAB">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1A25826F">
            <w:pPr>
              <w:widowControl/>
              <w:jc w:val="right"/>
              <w:textAlignment w:val="center"/>
              <w:rPr>
                <w:rFonts w:ascii="Arial" w:hAnsi="Arial" w:cs="Arial"/>
                <w:kern w:val="0"/>
                <w:szCs w:val="21"/>
              </w:rPr>
            </w:pPr>
          </w:p>
        </w:tc>
      </w:tr>
      <w:tr w14:paraId="274FB825">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2E67C0A8">
            <w:pPr>
              <w:widowControl/>
              <w:jc w:val="right"/>
              <w:textAlignment w:val="center"/>
              <w:rPr>
                <w:rFonts w:ascii="Arial" w:hAnsi="Arial" w:cs="Arial"/>
                <w:kern w:val="0"/>
                <w:szCs w:val="21"/>
              </w:rPr>
            </w:pPr>
          </w:p>
        </w:tc>
      </w:tr>
      <w:tr w14:paraId="3727A27F">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0B720E20">
            <w:pPr>
              <w:widowControl/>
              <w:jc w:val="right"/>
              <w:textAlignment w:val="center"/>
              <w:rPr>
                <w:rFonts w:ascii="Arial" w:hAnsi="Arial" w:cs="Arial"/>
                <w:kern w:val="0"/>
                <w:szCs w:val="21"/>
              </w:rPr>
            </w:pPr>
          </w:p>
        </w:tc>
      </w:tr>
    </w:tbl>
    <w:p w14:paraId="37A566F8">
      <w:pPr>
        <w:widowControl/>
        <w:jc w:val="left"/>
        <w:rPr>
          <w:rFonts w:ascii="Arial" w:hAnsi="Arial" w:cs="Arial"/>
          <w:kern w:val="0"/>
          <w:szCs w:val="21"/>
        </w:rPr>
      </w:pPr>
    </w:p>
    <w:p w14:paraId="582B1A8F">
      <w:pPr>
        <w:widowControl/>
        <w:jc w:val="left"/>
        <w:rPr>
          <w:rFonts w:ascii="Arial" w:hAnsi="Arial" w:cs="Arial"/>
          <w:b/>
          <w:bCs/>
          <w:kern w:val="0"/>
          <w:sz w:val="36"/>
          <w:szCs w:val="36"/>
        </w:rPr>
      </w:pPr>
    </w:p>
    <w:p w14:paraId="152DE047">
      <w:pPr>
        <w:widowControl/>
        <w:jc w:val="left"/>
        <w:rPr>
          <w:rFonts w:ascii="Arial" w:hAnsi="Arial" w:cs="Arial"/>
          <w:b/>
          <w:bCs/>
          <w:kern w:val="0"/>
          <w:sz w:val="36"/>
          <w:szCs w:val="36"/>
        </w:rPr>
      </w:pPr>
    </w:p>
    <w:p w14:paraId="151F2E5F">
      <w:pPr>
        <w:widowControl/>
        <w:jc w:val="left"/>
        <w:rPr>
          <w:rFonts w:ascii="Arial" w:hAnsi="Arial" w:cs="Arial"/>
          <w:b/>
          <w:bCs/>
          <w:kern w:val="0"/>
          <w:sz w:val="36"/>
          <w:szCs w:val="36"/>
        </w:rPr>
      </w:pPr>
    </w:p>
    <w:p w14:paraId="615A8909">
      <w:pPr>
        <w:widowControl/>
        <w:jc w:val="left"/>
        <w:rPr>
          <w:rFonts w:ascii="Arial" w:hAnsi="Arial" w:cs="Arial"/>
          <w:kern w:val="0"/>
          <w:szCs w:val="21"/>
        </w:rPr>
      </w:pPr>
    </w:p>
    <w:p w14:paraId="6F6DD050">
      <w:pPr>
        <w:widowControl/>
        <w:jc w:val="center"/>
        <w:rPr>
          <w:rFonts w:ascii="Arial" w:hAnsi="Arial" w:cs="Arial"/>
          <w:kern w:val="0"/>
          <w:szCs w:val="21"/>
        </w:rPr>
      </w:pPr>
      <w:r>
        <w:rPr>
          <w:rFonts w:ascii="Arial" w:hAnsi="Arial" w:cs="Arial"/>
          <w:b/>
          <w:bCs/>
          <w:kern w:val="0"/>
          <w:sz w:val="36"/>
        </w:rPr>
        <w:t>第三部分 沈阳市</w:t>
      </w:r>
      <w:r>
        <w:rPr>
          <w:rFonts w:hint="eastAsia" w:ascii="Arial" w:hAnsi="Arial" w:cs="Arial"/>
          <w:b/>
          <w:bCs/>
          <w:kern w:val="0"/>
          <w:sz w:val="36"/>
        </w:rPr>
        <w:t>浑南区高坎街道办事处</w:t>
      </w:r>
      <w:r>
        <w:rPr>
          <w:rFonts w:ascii="Arial" w:hAnsi="Arial" w:cs="Arial"/>
          <w:b/>
          <w:bCs/>
          <w:kern w:val="0"/>
          <w:sz w:val="36"/>
        </w:rPr>
        <w:t>2019年部门预算情况说明</w:t>
      </w:r>
    </w:p>
    <w:p w14:paraId="4BB706A8">
      <w:pPr>
        <w:widowControl/>
        <w:ind w:firstLine="630"/>
        <w:jc w:val="left"/>
        <w:rPr>
          <w:rFonts w:ascii="黑体" w:hAnsi="黑体" w:eastAsia="黑体" w:cs="Arial"/>
          <w:kern w:val="0"/>
          <w:sz w:val="32"/>
        </w:rPr>
      </w:pPr>
      <w:r>
        <w:rPr>
          <w:rFonts w:hint="eastAsia" w:ascii="黑体" w:hAnsi="黑体" w:eastAsia="黑体" w:cs="Arial"/>
          <w:kern w:val="0"/>
          <w:sz w:val="32"/>
        </w:rPr>
        <w:t>一、关于高坎街道2019年收支预算的总体说明</w:t>
      </w:r>
    </w:p>
    <w:p w14:paraId="0EBE8342">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按照综合预算的原则，高坎街道所有收入和支出均纳入部门预算管理。收入包括：财政部门安排的预算拨款、纳入专户管理的预算外资金安排的拨款收入、上级补助、财政结转资金、单位其他收入；支出包括：一般公共服务支出、国防支出、文化体育与传媒支出、社会保障和就业支出、医疗卫生与计划生育支出、城乡社区支出、农林水支出、住房保障支出等。高坎街道2019年收支总预算共1724.56万元。由于2018年街道刚成立，仅专项支出列入街道预算，其余一般公共服务支出等支出均在浑南区沈抚新城管委会预算中体现，在浑南区高坎街道办事处预算中未体现，故无法与上年同期进行对比。</w:t>
      </w:r>
    </w:p>
    <w:p w14:paraId="3F1AB08F">
      <w:pPr>
        <w:widowControl/>
        <w:ind w:firstLine="630"/>
        <w:jc w:val="left"/>
        <w:rPr>
          <w:rFonts w:ascii="黑体" w:hAnsi="黑体" w:eastAsia="黑体" w:cs="Arial"/>
          <w:kern w:val="0"/>
          <w:sz w:val="32"/>
        </w:rPr>
      </w:pPr>
      <w:r>
        <w:rPr>
          <w:rFonts w:hint="eastAsia" w:ascii="黑体" w:hAnsi="黑体" w:eastAsia="黑体" w:cs="Arial"/>
          <w:kern w:val="0"/>
          <w:sz w:val="32"/>
        </w:rPr>
        <w:t>二、关于高坎街道2019年“三公”经费预算情况说明</w:t>
      </w:r>
    </w:p>
    <w:p w14:paraId="131B928A">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2019年一般公共预算“三公”经费预算数7万元，其中：因公出国（境）费0万元；公务接待费0万元；公务用车购置及运行费7万元，</w:t>
      </w:r>
      <w:r>
        <w:rPr>
          <w:rFonts w:hint="eastAsia" w:ascii="仿宋_GB2312" w:hAnsi="宋体" w:eastAsia="仿宋_GB2312"/>
          <w:sz w:val="32"/>
          <w:szCs w:val="32"/>
        </w:rPr>
        <w:t>其中公务用车购置0元，公务用车运行维护费7万元。</w:t>
      </w:r>
      <w:r>
        <w:rPr>
          <w:rFonts w:hint="eastAsia" w:ascii="仿宋_GB2312" w:hAnsi="仿宋_GB2312" w:eastAsia="仿宋_GB2312" w:cs="仿宋_GB2312"/>
          <w:kern w:val="0"/>
          <w:sz w:val="32"/>
        </w:rPr>
        <w:t>由于2018年街道刚成立，仅专项支出列入街道预算，其余经费支出均在浑南区沈抚新城管委会预算中体现，在浑南区高坎街道办事处预算中未体现，故无法与上年同期进行对比。</w:t>
      </w:r>
    </w:p>
    <w:p w14:paraId="5A2CAC4D">
      <w:pPr>
        <w:widowControl/>
        <w:ind w:firstLine="630"/>
        <w:jc w:val="left"/>
        <w:rPr>
          <w:rFonts w:ascii="黑体" w:hAnsi="黑体" w:eastAsia="黑体" w:cs="Arial"/>
          <w:kern w:val="0"/>
          <w:sz w:val="32"/>
        </w:rPr>
      </w:pPr>
      <w:r>
        <w:rPr>
          <w:rFonts w:hint="eastAsia" w:ascii="黑体" w:hAnsi="黑体" w:eastAsia="黑体" w:cs="Arial"/>
          <w:kern w:val="0"/>
          <w:sz w:val="32"/>
        </w:rPr>
        <w:t>三、其他重要事项的情况说明</w:t>
      </w:r>
    </w:p>
    <w:p w14:paraId="110612FD">
      <w:pPr>
        <w:widowControl/>
        <w:ind w:firstLine="630"/>
        <w:jc w:val="left"/>
        <w:rPr>
          <w:rFonts w:ascii="黑体" w:hAnsi="黑体" w:eastAsia="黑体" w:cs="Arial"/>
          <w:kern w:val="0"/>
          <w:sz w:val="32"/>
        </w:rPr>
      </w:pPr>
      <w:r>
        <w:rPr>
          <w:rFonts w:hint="eastAsia" w:ascii="黑体" w:hAnsi="黑体" w:eastAsia="黑体" w:cs="Arial"/>
          <w:kern w:val="0"/>
          <w:sz w:val="32"/>
        </w:rPr>
        <w:t>（一）机关运行经费安排情况。</w:t>
      </w:r>
    </w:p>
    <w:p w14:paraId="6BD36743">
      <w:pPr>
        <w:ind w:firstLine="640" w:firstLineChars="20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2019年高坎街道办事处的机关运行经费财政拨款预算250.79万元。</w:t>
      </w:r>
    </w:p>
    <w:p w14:paraId="3A5E14C6">
      <w:pPr>
        <w:widowControl/>
        <w:ind w:firstLine="630"/>
        <w:jc w:val="left"/>
        <w:rPr>
          <w:rFonts w:ascii="黑体" w:hAnsi="黑体" w:eastAsia="黑体" w:cs="Arial"/>
          <w:kern w:val="0"/>
          <w:sz w:val="32"/>
        </w:rPr>
      </w:pPr>
      <w:r>
        <w:rPr>
          <w:rFonts w:hint="eastAsia" w:ascii="黑体" w:hAnsi="黑体" w:eastAsia="黑体" w:cs="Arial"/>
          <w:kern w:val="0"/>
          <w:sz w:val="32"/>
        </w:rPr>
        <w:t>（二）政府采购预算安排情况</w:t>
      </w:r>
    </w:p>
    <w:p w14:paraId="464EA433">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2019年高坎街道办事处政府采购预算总额0万元，其中：政府采购服务预算0万元。</w:t>
      </w:r>
    </w:p>
    <w:p w14:paraId="62207DF5">
      <w:pPr>
        <w:widowControl/>
        <w:ind w:firstLine="630"/>
        <w:jc w:val="left"/>
        <w:rPr>
          <w:rFonts w:ascii="黑体" w:hAnsi="黑体" w:eastAsia="黑体" w:cs="Arial"/>
          <w:kern w:val="0"/>
          <w:sz w:val="32"/>
        </w:rPr>
      </w:pPr>
      <w:r>
        <w:rPr>
          <w:rFonts w:hint="eastAsia" w:ascii="黑体" w:hAnsi="黑体" w:eastAsia="黑体" w:cs="Arial"/>
          <w:kern w:val="0"/>
          <w:sz w:val="32"/>
        </w:rPr>
        <w:t>（三）国有资产占有使用情况。</w:t>
      </w:r>
    </w:p>
    <w:p w14:paraId="1A15F187">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截至2019年底，高坎街道办事处共有公务车7辆，全部为一般公务用车。单位价值200 万元以上大型设备0台。2019年部门预算没有安排车辆及价值200 万元以上大型设备购置。</w:t>
      </w:r>
    </w:p>
    <w:p w14:paraId="0AD88A22">
      <w:pPr>
        <w:widowControl/>
        <w:ind w:firstLine="630"/>
        <w:jc w:val="left"/>
        <w:rPr>
          <w:rFonts w:ascii="黑体" w:hAnsi="黑体" w:eastAsia="黑体" w:cs="Arial"/>
          <w:kern w:val="0"/>
          <w:sz w:val="32"/>
        </w:rPr>
      </w:pPr>
      <w:r>
        <w:rPr>
          <w:rFonts w:hint="eastAsia" w:ascii="黑体" w:hAnsi="黑体" w:eastAsia="黑体" w:cs="Arial"/>
          <w:kern w:val="0"/>
          <w:sz w:val="32"/>
        </w:rPr>
        <w:t>（四）绩效目标设置情况。</w:t>
      </w:r>
    </w:p>
    <w:p w14:paraId="6D8A428D">
      <w:pPr>
        <w:ind w:firstLine="640" w:firstLineChars="20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2019年高坎街道办事处预算项目均实行绩效目标管理，涉及资金1190.94万元。</w:t>
      </w:r>
    </w:p>
    <w:p w14:paraId="765268D9">
      <w:pPr>
        <w:widowControl/>
        <w:ind w:firstLine="630"/>
        <w:jc w:val="left"/>
        <w:rPr>
          <w:rFonts w:ascii="黑体" w:hAnsi="黑体" w:eastAsia="黑体" w:cs="Arial"/>
          <w:kern w:val="0"/>
          <w:sz w:val="32"/>
        </w:rPr>
      </w:pPr>
    </w:p>
    <w:p w14:paraId="1DE7D136">
      <w:pPr>
        <w:widowControl/>
        <w:ind w:firstLine="630"/>
        <w:jc w:val="left"/>
        <w:rPr>
          <w:rFonts w:ascii="黑体" w:hAnsi="黑体" w:eastAsia="黑体" w:cs="Arial"/>
          <w:kern w:val="0"/>
          <w:sz w:val="32"/>
        </w:rPr>
      </w:pPr>
    </w:p>
    <w:p w14:paraId="122130C5">
      <w:pPr>
        <w:widowControl/>
        <w:jc w:val="center"/>
        <w:rPr>
          <w:rFonts w:ascii="黑体" w:hAnsi="黑体" w:eastAsia="黑体" w:cs="Arial"/>
          <w:kern w:val="0"/>
          <w:sz w:val="32"/>
        </w:rPr>
      </w:pPr>
    </w:p>
    <w:p w14:paraId="7A6CEFD9">
      <w:pPr>
        <w:widowControl/>
        <w:jc w:val="center"/>
        <w:rPr>
          <w:rFonts w:ascii="黑体" w:hAnsi="黑体" w:eastAsia="黑体" w:cs="Arial"/>
          <w:kern w:val="0"/>
          <w:sz w:val="32"/>
        </w:rPr>
      </w:pPr>
    </w:p>
    <w:p w14:paraId="4252DE9A">
      <w:pPr>
        <w:widowControl/>
        <w:jc w:val="center"/>
        <w:rPr>
          <w:rFonts w:ascii="黑体" w:hAnsi="黑体" w:eastAsia="黑体" w:cs="Arial"/>
          <w:kern w:val="0"/>
          <w:sz w:val="32"/>
        </w:rPr>
      </w:pPr>
    </w:p>
    <w:p w14:paraId="1BC494B8">
      <w:pPr>
        <w:widowControl/>
        <w:jc w:val="center"/>
        <w:rPr>
          <w:rFonts w:ascii="黑体" w:hAnsi="黑体" w:eastAsia="黑体" w:cs="Arial"/>
          <w:kern w:val="0"/>
          <w:sz w:val="32"/>
        </w:rPr>
      </w:pPr>
    </w:p>
    <w:p w14:paraId="647BDE4D">
      <w:pPr>
        <w:widowControl/>
        <w:jc w:val="center"/>
        <w:rPr>
          <w:rFonts w:ascii="Arial" w:hAnsi="Arial" w:cs="Arial"/>
          <w:b/>
          <w:bCs/>
          <w:kern w:val="0"/>
          <w:sz w:val="36"/>
        </w:rPr>
      </w:pPr>
    </w:p>
    <w:p w14:paraId="2E7AD156">
      <w:pPr>
        <w:widowControl/>
        <w:jc w:val="center"/>
        <w:rPr>
          <w:rFonts w:ascii="Arial" w:hAnsi="Arial" w:cs="Arial"/>
          <w:b/>
          <w:bCs/>
          <w:kern w:val="0"/>
          <w:sz w:val="36"/>
        </w:rPr>
      </w:pPr>
    </w:p>
    <w:p w14:paraId="416FF04E">
      <w:pPr>
        <w:widowControl/>
        <w:jc w:val="center"/>
        <w:rPr>
          <w:rFonts w:ascii="Arial" w:hAnsi="Arial" w:cs="Arial"/>
          <w:b/>
          <w:bCs/>
          <w:kern w:val="0"/>
          <w:sz w:val="36"/>
        </w:rPr>
      </w:pPr>
    </w:p>
    <w:p w14:paraId="4108A95A">
      <w:pPr>
        <w:widowControl/>
        <w:jc w:val="center"/>
        <w:rPr>
          <w:rFonts w:ascii="Arial" w:hAnsi="Arial" w:cs="Arial"/>
          <w:kern w:val="0"/>
          <w:szCs w:val="21"/>
        </w:rPr>
      </w:pPr>
      <w:r>
        <w:rPr>
          <w:rFonts w:ascii="Arial" w:hAnsi="Arial" w:cs="Arial"/>
          <w:b/>
          <w:bCs/>
          <w:kern w:val="0"/>
          <w:sz w:val="36"/>
        </w:rPr>
        <w:t>第四部分 名词解释</w:t>
      </w:r>
    </w:p>
    <w:p w14:paraId="1322A49D">
      <w:pPr>
        <w:widowControl/>
        <w:jc w:val="center"/>
        <w:rPr>
          <w:rFonts w:ascii="Arial" w:hAnsi="Arial" w:cs="Arial"/>
          <w:kern w:val="0"/>
          <w:szCs w:val="21"/>
        </w:rPr>
      </w:pPr>
      <w:r>
        <w:rPr>
          <w:rFonts w:hint="eastAsia" w:ascii="宋体" w:hAnsi="宋体" w:cs="宋体"/>
          <w:kern w:val="0"/>
          <w:sz w:val="36"/>
          <w:szCs w:val="36"/>
        </w:rPr>
        <w:t> </w:t>
      </w:r>
    </w:p>
    <w:p w14:paraId="57D72DB2">
      <w:pPr>
        <w:widowControl/>
        <w:ind w:firstLine="645"/>
        <w:jc w:val="left"/>
        <w:rPr>
          <w:rFonts w:ascii="Arial" w:hAnsi="Arial" w:cs="Arial"/>
          <w:kern w:val="0"/>
          <w:szCs w:val="21"/>
        </w:rPr>
      </w:pPr>
      <w:r>
        <w:rPr>
          <w:rFonts w:hint="eastAsia" w:ascii="仿宋_GB2312" w:hAnsi="Arial" w:eastAsia="仿宋_GB2312" w:cs="Arial"/>
          <w:b/>
          <w:bCs/>
          <w:kern w:val="0"/>
          <w:sz w:val="32"/>
        </w:rPr>
        <w:t>1.财政拨款收入：</w:t>
      </w:r>
      <w:r>
        <w:rPr>
          <w:rFonts w:hint="eastAsia" w:ascii="仿宋_GB2312" w:hAnsi="Arial" w:eastAsia="仿宋_GB2312" w:cs="Arial"/>
          <w:kern w:val="0"/>
          <w:sz w:val="32"/>
        </w:rPr>
        <w:t>指市级财政当年拨付的资金。</w:t>
      </w:r>
    </w:p>
    <w:p w14:paraId="625AC604">
      <w:pPr>
        <w:widowControl/>
        <w:ind w:firstLine="645"/>
        <w:jc w:val="left"/>
        <w:rPr>
          <w:rFonts w:ascii="Arial" w:hAnsi="Arial" w:cs="Arial"/>
          <w:kern w:val="0"/>
          <w:szCs w:val="21"/>
        </w:rPr>
      </w:pPr>
      <w:r>
        <w:rPr>
          <w:rFonts w:hint="eastAsia" w:ascii="仿宋_GB2312" w:hAnsi="Arial" w:eastAsia="仿宋_GB2312" w:cs="Arial"/>
          <w:b/>
          <w:bCs/>
          <w:kern w:val="0"/>
          <w:sz w:val="32"/>
        </w:rPr>
        <w:t>2.上级补助收入：</w:t>
      </w:r>
      <w:r>
        <w:rPr>
          <w:rFonts w:hint="eastAsia" w:ascii="仿宋_GB2312" w:hAnsi="Arial" w:eastAsia="仿宋_GB2312" w:cs="Arial"/>
          <w:kern w:val="0"/>
          <w:sz w:val="32"/>
        </w:rPr>
        <w:t>指事业单位从主管部门和上级单位取得的非财政补助收入。</w:t>
      </w:r>
    </w:p>
    <w:p w14:paraId="37BCD8B7">
      <w:pPr>
        <w:widowControl/>
        <w:ind w:firstLine="645"/>
        <w:jc w:val="left"/>
        <w:rPr>
          <w:rFonts w:ascii="Arial" w:hAnsi="Arial" w:cs="Arial"/>
          <w:kern w:val="0"/>
          <w:szCs w:val="21"/>
        </w:rPr>
      </w:pPr>
      <w:r>
        <w:rPr>
          <w:rFonts w:hint="eastAsia" w:ascii="仿宋_GB2312" w:hAnsi="Arial" w:eastAsia="仿宋_GB2312" w:cs="Arial"/>
          <w:b/>
          <w:bCs/>
          <w:kern w:val="0"/>
          <w:sz w:val="32"/>
        </w:rPr>
        <w:t>3.附属单位上缴收入：</w:t>
      </w:r>
      <w:r>
        <w:rPr>
          <w:rFonts w:hint="eastAsia" w:ascii="仿宋_GB2312" w:hAnsi="Arial" w:eastAsia="仿宋_GB2312" w:cs="Arial"/>
          <w:kern w:val="0"/>
          <w:sz w:val="32"/>
        </w:rPr>
        <w:t>指已纳入部门预算管理的独立核算的附属单位按照有关规定上缴的收入。</w:t>
      </w:r>
    </w:p>
    <w:p w14:paraId="63E960C5">
      <w:pPr>
        <w:widowControl/>
        <w:ind w:firstLine="645"/>
        <w:jc w:val="left"/>
        <w:rPr>
          <w:rFonts w:ascii="Arial" w:hAnsi="Arial" w:cs="Arial"/>
          <w:kern w:val="0"/>
          <w:szCs w:val="21"/>
        </w:rPr>
      </w:pPr>
      <w:r>
        <w:rPr>
          <w:rFonts w:hint="eastAsia" w:ascii="仿宋_GB2312" w:hAnsi="Arial" w:eastAsia="仿宋_GB2312" w:cs="Arial"/>
          <w:b/>
          <w:bCs/>
          <w:kern w:val="0"/>
          <w:sz w:val="32"/>
        </w:rPr>
        <w:t>4. 其他收入：</w:t>
      </w:r>
      <w:r>
        <w:rPr>
          <w:rFonts w:hint="eastAsia" w:ascii="仿宋_GB2312" w:hAnsi="Arial" w:eastAsia="仿宋_GB2312" w:cs="Arial"/>
          <w:kern w:val="0"/>
          <w:sz w:val="32"/>
        </w:rPr>
        <w:t>指除上述“财政拨款收入”、“纳入专户管理的预算外资金拨款”、“上级补助、附属单位上缴收入”以外的收入。</w:t>
      </w:r>
    </w:p>
    <w:p w14:paraId="08A63CFA">
      <w:pPr>
        <w:widowControl/>
        <w:ind w:firstLine="645"/>
        <w:jc w:val="left"/>
        <w:rPr>
          <w:rFonts w:ascii="Arial" w:hAnsi="Arial" w:cs="Arial"/>
          <w:kern w:val="0"/>
          <w:szCs w:val="21"/>
        </w:rPr>
      </w:pPr>
      <w:r>
        <w:rPr>
          <w:rFonts w:hint="eastAsia" w:ascii="仿宋_GB2312" w:hAnsi="Arial" w:eastAsia="仿宋_GB2312" w:cs="Arial"/>
          <w:b/>
          <w:bCs/>
          <w:kern w:val="0"/>
          <w:sz w:val="32"/>
        </w:rPr>
        <w:t>5.一般公共服务（类）财政事务（款）行政运行（项）：</w:t>
      </w:r>
      <w:r>
        <w:rPr>
          <w:rFonts w:hint="eastAsia" w:ascii="仿宋_GB2312" w:hAnsi="Arial" w:eastAsia="仿宋_GB2312" w:cs="Arial"/>
          <w:kern w:val="0"/>
          <w:sz w:val="32"/>
        </w:rPr>
        <w:t>反映行政单位（包括实行公务员管理的事业单位）的基本支出。</w:t>
      </w:r>
    </w:p>
    <w:p w14:paraId="0F7D309B">
      <w:pPr>
        <w:widowControl/>
        <w:ind w:firstLine="645"/>
        <w:jc w:val="left"/>
        <w:rPr>
          <w:rFonts w:ascii="Arial" w:hAnsi="Arial" w:cs="Arial"/>
          <w:kern w:val="0"/>
          <w:szCs w:val="21"/>
        </w:rPr>
      </w:pPr>
      <w:r>
        <w:rPr>
          <w:rFonts w:hint="eastAsia" w:ascii="仿宋_GB2312" w:hAnsi="Arial" w:eastAsia="仿宋_GB2312" w:cs="Arial"/>
          <w:b/>
          <w:bCs/>
          <w:kern w:val="0"/>
          <w:sz w:val="32"/>
        </w:rPr>
        <w:t>6.一般公共服务（类）财政事务（款）一般行政管理事务（项）：</w:t>
      </w:r>
      <w:r>
        <w:rPr>
          <w:rFonts w:hint="eastAsia" w:ascii="仿宋_GB2312" w:hAnsi="Arial" w:eastAsia="仿宋_GB2312" w:cs="Arial"/>
          <w:kern w:val="0"/>
          <w:sz w:val="32"/>
        </w:rPr>
        <w:t>反映行政单位（包括实行公务员管理的事业单位）未单独设置项级科目的其他项目支出。</w:t>
      </w:r>
    </w:p>
    <w:p w14:paraId="05AFA81F">
      <w:pPr>
        <w:widowControl/>
        <w:ind w:firstLine="645"/>
        <w:jc w:val="left"/>
        <w:rPr>
          <w:rFonts w:ascii="Arial" w:hAnsi="Arial" w:cs="Arial"/>
          <w:kern w:val="0"/>
          <w:szCs w:val="21"/>
        </w:rPr>
      </w:pPr>
      <w:r>
        <w:rPr>
          <w:rFonts w:hint="eastAsia" w:ascii="仿宋_GB2312" w:hAnsi="Arial" w:eastAsia="仿宋_GB2312" w:cs="Arial"/>
          <w:b/>
          <w:bCs/>
          <w:kern w:val="0"/>
          <w:sz w:val="32"/>
        </w:rPr>
        <w:t>7.一般公共服务（类）财政事务（款）预算改革业务（项）：</w:t>
      </w:r>
      <w:r>
        <w:rPr>
          <w:rFonts w:hint="eastAsia" w:ascii="仿宋_GB2312" w:hAnsi="Arial" w:eastAsia="仿宋_GB2312" w:cs="Arial"/>
          <w:kern w:val="0"/>
          <w:sz w:val="32"/>
        </w:rPr>
        <w:t>反映财政部门用于预算改革方面的支出。</w:t>
      </w:r>
    </w:p>
    <w:p w14:paraId="39139E44">
      <w:pPr>
        <w:widowControl/>
        <w:ind w:firstLine="645"/>
        <w:jc w:val="left"/>
        <w:rPr>
          <w:rFonts w:ascii="Arial" w:hAnsi="Arial" w:cs="Arial"/>
          <w:kern w:val="0"/>
          <w:szCs w:val="21"/>
        </w:rPr>
      </w:pPr>
      <w:r>
        <w:rPr>
          <w:rFonts w:hint="eastAsia" w:ascii="仿宋_GB2312" w:hAnsi="Arial" w:eastAsia="仿宋_GB2312" w:cs="Arial"/>
          <w:b/>
          <w:bCs/>
          <w:kern w:val="0"/>
          <w:sz w:val="32"/>
        </w:rPr>
        <w:t>8.一般公共服务（类）财政事务（款）财政国库业务（项）：</w:t>
      </w:r>
      <w:r>
        <w:rPr>
          <w:rFonts w:hint="eastAsia" w:ascii="仿宋_GB2312" w:hAnsi="Arial" w:eastAsia="仿宋_GB2312" w:cs="Arial"/>
          <w:kern w:val="0"/>
          <w:sz w:val="32"/>
        </w:rPr>
        <w:t>反映财政部门用于财政国库集中收付业务方面的支出。</w:t>
      </w:r>
    </w:p>
    <w:p w14:paraId="4CF42CC7">
      <w:pPr>
        <w:widowControl/>
        <w:ind w:firstLine="645"/>
        <w:jc w:val="left"/>
        <w:rPr>
          <w:rFonts w:ascii="Arial" w:hAnsi="Arial" w:cs="Arial"/>
          <w:kern w:val="0"/>
          <w:szCs w:val="21"/>
        </w:rPr>
      </w:pPr>
      <w:r>
        <w:rPr>
          <w:rFonts w:hint="eastAsia" w:ascii="仿宋_GB2312" w:hAnsi="Arial" w:eastAsia="仿宋_GB2312" w:cs="Arial"/>
          <w:b/>
          <w:bCs/>
          <w:kern w:val="0"/>
          <w:sz w:val="32"/>
        </w:rPr>
        <w:t>9.一般公共服务（类）财政事务（款）事业运行（项）：</w:t>
      </w:r>
      <w:r>
        <w:rPr>
          <w:rFonts w:hint="eastAsia" w:ascii="仿宋_GB2312" w:hAnsi="Arial" w:eastAsia="仿宋_GB2312" w:cs="Arial"/>
          <w:kern w:val="0"/>
          <w:sz w:val="32"/>
        </w:rPr>
        <w:t>反映事业单位的基本支出，不包括行政单位（包括实行公务员管理的事业单位）后勤服务中心、医务室等附属事业单位。</w:t>
      </w:r>
    </w:p>
    <w:p w14:paraId="53CC8424">
      <w:pPr>
        <w:widowControl/>
        <w:ind w:firstLine="645"/>
        <w:jc w:val="left"/>
        <w:rPr>
          <w:rFonts w:ascii="Arial" w:hAnsi="Arial" w:cs="Arial"/>
          <w:kern w:val="0"/>
          <w:szCs w:val="21"/>
        </w:rPr>
      </w:pPr>
      <w:r>
        <w:rPr>
          <w:rFonts w:hint="eastAsia" w:ascii="仿宋_GB2312" w:hAnsi="Arial" w:eastAsia="仿宋_GB2312" w:cs="Arial"/>
          <w:b/>
          <w:bCs/>
          <w:kern w:val="0"/>
          <w:sz w:val="32"/>
        </w:rPr>
        <w:t>10.一般公共服务（类）财政事务（款）其他财政事务支出（项）：</w:t>
      </w:r>
      <w:r>
        <w:rPr>
          <w:rFonts w:hint="eastAsia" w:ascii="仿宋_GB2312" w:hAnsi="Arial" w:eastAsia="仿宋_GB2312" w:cs="Arial"/>
          <w:kern w:val="0"/>
          <w:sz w:val="32"/>
        </w:rPr>
        <w:t>反映除上述项目以外其他财政事务方面的支出。</w:t>
      </w:r>
    </w:p>
    <w:p w14:paraId="50E766E0">
      <w:pPr>
        <w:widowControl/>
        <w:ind w:firstLine="645"/>
        <w:jc w:val="left"/>
        <w:rPr>
          <w:rFonts w:ascii="Arial" w:hAnsi="Arial" w:cs="Arial"/>
          <w:kern w:val="0"/>
          <w:szCs w:val="21"/>
        </w:rPr>
      </w:pPr>
      <w:r>
        <w:rPr>
          <w:rFonts w:hint="eastAsia" w:ascii="仿宋_GB2312" w:hAnsi="Arial" w:eastAsia="仿宋_GB2312" w:cs="Arial"/>
          <w:b/>
          <w:bCs/>
          <w:kern w:val="0"/>
          <w:sz w:val="32"/>
        </w:rPr>
        <w:t>11.社会保障和就业（类）行政事业单位离退休（款）归口管理的行政单位离退休（项）：</w:t>
      </w:r>
      <w:r>
        <w:rPr>
          <w:rFonts w:hint="eastAsia" w:ascii="仿宋_GB2312" w:hAnsi="Arial" w:eastAsia="仿宋_GB2312" w:cs="Arial"/>
          <w:kern w:val="0"/>
          <w:sz w:val="32"/>
        </w:rPr>
        <w:t>反映实行归口管理的行政单位（包括实行公务员管理的事业单位）开支的离退休经费。</w:t>
      </w:r>
    </w:p>
    <w:p w14:paraId="6F300FFD">
      <w:pPr>
        <w:widowControl/>
        <w:ind w:firstLine="645"/>
        <w:jc w:val="left"/>
        <w:rPr>
          <w:rFonts w:ascii="Arial" w:hAnsi="Arial" w:cs="Arial"/>
          <w:kern w:val="0"/>
          <w:szCs w:val="21"/>
        </w:rPr>
      </w:pPr>
      <w:r>
        <w:rPr>
          <w:rFonts w:hint="eastAsia" w:ascii="仿宋_GB2312" w:hAnsi="Arial" w:eastAsia="仿宋_GB2312" w:cs="Arial"/>
          <w:b/>
          <w:bCs/>
          <w:kern w:val="0"/>
          <w:sz w:val="32"/>
        </w:rPr>
        <w:t>12.社会保障和就业（类）行政事业单位离退休（款）事业单位离退休（项）：</w:t>
      </w:r>
      <w:r>
        <w:rPr>
          <w:rFonts w:hint="eastAsia" w:ascii="仿宋_GB2312" w:hAnsi="Arial" w:eastAsia="仿宋_GB2312" w:cs="Arial"/>
          <w:kern w:val="0"/>
          <w:sz w:val="32"/>
        </w:rPr>
        <w:t>反映实行归口管理的事业单位开支的离退休经费。</w:t>
      </w:r>
    </w:p>
    <w:p w14:paraId="09D4235C">
      <w:pPr>
        <w:widowControl/>
        <w:ind w:firstLine="645"/>
        <w:jc w:val="left"/>
        <w:rPr>
          <w:rFonts w:ascii="Arial" w:hAnsi="Arial" w:cs="Arial"/>
          <w:kern w:val="0"/>
          <w:szCs w:val="21"/>
        </w:rPr>
      </w:pPr>
      <w:r>
        <w:rPr>
          <w:rFonts w:hint="eastAsia" w:ascii="仿宋_GB2312" w:hAnsi="Arial" w:eastAsia="仿宋_GB2312" w:cs="Arial"/>
          <w:b/>
          <w:bCs/>
          <w:kern w:val="0"/>
          <w:sz w:val="32"/>
        </w:rPr>
        <w:t>13.医疗卫生与计划生育（类）医疗保障（款）行政单位医疗（项）：</w:t>
      </w:r>
      <w:r>
        <w:rPr>
          <w:rFonts w:hint="eastAsia" w:ascii="仿宋_GB2312" w:hAnsi="Arial" w:eastAsia="仿宋_GB2312" w:cs="Arial"/>
          <w:kern w:val="0"/>
          <w:sz w:val="32"/>
        </w:rPr>
        <w:t>反映财政部门集中安排的行政单位基本医疗保险缴费经费，未参加医疗保险的行政单位的公费医疗经费，按国家规定享受离休人员、红军老战士待遇人员的医疗经费。</w:t>
      </w:r>
    </w:p>
    <w:p w14:paraId="6F0D0DDE">
      <w:pPr>
        <w:widowControl/>
        <w:ind w:firstLine="645"/>
        <w:jc w:val="left"/>
        <w:rPr>
          <w:rFonts w:ascii="Arial" w:hAnsi="Arial" w:cs="Arial"/>
          <w:kern w:val="0"/>
          <w:szCs w:val="21"/>
        </w:rPr>
      </w:pPr>
      <w:r>
        <w:rPr>
          <w:rFonts w:hint="eastAsia" w:ascii="仿宋_GB2312" w:hAnsi="Arial" w:eastAsia="仿宋_GB2312" w:cs="Arial"/>
          <w:b/>
          <w:bCs/>
          <w:kern w:val="0"/>
          <w:sz w:val="32"/>
        </w:rPr>
        <w:t>14.医疗卫生与计划生育（类）医疗保障（款）事业单位医疗（项）：</w:t>
      </w:r>
      <w:r>
        <w:rPr>
          <w:rFonts w:hint="eastAsia" w:ascii="仿宋_GB2312" w:hAnsi="Arial" w:eastAsia="仿宋_GB2312" w:cs="Arial"/>
          <w:kern w:val="0"/>
          <w:sz w:val="32"/>
        </w:rPr>
        <w:t>反映财政部门集中安排的事业单位基本医疗保险缴费经费，未参加医疗保险的事业单位的公费医疗经费，按国家规定享受离休人员待遇人员的医疗经费。</w:t>
      </w:r>
    </w:p>
    <w:p w14:paraId="587D72F5">
      <w:pPr>
        <w:widowControl/>
        <w:ind w:firstLine="645"/>
        <w:jc w:val="left"/>
        <w:rPr>
          <w:rFonts w:ascii="Arial" w:hAnsi="Arial" w:cs="Arial"/>
          <w:kern w:val="0"/>
          <w:szCs w:val="21"/>
        </w:rPr>
      </w:pPr>
      <w:r>
        <w:rPr>
          <w:rFonts w:hint="eastAsia" w:ascii="仿宋_GB2312" w:hAnsi="Arial" w:eastAsia="仿宋_GB2312" w:cs="Arial"/>
          <w:b/>
          <w:bCs/>
          <w:kern w:val="0"/>
          <w:sz w:val="32"/>
        </w:rPr>
        <w:t>15.住房保障（类）住房改革（款）住房公积金（项）：</w:t>
      </w:r>
      <w:r>
        <w:rPr>
          <w:rFonts w:hint="eastAsia" w:ascii="仿宋_GB2312" w:hAnsi="Arial" w:eastAsia="仿宋_GB2312" w:cs="Arial"/>
          <w:kern w:val="0"/>
          <w:sz w:val="32"/>
        </w:rPr>
        <w:t>反映行政事业单位按人力资源和社会保障部、财政部规定的基本工资和津贴补贴以及规定比例为职工缴纳的住房公积金。</w:t>
      </w:r>
    </w:p>
    <w:p w14:paraId="3BC6F243">
      <w:pPr>
        <w:widowControl/>
        <w:ind w:firstLine="645"/>
        <w:jc w:val="left"/>
        <w:rPr>
          <w:rFonts w:ascii="Arial" w:hAnsi="Arial" w:cs="Arial"/>
          <w:kern w:val="0"/>
          <w:szCs w:val="21"/>
        </w:rPr>
      </w:pPr>
      <w:r>
        <w:rPr>
          <w:rFonts w:hint="eastAsia" w:ascii="仿宋_GB2312" w:hAnsi="Arial" w:eastAsia="仿宋_GB2312" w:cs="Arial"/>
          <w:b/>
          <w:bCs/>
          <w:kern w:val="0"/>
          <w:sz w:val="32"/>
        </w:rPr>
        <w:t>16. 基本支出：</w:t>
      </w:r>
      <w:r>
        <w:rPr>
          <w:rFonts w:hint="eastAsia" w:ascii="仿宋_GB2312" w:hAnsi="Arial" w:eastAsia="仿宋_GB2312" w:cs="Arial"/>
          <w:kern w:val="0"/>
          <w:sz w:val="32"/>
        </w:rPr>
        <w:t>指保障机构正常运转、完成日常工作任务而发生的人员支出和公用支出。</w:t>
      </w:r>
    </w:p>
    <w:p w14:paraId="48FDFAEF">
      <w:pPr>
        <w:widowControl/>
        <w:ind w:firstLine="645"/>
        <w:jc w:val="left"/>
        <w:rPr>
          <w:rFonts w:ascii="Arial" w:hAnsi="Arial" w:cs="Arial"/>
          <w:kern w:val="0"/>
          <w:szCs w:val="21"/>
        </w:rPr>
      </w:pPr>
      <w:r>
        <w:rPr>
          <w:rFonts w:hint="eastAsia" w:ascii="仿宋_GB2312" w:hAnsi="Arial" w:eastAsia="仿宋_GB2312" w:cs="Arial"/>
          <w:b/>
          <w:bCs/>
          <w:kern w:val="0"/>
          <w:sz w:val="32"/>
        </w:rPr>
        <w:t>17.</w:t>
      </w:r>
      <w:r>
        <w:rPr>
          <w:rFonts w:hint="eastAsia" w:ascii="仿宋_GB2312" w:hAnsi="Arial" w:eastAsia="仿宋_GB2312" w:cs="Arial"/>
          <w:kern w:val="0"/>
          <w:sz w:val="32"/>
          <w:szCs w:val="32"/>
        </w:rPr>
        <w:t> </w:t>
      </w:r>
      <w:r>
        <w:rPr>
          <w:rFonts w:hint="eastAsia" w:ascii="仿宋_GB2312" w:hAnsi="Arial" w:eastAsia="仿宋_GB2312" w:cs="Arial"/>
          <w:b/>
          <w:bCs/>
          <w:kern w:val="0"/>
          <w:sz w:val="32"/>
        </w:rPr>
        <w:t>项目支出：</w:t>
      </w:r>
      <w:r>
        <w:rPr>
          <w:rFonts w:hint="eastAsia" w:ascii="仿宋_GB2312" w:hAnsi="Arial" w:eastAsia="仿宋_GB2312" w:cs="Arial"/>
          <w:kern w:val="0"/>
          <w:sz w:val="32"/>
        </w:rPr>
        <w:t>指在基本支出之外为完成特定行政任务和事业发展目标所发生的支出。</w:t>
      </w:r>
    </w:p>
    <w:p w14:paraId="76E5272D">
      <w:pPr>
        <w:widowControl/>
        <w:ind w:firstLine="645"/>
        <w:jc w:val="left"/>
        <w:rPr>
          <w:rFonts w:ascii="Arial" w:hAnsi="Arial" w:cs="Arial"/>
          <w:kern w:val="0"/>
          <w:szCs w:val="21"/>
        </w:rPr>
      </w:pPr>
      <w:r>
        <w:rPr>
          <w:rFonts w:hint="eastAsia" w:ascii="仿宋_GB2312" w:hAnsi="Arial" w:eastAsia="仿宋_GB2312" w:cs="Arial"/>
          <w:b/>
          <w:bCs/>
          <w:kern w:val="0"/>
          <w:sz w:val="32"/>
        </w:rPr>
        <w:t>18.“三公”经费：</w:t>
      </w:r>
      <w:r>
        <w:rPr>
          <w:rFonts w:hint="eastAsia" w:ascii="仿宋_GB2312" w:hAnsi="Arial" w:eastAsia="仿宋_GB2312" w:cs="Arial"/>
          <w:kern w:val="0"/>
          <w:sz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035FA0">
      <w:pPr>
        <w:widowControl/>
        <w:ind w:firstLine="645"/>
        <w:jc w:val="left"/>
        <w:rPr>
          <w:rFonts w:ascii="Arial" w:hAnsi="Arial" w:cs="Arial"/>
          <w:kern w:val="0"/>
          <w:szCs w:val="21"/>
        </w:rPr>
      </w:pPr>
      <w:r>
        <w:rPr>
          <w:rFonts w:hint="eastAsia" w:ascii="仿宋_GB2312" w:hAnsi="Arial" w:eastAsia="仿宋_GB2312" w:cs="Arial"/>
          <w:b/>
          <w:bCs/>
          <w:kern w:val="0"/>
          <w:sz w:val="32"/>
        </w:rPr>
        <w:t>19.机关运行经费：</w:t>
      </w:r>
      <w:r>
        <w:rPr>
          <w:rFonts w:hint="eastAsia" w:ascii="仿宋_GB2312" w:hAnsi="Arial" w:eastAsia="仿宋_GB2312" w:cs="Arial"/>
          <w:kern w:val="0"/>
          <w:sz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1F6B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3462"/>
    <w:rsid w:val="008B6B85"/>
    <w:rsid w:val="00967EF7"/>
    <w:rsid w:val="009B3462"/>
    <w:rsid w:val="00D376F0"/>
    <w:rsid w:val="00FC6CCE"/>
    <w:rsid w:val="19BF499C"/>
    <w:rsid w:val="4A306FC7"/>
    <w:rsid w:val="4F866AF3"/>
    <w:rsid w:val="55997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ind w:firstLine="200" w:firstLineChars="200"/>
      <w:outlineLvl w:val="1"/>
    </w:pPr>
    <w:rPr>
      <w:rFonts w:ascii="楷体_GB2312" w:hAnsi="Calibri Light" w:eastAsia="楷体_GB2312"/>
      <w:bCs/>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 w:type="character" w:customStyle="1" w:styleId="8">
    <w:name w:val="页眉 Char"/>
    <w:basedOn w:val="6"/>
    <w:link w:val="4"/>
    <w:semiHidden/>
    <w:qFormat/>
    <w:uiPriority w:val="99"/>
    <w:rPr>
      <w:rFonts w:ascii="Times New Roman" w:hAnsi="Times New Roman" w:eastAsia="宋体" w:cs="Times New Roman"/>
      <w:kern w:val="2"/>
      <w:sz w:val="18"/>
      <w:szCs w:val="18"/>
    </w:rPr>
  </w:style>
  <w:style w:type="character" w:customStyle="1" w:styleId="9">
    <w:name w:val="页脚 Char"/>
    <w:basedOn w:val="6"/>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5708</Words>
  <Characters>5835</Characters>
  <Lines>43</Lines>
  <Paragraphs>12</Paragraphs>
  <TotalTime>3</TotalTime>
  <ScaleCrop>false</ScaleCrop>
  <LinksUpToDate>false</LinksUpToDate>
  <CharactersWithSpaces>5925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2019-01-29T08:40:00Z</dcterms:created>
  <dc:creator>dreamsummit</dc:creator>
  <cp:lastModifiedBy>杨洋</cp:lastModifiedBy>
  <dcterms:modified xsi:type="dcterms:W3CDTF">2025-09-19T06:45:43Z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eyJoZGlkIjoiNzZiZTQ3ZmI1OTFmODUzNzgwMGRlNDBmMWZiZDQzMjEiLCJ1c2VySWQiOiIyMzQ0MjI2NjQifQ==</vt:lpwstr>
  </property>
  <property fmtid="{D5CDD505-2E9C-101B-9397-08002B2CF9AE}" pid="4" name="ICV">
    <vt:lpwstr>BF67B39CF8E04E9EA76EB9C005E2CFC6_12</vt:lpwstr>
  </property>
</Properties>
</file>