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52010">
      <w:pPr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szCs w:val="24"/>
        </w:rPr>
        <w:t>沈阳市</w:t>
      </w:r>
      <w:r>
        <w:rPr>
          <w:rFonts w:ascii="黑体" w:hAnsi="黑体" w:eastAsia="黑体"/>
          <w:b/>
          <w:sz w:val="24"/>
          <w:szCs w:val="24"/>
        </w:rPr>
        <w:t>浑南区</w:t>
      </w:r>
      <w:r>
        <w:rPr>
          <w:rFonts w:hint="eastAsia" w:ascii="黑体" w:hAnsi="黑体" w:eastAsia="黑体"/>
          <w:b/>
          <w:sz w:val="24"/>
          <w:szCs w:val="24"/>
        </w:rPr>
        <w:t>三</w:t>
      </w:r>
      <w:r>
        <w:rPr>
          <w:rFonts w:ascii="黑体" w:hAnsi="黑体" w:eastAsia="黑体"/>
          <w:b/>
          <w:sz w:val="24"/>
          <w:szCs w:val="24"/>
        </w:rPr>
        <w:t>届</w:t>
      </w:r>
      <w:r>
        <w:rPr>
          <w:rFonts w:hint="eastAsia" w:ascii="黑体" w:hAnsi="黑体" w:eastAsia="黑体"/>
          <w:b/>
          <w:sz w:val="24"/>
          <w:szCs w:val="24"/>
        </w:rPr>
        <w:t>人大</w:t>
      </w:r>
    </w:p>
    <w:p w14:paraId="4F95A266"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b/>
          <w:spacing w:val="34"/>
          <w:sz w:val="24"/>
          <w:szCs w:val="24"/>
        </w:rPr>
        <w:t>四次</w:t>
      </w:r>
      <w:r>
        <w:rPr>
          <w:rFonts w:ascii="黑体" w:hAnsi="黑体" w:eastAsia="黑体"/>
          <w:b/>
          <w:spacing w:val="34"/>
          <w:sz w:val="24"/>
          <w:szCs w:val="24"/>
        </w:rPr>
        <w:t>会议</w:t>
      </w:r>
      <w:r>
        <w:rPr>
          <w:rFonts w:hint="eastAsia" w:ascii="黑体" w:hAnsi="黑体" w:eastAsia="黑体"/>
          <w:b/>
          <w:spacing w:val="34"/>
          <w:sz w:val="24"/>
          <w:szCs w:val="24"/>
        </w:rPr>
        <w:t>文件(13)</w:t>
      </w:r>
    </w:p>
    <w:p w14:paraId="0E22E4E9">
      <w:pPr>
        <w:adjustRightInd w:val="0"/>
        <w:snapToGrid w:val="0"/>
        <w:spacing w:line="579" w:lineRule="exact"/>
        <w:jc w:val="center"/>
        <w:textAlignment w:val="baseline"/>
        <w:rPr>
          <w:rFonts w:ascii="宋体" w:hAnsi="宋体"/>
          <w:b/>
          <w:snapToGrid w:val="0"/>
          <w:kern w:val="0"/>
          <w:sz w:val="44"/>
          <w:szCs w:val="44"/>
        </w:rPr>
      </w:pPr>
    </w:p>
    <w:p w14:paraId="67B55EAA">
      <w:pPr>
        <w:adjustRightInd w:val="0"/>
        <w:snapToGrid w:val="0"/>
        <w:spacing w:line="579" w:lineRule="exact"/>
        <w:jc w:val="center"/>
        <w:textAlignment w:val="baseline"/>
        <w:rPr>
          <w:rFonts w:ascii="宋体"/>
          <w:b/>
          <w:snapToGrid w:val="0"/>
          <w:kern w:val="0"/>
          <w:sz w:val="44"/>
          <w:szCs w:val="44"/>
        </w:rPr>
      </w:pPr>
      <w:r>
        <w:rPr>
          <w:rFonts w:hint="eastAsia" w:ascii="宋体" w:hAnsi="宋体"/>
          <w:b/>
          <w:snapToGrid w:val="0"/>
          <w:kern w:val="0"/>
          <w:sz w:val="44"/>
          <w:szCs w:val="44"/>
        </w:rPr>
        <w:t>关于浑南区</w:t>
      </w:r>
      <w:r>
        <w:rPr>
          <w:rFonts w:ascii="宋体" w:hAnsi="宋体"/>
          <w:b/>
          <w:snapToGrid w:val="0"/>
          <w:kern w:val="0"/>
          <w:sz w:val="44"/>
          <w:szCs w:val="44"/>
        </w:rPr>
        <w:t>2024</w:t>
      </w:r>
      <w:r>
        <w:rPr>
          <w:rFonts w:hint="eastAsia" w:ascii="宋体" w:hAnsi="宋体"/>
          <w:b/>
          <w:snapToGrid w:val="0"/>
          <w:kern w:val="0"/>
          <w:sz w:val="44"/>
          <w:szCs w:val="44"/>
        </w:rPr>
        <w:t>年预算执行情况和</w:t>
      </w:r>
    </w:p>
    <w:p w14:paraId="6B7C6E80">
      <w:pPr>
        <w:adjustRightInd w:val="0"/>
        <w:snapToGrid w:val="0"/>
        <w:spacing w:line="579" w:lineRule="exact"/>
        <w:jc w:val="center"/>
        <w:textAlignment w:val="baseline"/>
        <w:rPr>
          <w:rFonts w:ascii="宋体"/>
          <w:b/>
          <w:snapToGrid w:val="0"/>
          <w:kern w:val="0"/>
          <w:sz w:val="44"/>
          <w:szCs w:val="44"/>
        </w:rPr>
      </w:pPr>
      <w:r>
        <w:rPr>
          <w:rFonts w:ascii="宋体" w:hAnsi="宋体"/>
          <w:b/>
          <w:snapToGrid w:val="0"/>
          <w:kern w:val="0"/>
          <w:sz w:val="44"/>
          <w:szCs w:val="44"/>
        </w:rPr>
        <w:t>2025</w:t>
      </w:r>
      <w:r>
        <w:rPr>
          <w:rFonts w:hint="eastAsia" w:ascii="宋体" w:hAnsi="宋体"/>
          <w:b/>
          <w:snapToGrid w:val="0"/>
          <w:kern w:val="0"/>
          <w:sz w:val="44"/>
          <w:szCs w:val="44"/>
        </w:rPr>
        <w:t>年预算草案的报告（书面）</w:t>
      </w:r>
    </w:p>
    <w:p w14:paraId="5F5DF038">
      <w:pPr>
        <w:adjustRightInd w:val="0"/>
        <w:snapToGrid w:val="0"/>
        <w:spacing w:before="312" w:beforeLines="100" w:line="579" w:lineRule="exact"/>
        <w:jc w:val="center"/>
        <w:textAlignment w:val="baseline"/>
        <w:rPr>
          <w:rFonts w:ascii="楷体_GB2312" w:eastAsia="楷体_GB2312"/>
          <w:snapToGrid w:val="0"/>
          <w:kern w:val="0"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──</w:t>
      </w:r>
      <w:r>
        <w:rPr>
          <w:rFonts w:ascii="楷体_GB2312" w:eastAsia="楷体_GB2312"/>
          <w:snapToGrid w:val="0"/>
          <w:kern w:val="0"/>
          <w:sz w:val="32"/>
          <w:szCs w:val="32"/>
        </w:rPr>
        <w:t>2024</w:t>
      </w:r>
      <w:r>
        <w:rPr>
          <w:rFonts w:hint="eastAsia" w:ascii="楷体_GB2312" w:eastAsia="楷体_GB2312"/>
          <w:snapToGrid w:val="0"/>
          <w:kern w:val="0"/>
          <w:sz w:val="32"/>
          <w:szCs w:val="32"/>
        </w:rPr>
        <w:t>年</w:t>
      </w:r>
      <w:r>
        <w:rPr>
          <w:rFonts w:ascii="楷体_GB2312" w:eastAsia="楷体_GB2312"/>
          <w:snapToGrid w:val="0"/>
          <w:kern w:val="0"/>
          <w:sz w:val="32"/>
          <w:szCs w:val="32"/>
        </w:rPr>
        <w:t>12</w:t>
      </w:r>
      <w:r>
        <w:rPr>
          <w:rFonts w:hint="eastAsia" w:ascii="楷体_GB2312" w:eastAsia="楷体_GB2312"/>
          <w:snapToGrid w:val="0"/>
          <w:kern w:val="0"/>
          <w:sz w:val="32"/>
          <w:szCs w:val="32"/>
        </w:rPr>
        <w:t>月26日在沈阳市浑南区</w:t>
      </w:r>
    </w:p>
    <w:p w14:paraId="644172AB">
      <w:pPr>
        <w:adjustRightInd w:val="0"/>
        <w:snapToGrid w:val="0"/>
        <w:spacing w:after="312" w:afterLines="100" w:line="579" w:lineRule="exact"/>
        <w:jc w:val="center"/>
        <w:textAlignment w:val="baseline"/>
        <w:rPr>
          <w:rFonts w:ascii="楷体_GB2312" w:eastAsia="楷体_GB2312"/>
          <w:snapToGrid w:val="0"/>
          <w:kern w:val="0"/>
          <w:sz w:val="32"/>
          <w:szCs w:val="32"/>
        </w:rPr>
      </w:pPr>
      <w:r>
        <w:rPr>
          <w:rFonts w:hint="eastAsia" w:ascii="楷体_GB2312" w:eastAsia="楷体_GB2312"/>
          <w:snapToGrid w:val="0"/>
          <w:kern w:val="0"/>
          <w:sz w:val="32"/>
          <w:szCs w:val="32"/>
        </w:rPr>
        <w:t>第三届人民代表大会第四次会议上</w:t>
      </w:r>
    </w:p>
    <w:p w14:paraId="52148471">
      <w:pPr>
        <w:jc w:val="center"/>
        <w:rPr>
          <w:rFonts w:ascii="楷体_GB2312" w:eastAsia="楷体_GB2312"/>
          <w:snapToGrid w:val="0"/>
          <w:kern w:val="0"/>
          <w:sz w:val="32"/>
          <w:szCs w:val="32"/>
        </w:rPr>
      </w:pPr>
      <w:r>
        <w:rPr>
          <w:rFonts w:hint="eastAsia" w:ascii="楷体_GB2312" w:eastAsia="楷体_GB2312"/>
          <w:snapToGrid w:val="0"/>
          <w:kern w:val="0"/>
          <w:sz w:val="32"/>
          <w:szCs w:val="32"/>
        </w:rPr>
        <w:t>浑南区财政局局长  赵卫先</w:t>
      </w:r>
    </w:p>
    <w:p w14:paraId="3F4D6093">
      <w:pPr>
        <w:pStyle w:val="6"/>
        <w:topLinePunct/>
        <w:adjustRightInd w:val="0"/>
        <w:snapToGrid w:val="0"/>
        <w:spacing w:after="0" w:line="579" w:lineRule="exact"/>
        <w:ind w:firstLine="0"/>
        <w:jc w:val="both"/>
        <w:rPr>
          <w:rFonts w:ascii="仿宋_GB2312" w:hAnsi="仿宋"/>
          <w:b w:val="0"/>
          <w:snapToGrid w:val="0"/>
          <w:color w:val="000000"/>
          <w:sz w:val="32"/>
          <w:szCs w:val="32"/>
        </w:rPr>
      </w:pPr>
    </w:p>
    <w:p w14:paraId="73073EF2">
      <w:pPr>
        <w:pStyle w:val="6"/>
        <w:topLinePunct/>
        <w:adjustRightInd w:val="0"/>
        <w:snapToGrid w:val="0"/>
        <w:spacing w:after="0" w:line="579" w:lineRule="exact"/>
        <w:ind w:firstLine="0"/>
        <w:jc w:val="both"/>
        <w:rPr>
          <w:rFonts w:ascii="仿宋_GB2312" w:hAnsi="仿宋"/>
          <w:snapToGrid w:val="0"/>
          <w:color w:val="000000"/>
          <w:sz w:val="32"/>
          <w:szCs w:val="32"/>
        </w:rPr>
      </w:pPr>
      <w:r>
        <w:rPr>
          <w:rFonts w:hint="eastAsia" w:ascii="仿宋_GB2312" w:hAnsi="仿宋"/>
          <w:b w:val="0"/>
          <w:snapToGrid w:val="0"/>
          <w:color w:val="000000"/>
          <w:sz w:val="32"/>
          <w:szCs w:val="32"/>
        </w:rPr>
        <w:t>各位代表：</w:t>
      </w:r>
    </w:p>
    <w:p w14:paraId="46F642C5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hAnsi="仿宋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</w:rPr>
        <w:t>受区人民政府委托，现将浑南区</w:t>
      </w:r>
      <w:r>
        <w:rPr>
          <w:rFonts w:ascii="仿宋_GB2312" w:hAnsi="仿宋" w:eastAsia="仿宋_GB2312"/>
          <w:snapToGrid w:val="0"/>
          <w:color w:val="000000"/>
          <w:kern w:val="0"/>
          <w:sz w:val="32"/>
          <w:szCs w:val="32"/>
        </w:rPr>
        <w:t>2024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</w:rPr>
        <w:t>年预算执行情况和</w:t>
      </w:r>
      <w:r>
        <w:rPr>
          <w:rFonts w:ascii="仿宋_GB2312" w:hAnsi="仿宋" w:eastAsia="仿宋_GB2312"/>
          <w:snapToGrid w:val="0"/>
          <w:color w:val="000000"/>
          <w:kern w:val="0"/>
          <w:sz w:val="32"/>
          <w:szCs w:val="32"/>
        </w:rPr>
        <w:t>2025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</w:rPr>
        <w:t>年预算草案提请区第三届人大四次会议审议。</w:t>
      </w:r>
    </w:p>
    <w:p w14:paraId="0B030C8B">
      <w:pPr>
        <w:pStyle w:val="13"/>
      </w:pPr>
      <w:r>
        <w:rPr>
          <w:rFonts w:hint="eastAsia"/>
        </w:rPr>
        <w:t>一、</w:t>
      </w:r>
      <w:r>
        <w:t>2024</w:t>
      </w:r>
      <w:r>
        <w:rPr>
          <w:rFonts w:hint="eastAsia"/>
        </w:rPr>
        <w:t>年预算执行情况</w:t>
      </w:r>
    </w:p>
    <w:p w14:paraId="78E2F9A2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2024</w:t>
      </w:r>
      <w:r>
        <w:rPr>
          <w:rFonts w:hint="eastAsia" w:ascii="仿宋_GB2312" w:eastAsia="仿宋_GB2312"/>
          <w:sz w:val="32"/>
          <w:szCs w:val="32"/>
        </w:rPr>
        <w:t>年是财政工作承压极重的一年，面对前所未有的收支压力，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全区在区委坚强领导下，在区人大依法监督和区政协民主监督下，坚持以习近平新时代中国特色社会主义思想为指导，全面贯彻落实党的二十大和二十届二中、三中全会精神，坚持稳中求进、以进促稳、先立后破，以全面振兴新突破三年行动和“振兴新突破、我要当先锋”专项行动为总引领，聚力实施“四大攻坚”，深化资源统筹调配，兜牢“</w:t>
      </w:r>
      <w:r>
        <w:rPr>
          <w:rFonts w:hint="eastAsia" w:ascii="仿宋_GB2312" w:eastAsia="仿宋_GB2312"/>
          <w:sz w:val="32"/>
          <w:szCs w:val="32"/>
        </w:rPr>
        <w:t>三保”支撑底线，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防范化解债务风险，为浑南区高质量振兴发展提供了有力保障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7E1F021">
      <w:pPr>
        <w:topLinePunct/>
        <w:adjustRightInd w:val="0"/>
        <w:snapToGrid w:val="0"/>
        <w:spacing w:line="579" w:lineRule="exact"/>
        <w:ind w:firstLine="640" w:firstLineChars="200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（一）</w:t>
      </w:r>
      <w:r>
        <w:rPr>
          <w:rFonts w:ascii="楷体_GB2312" w:hAnsi="楷体" w:eastAsia="楷体_GB2312"/>
          <w:kern w:val="0"/>
          <w:sz w:val="32"/>
          <w:szCs w:val="32"/>
        </w:rPr>
        <w:t>2024</w:t>
      </w:r>
      <w:r>
        <w:rPr>
          <w:rFonts w:hint="eastAsia" w:ascii="楷体_GB2312" w:hAnsi="楷体" w:eastAsia="楷体_GB2312"/>
          <w:kern w:val="0"/>
          <w:sz w:val="32"/>
          <w:szCs w:val="32"/>
        </w:rPr>
        <w:t>年收支预计完成情况</w:t>
      </w:r>
    </w:p>
    <w:p w14:paraId="3753B4C2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由于各项超预期因素影响，</w:t>
      </w:r>
      <w:r>
        <w:rPr>
          <w:rFonts w:ascii="仿宋_GB2312" w:eastAsia="仿宋_GB2312"/>
          <w:bCs/>
          <w:sz w:val="32"/>
          <w:szCs w:val="32"/>
        </w:rPr>
        <w:t>2024</w:t>
      </w:r>
      <w:r>
        <w:rPr>
          <w:rFonts w:hint="eastAsia" w:ascii="仿宋_GB2312" w:eastAsia="仿宋_GB2312"/>
          <w:bCs/>
          <w:sz w:val="32"/>
          <w:szCs w:val="32"/>
        </w:rPr>
        <w:t>年财政收支较年初预算发生较大变化。根据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《中华人民共和国预算法》</w:t>
      </w:r>
      <w:r>
        <w:rPr>
          <w:rFonts w:hint="eastAsia" w:ascii="仿宋_GB2312" w:eastAsia="仿宋_GB2312"/>
          <w:bCs/>
          <w:sz w:val="32"/>
          <w:szCs w:val="32"/>
        </w:rPr>
        <w:t>规定，我们编制了预算调整方案（草案），并按法定程序报请区人大常委会会议审议通过。</w:t>
      </w:r>
    </w:p>
    <w:p w14:paraId="210D4555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/>
          <w:bCs/>
          <w:kern w:val="0"/>
          <w:sz w:val="32"/>
          <w:szCs w:val="32"/>
        </w:rPr>
        <w:t>1.</w:t>
      </w:r>
      <w:r>
        <w:rPr>
          <w:rFonts w:hint="eastAsia" w:ascii="仿宋_GB2312" w:eastAsia="仿宋_GB2312"/>
          <w:bCs/>
          <w:kern w:val="0"/>
          <w:sz w:val="32"/>
          <w:szCs w:val="32"/>
        </w:rPr>
        <w:t>一般公共预算收支预计完成情况</w:t>
      </w:r>
    </w:p>
    <w:p w14:paraId="5F4A0B79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kern w:val="0"/>
          <w:sz w:val="32"/>
          <w:szCs w:val="32"/>
        </w:rPr>
        <w:t>一般公共预算收入预计完成</w:t>
      </w:r>
      <w:r>
        <w:rPr>
          <w:rFonts w:ascii="仿宋_GB2312" w:hAnsi="仿宋_GB2312" w:eastAsia="仿宋_GB2312"/>
          <w:kern w:val="0"/>
          <w:sz w:val="32"/>
          <w:szCs w:val="32"/>
        </w:rPr>
        <w:t>110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亿元，</w:t>
      </w:r>
      <w:r>
        <w:rPr>
          <w:rFonts w:hint="eastAsia" w:ascii="仿宋_GB2312" w:eastAsia="仿宋_GB2312"/>
          <w:kern w:val="0"/>
          <w:sz w:val="32"/>
          <w:szCs w:val="32"/>
        </w:rPr>
        <w:t>完成调整预算的</w:t>
      </w:r>
      <w:r>
        <w:rPr>
          <w:rFonts w:ascii="仿宋_GB2312" w:eastAsia="仿宋_GB2312"/>
          <w:kern w:val="0"/>
          <w:sz w:val="32"/>
          <w:szCs w:val="32"/>
        </w:rPr>
        <w:t>100%</w:t>
      </w:r>
      <w:r>
        <w:rPr>
          <w:rFonts w:hint="eastAsia" w:ascii="仿宋_GB2312" w:eastAsia="仿宋_GB2312"/>
          <w:kern w:val="0"/>
          <w:sz w:val="32"/>
          <w:szCs w:val="32"/>
        </w:rPr>
        <w:t>，增长</w:t>
      </w:r>
      <w:r>
        <w:rPr>
          <w:rFonts w:ascii="仿宋_GB2312" w:eastAsia="仿宋_GB2312"/>
          <w:kern w:val="0"/>
          <w:sz w:val="32"/>
          <w:szCs w:val="32"/>
        </w:rPr>
        <w:t>37.</w:t>
      </w:r>
      <w:r>
        <w:rPr>
          <w:rFonts w:hint="eastAsia" w:ascii="仿宋_GB2312" w:eastAsia="仿宋_GB2312"/>
          <w:kern w:val="0"/>
          <w:sz w:val="32"/>
          <w:szCs w:val="32"/>
        </w:rPr>
        <w:t>4</w:t>
      </w:r>
      <w:r>
        <w:rPr>
          <w:rFonts w:ascii="仿宋_GB2312" w:eastAsia="仿宋_GB2312"/>
          <w:kern w:val="0"/>
          <w:sz w:val="32"/>
          <w:szCs w:val="32"/>
        </w:rPr>
        <w:t>%</w:t>
      </w:r>
      <w:r>
        <w:rPr>
          <w:rFonts w:hint="eastAsia" w:ascii="仿宋_GB2312" w:eastAsia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其中：税收收入</w:t>
      </w:r>
      <w:r>
        <w:rPr>
          <w:rFonts w:ascii="仿宋_GB2312" w:hAnsi="仿宋_GB2312" w:eastAsia="仿宋_GB2312"/>
          <w:kern w:val="0"/>
          <w:sz w:val="32"/>
          <w:szCs w:val="32"/>
        </w:rPr>
        <w:t>71.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8亿元，</w:t>
      </w:r>
      <w:r>
        <w:rPr>
          <w:rFonts w:hint="eastAsia" w:ascii="仿宋_GB2312" w:eastAsia="仿宋_GB2312"/>
          <w:kern w:val="0"/>
          <w:sz w:val="32"/>
          <w:szCs w:val="32"/>
        </w:rPr>
        <w:t>完成调整预算的</w:t>
      </w:r>
      <w:r>
        <w:rPr>
          <w:rFonts w:ascii="仿宋_GB2312" w:eastAsia="仿宋_GB2312"/>
          <w:kern w:val="0"/>
          <w:sz w:val="32"/>
          <w:szCs w:val="32"/>
        </w:rPr>
        <w:t>100%</w:t>
      </w:r>
      <w:r>
        <w:rPr>
          <w:rFonts w:hint="eastAsia" w:ascii="仿宋_GB2312" w:eastAsia="仿宋_GB2312"/>
          <w:kern w:val="0"/>
          <w:sz w:val="32"/>
          <w:szCs w:val="32"/>
        </w:rPr>
        <w:t>，增长</w:t>
      </w:r>
      <w:r>
        <w:rPr>
          <w:rFonts w:ascii="仿宋_GB2312" w:eastAsia="仿宋_GB2312"/>
          <w:kern w:val="0"/>
          <w:sz w:val="32"/>
          <w:szCs w:val="32"/>
        </w:rPr>
        <w:t>5.</w:t>
      </w:r>
      <w:r>
        <w:rPr>
          <w:rFonts w:hint="eastAsia" w:ascii="仿宋_GB2312" w:eastAsia="仿宋_GB2312"/>
          <w:kern w:val="0"/>
          <w:sz w:val="32"/>
          <w:szCs w:val="32"/>
        </w:rPr>
        <w:t>3</w:t>
      </w:r>
      <w:r>
        <w:rPr>
          <w:rFonts w:ascii="仿宋_GB2312" w:eastAsia="仿宋_GB2312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；非税收入</w:t>
      </w:r>
      <w:r>
        <w:rPr>
          <w:rFonts w:ascii="仿宋_GB2312" w:hAnsi="仿宋_GB2312" w:eastAsia="仿宋_GB2312"/>
          <w:kern w:val="0"/>
          <w:sz w:val="32"/>
          <w:szCs w:val="32"/>
        </w:rPr>
        <w:t>38.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2亿元，</w:t>
      </w:r>
      <w:r>
        <w:rPr>
          <w:rFonts w:hint="eastAsia" w:ascii="仿宋_GB2312" w:eastAsia="仿宋_GB2312"/>
          <w:kern w:val="0"/>
          <w:sz w:val="32"/>
          <w:szCs w:val="32"/>
        </w:rPr>
        <w:t>完成调整预算的</w:t>
      </w:r>
      <w:r>
        <w:rPr>
          <w:rFonts w:ascii="仿宋_GB2312" w:eastAsia="仿宋_GB2312"/>
          <w:kern w:val="0"/>
          <w:sz w:val="32"/>
          <w:szCs w:val="32"/>
        </w:rPr>
        <w:t>100%</w:t>
      </w:r>
      <w:r>
        <w:rPr>
          <w:rFonts w:hint="eastAsia" w:ascii="仿宋_GB2312" w:eastAsia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增长222.1</w:t>
      </w:r>
      <w:r>
        <w:rPr>
          <w:rFonts w:ascii="仿宋_GB2312" w:hAnsi="仿宋_GB2312" w:eastAsia="仿宋_GB2312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。</w:t>
      </w:r>
    </w:p>
    <w:p w14:paraId="34586343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kern w:val="0"/>
          <w:sz w:val="32"/>
          <w:szCs w:val="32"/>
        </w:rPr>
        <w:t>一般公共预算支出预计完成91亿元，</w:t>
      </w:r>
      <w:r>
        <w:rPr>
          <w:rFonts w:hint="eastAsia" w:ascii="仿宋_GB2312" w:eastAsia="仿宋_GB2312"/>
          <w:kern w:val="0"/>
          <w:sz w:val="32"/>
          <w:szCs w:val="32"/>
        </w:rPr>
        <w:t>完成调整预算的</w:t>
      </w:r>
      <w:r>
        <w:rPr>
          <w:rFonts w:ascii="仿宋_GB2312" w:eastAsia="仿宋_GB2312"/>
          <w:kern w:val="0"/>
          <w:sz w:val="32"/>
          <w:szCs w:val="32"/>
        </w:rPr>
        <w:t>100%</w:t>
      </w:r>
      <w:r>
        <w:rPr>
          <w:rFonts w:hint="eastAsia" w:ascii="仿宋_GB2312" w:eastAsia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增长49.1</w:t>
      </w:r>
      <w:r>
        <w:rPr>
          <w:rFonts w:ascii="仿宋_GB2312" w:hAnsi="仿宋_GB2312" w:eastAsia="仿宋_GB2312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。主要支出情况如下：</w:t>
      </w:r>
    </w:p>
    <w:p w14:paraId="0C263EA6">
      <w:pPr>
        <w:topLinePunct/>
        <w:adjustRightInd w:val="0"/>
        <w:snapToGrid w:val="0"/>
        <w:spacing w:line="579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教育</w:t>
      </w:r>
      <w:r>
        <w:rPr>
          <w:rFonts w:hint="eastAsia" w:ascii="仿宋_GB2312" w:eastAsia="仿宋_GB2312"/>
          <w:kern w:val="0"/>
          <w:sz w:val="32"/>
          <w:szCs w:val="32"/>
        </w:rPr>
        <w:t>支出8.6亿元，增长17.7</w:t>
      </w:r>
      <w:r>
        <w:rPr>
          <w:rFonts w:ascii="仿宋_GB2312" w:eastAsia="仿宋_GB2312"/>
          <w:kern w:val="0"/>
          <w:sz w:val="32"/>
          <w:szCs w:val="32"/>
        </w:rPr>
        <w:t>%</w:t>
      </w:r>
      <w:r>
        <w:rPr>
          <w:rFonts w:hint="eastAsia" w:ascii="仿宋_GB2312" w:eastAsia="仿宋_GB2312"/>
          <w:kern w:val="0"/>
          <w:sz w:val="32"/>
          <w:szCs w:val="32"/>
        </w:rPr>
        <w:t>；</w:t>
      </w:r>
      <w:r>
        <w:rPr>
          <w:rFonts w:hint="eastAsia" w:ascii="仿宋_GB2312" w:eastAsia="仿宋_GB2312"/>
          <w:b/>
          <w:kern w:val="0"/>
          <w:sz w:val="32"/>
          <w:szCs w:val="32"/>
        </w:rPr>
        <w:t>科学技术</w:t>
      </w:r>
      <w:r>
        <w:rPr>
          <w:rFonts w:hint="eastAsia" w:ascii="仿宋_GB2312" w:eastAsia="仿宋_GB2312"/>
          <w:kern w:val="0"/>
          <w:sz w:val="32"/>
          <w:szCs w:val="32"/>
        </w:rPr>
        <w:t>支出9.9亿元，增长61.3</w:t>
      </w:r>
      <w:r>
        <w:rPr>
          <w:rFonts w:ascii="仿宋_GB2312" w:eastAsia="仿宋_GB2312"/>
          <w:kern w:val="0"/>
          <w:sz w:val="32"/>
          <w:szCs w:val="32"/>
        </w:rPr>
        <w:t>%</w:t>
      </w:r>
      <w:r>
        <w:rPr>
          <w:rFonts w:hint="eastAsia" w:ascii="仿宋_GB2312" w:eastAsia="仿宋_GB2312"/>
          <w:kern w:val="0"/>
          <w:sz w:val="32"/>
          <w:szCs w:val="32"/>
        </w:rPr>
        <w:t>；</w:t>
      </w:r>
      <w:r>
        <w:rPr>
          <w:rFonts w:hint="eastAsia" w:ascii="仿宋_GB2312" w:eastAsia="仿宋_GB2312"/>
          <w:b/>
          <w:kern w:val="0"/>
          <w:sz w:val="32"/>
          <w:szCs w:val="32"/>
        </w:rPr>
        <w:t>农林水</w:t>
      </w:r>
      <w:r>
        <w:rPr>
          <w:rFonts w:hint="eastAsia" w:ascii="仿宋_GB2312" w:eastAsia="仿宋_GB2312"/>
          <w:kern w:val="0"/>
          <w:sz w:val="32"/>
          <w:szCs w:val="32"/>
        </w:rPr>
        <w:t>支出3.3亿元，增长3.3</w:t>
      </w:r>
      <w:r>
        <w:rPr>
          <w:rFonts w:ascii="仿宋_GB2312" w:eastAsia="仿宋_GB2312"/>
          <w:kern w:val="0"/>
          <w:sz w:val="32"/>
          <w:szCs w:val="32"/>
        </w:rPr>
        <w:t>%</w:t>
      </w:r>
      <w:r>
        <w:rPr>
          <w:rFonts w:hint="eastAsia" w:ascii="仿宋_GB2312" w:eastAsia="仿宋_GB2312"/>
          <w:kern w:val="0"/>
          <w:sz w:val="32"/>
          <w:szCs w:val="32"/>
        </w:rPr>
        <w:t>；</w:t>
      </w:r>
      <w:r>
        <w:rPr>
          <w:rFonts w:hint="eastAsia" w:ascii="仿宋_GB2312" w:eastAsia="仿宋_GB2312"/>
          <w:b/>
          <w:kern w:val="0"/>
          <w:sz w:val="32"/>
          <w:szCs w:val="32"/>
        </w:rPr>
        <w:t>社会保障和就业</w:t>
      </w:r>
      <w:r>
        <w:rPr>
          <w:rFonts w:hint="eastAsia" w:ascii="仿宋_GB2312" w:eastAsia="仿宋_GB2312"/>
          <w:kern w:val="0"/>
          <w:sz w:val="32"/>
          <w:szCs w:val="32"/>
        </w:rPr>
        <w:t>支出8.4亿元，增长2.1</w:t>
      </w:r>
      <w:r>
        <w:rPr>
          <w:rFonts w:ascii="仿宋_GB2312" w:eastAsia="仿宋_GB2312"/>
          <w:kern w:val="0"/>
          <w:sz w:val="32"/>
          <w:szCs w:val="32"/>
        </w:rPr>
        <w:t>%</w:t>
      </w:r>
      <w:r>
        <w:rPr>
          <w:rFonts w:hint="eastAsia" w:ascii="仿宋_GB2312" w:eastAsia="仿宋_GB2312"/>
          <w:kern w:val="0"/>
          <w:sz w:val="32"/>
          <w:szCs w:val="32"/>
        </w:rPr>
        <w:t>；</w:t>
      </w:r>
      <w:r>
        <w:rPr>
          <w:rFonts w:hint="eastAsia" w:ascii="仿宋_GB2312" w:eastAsia="仿宋_GB2312"/>
          <w:b/>
          <w:kern w:val="0"/>
          <w:sz w:val="32"/>
          <w:szCs w:val="32"/>
        </w:rPr>
        <w:t>一般公共服务</w:t>
      </w:r>
      <w:r>
        <w:rPr>
          <w:rFonts w:hint="eastAsia" w:ascii="仿宋_GB2312" w:eastAsia="仿宋_GB2312"/>
          <w:kern w:val="0"/>
          <w:sz w:val="32"/>
          <w:szCs w:val="32"/>
        </w:rPr>
        <w:t>支出5.3亿元，增长3.2</w:t>
      </w:r>
      <w:r>
        <w:rPr>
          <w:rFonts w:ascii="仿宋_GB2312" w:eastAsia="仿宋_GB2312"/>
          <w:kern w:val="0"/>
          <w:sz w:val="32"/>
          <w:szCs w:val="32"/>
        </w:rPr>
        <w:t>%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</w:p>
    <w:p w14:paraId="4D471411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kern w:val="0"/>
          <w:sz w:val="32"/>
          <w:szCs w:val="32"/>
        </w:rPr>
        <w:t>一般公共预算收入（本级）100.9亿元，加上级财政补助收入30.9亿元、调入资金17.5亿元，加地方政府债券收入6.6亿元，总收入合计155.9亿元；一般公共预算支出91亿元，加上解支出52.8亿元、结转下年1.6亿元和债务还本支出10.5亿元，总支出合计155.9亿元，实现收支平衡。</w:t>
      </w:r>
    </w:p>
    <w:p w14:paraId="5214548C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/>
          <w:bCs/>
          <w:kern w:val="0"/>
          <w:sz w:val="32"/>
          <w:szCs w:val="32"/>
        </w:rPr>
        <w:t>2.</w:t>
      </w:r>
      <w:r>
        <w:rPr>
          <w:rFonts w:hint="eastAsia" w:ascii="仿宋_GB2312" w:eastAsia="仿宋_GB2312"/>
          <w:bCs/>
          <w:kern w:val="0"/>
          <w:sz w:val="32"/>
          <w:szCs w:val="32"/>
        </w:rPr>
        <w:t>政府性基金预算收支预计完成情况</w:t>
      </w:r>
    </w:p>
    <w:p w14:paraId="6DC73C94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kern w:val="0"/>
          <w:sz w:val="32"/>
          <w:szCs w:val="32"/>
        </w:rPr>
        <w:t>政府性基金预算收入预计完成55.1亿元，</w:t>
      </w:r>
      <w:r>
        <w:rPr>
          <w:rFonts w:hint="eastAsia" w:ascii="仿宋_GB2312" w:eastAsia="仿宋_GB2312"/>
          <w:kern w:val="0"/>
          <w:sz w:val="32"/>
          <w:szCs w:val="32"/>
        </w:rPr>
        <w:t>完成调整预算的100</w:t>
      </w:r>
      <w:r>
        <w:rPr>
          <w:rFonts w:ascii="仿宋_GB2312" w:eastAsia="仿宋_GB2312"/>
          <w:kern w:val="0"/>
          <w:sz w:val="32"/>
          <w:szCs w:val="32"/>
        </w:rPr>
        <w:t>%</w:t>
      </w:r>
      <w:r>
        <w:rPr>
          <w:rFonts w:hint="eastAsia" w:ascii="仿宋_GB2312" w:eastAsia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增长796.9</w:t>
      </w:r>
      <w:r>
        <w:rPr>
          <w:rFonts w:ascii="仿宋_GB2312" w:hAnsi="仿宋_GB2312" w:eastAsia="仿宋_GB2312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。其中：土地出让收入48.8亿元，增长1015.1</w:t>
      </w:r>
      <w:r>
        <w:rPr>
          <w:rFonts w:ascii="仿宋_GB2312" w:hAnsi="仿宋_GB2312" w:eastAsia="仿宋_GB2312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；基础设施配套费收入2.5亿元，增长43</w:t>
      </w:r>
      <w:r>
        <w:rPr>
          <w:rFonts w:ascii="仿宋_GB2312" w:hAnsi="仿宋_GB2312" w:eastAsia="仿宋_GB2312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；污水处理费收入3.8亿元，去年同期没有此项收入。</w:t>
      </w:r>
    </w:p>
    <w:p w14:paraId="06FE1824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kern w:val="0"/>
          <w:sz w:val="32"/>
          <w:szCs w:val="32"/>
        </w:rPr>
        <w:t>政府性基金预算支出预计完成41.7亿元，</w:t>
      </w:r>
      <w:r>
        <w:rPr>
          <w:rFonts w:hint="eastAsia" w:ascii="仿宋_GB2312" w:eastAsia="仿宋_GB2312"/>
          <w:kern w:val="0"/>
          <w:sz w:val="32"/>
          <w:szCs w:val="32"/>
        </w:rPr>
        <w:t>完成调整预算的100</w:t>
      </w:r>
      <w:r>
        <w:rPr>
          <w:rFonts w:ascii="仿宋_GB2312" w:eastAsia="仿宋_GB2312"/>
          <w:kern w:val="0"/>
          <w:sz w:val="32"/>
          <w:szCs w:val="32"/>
        </w:rPr>
        <w:t>%</w:t>
      </w:r>
      <w:r>
        <w:rPr>
          <w:rFonts w:hint="eastAsia" w:ascii="仿宋_GB2312" w:eastAsia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增长235.2</w:t>
      </w:r>
      <w:r>
        <w:rPr>
          <w:rFonts w:ascii="仿宋_GB2312" w:hAnsi="仿宋_GB2312" w:eastAsia="仿宋_GB2312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。</w:t>
      </w:r>
    </w:p>
    <w:p w14:paraId="2BAA5C56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hAnsi="仿宋_GB2312" w:eastAsia="仿宋_GB2312"/>
          <w:color w:val="FF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kern w:val="0"/>
          <w:sz w:val="32"/>
          <w:szCs w:val="32"/>
        </w:rPr>
        <w:t>政府性基金预算收入55.1亿元，加上级财政补助收入7亿元，加地方政府债券收入52亿元，总收入合计114.1亿元；政府性基金预算支出41.7亿元，加调出资金15.4亿元、结转下年5亿元和债务还本支出52亿元，总支出合计114.1亿元，实现收支平衡。</w:t>
      </w:r>
    </w:p>
    <w:p w14:paraId="292B8EC8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/>
          <w:bCs/>
          <w:kern w:val="0"/>
          <w:sz w:val="32"/>
          <w:szCs w:val="32"/>
        </w:rPr>
        <w:t>3.</w:t>
      </w:r>
      <w:r>
        <w:rPr>
          <w:rFonts w:hint="eastAsia" w:ascii="仿宋_GB2312" w:eastAsia="仿宋_GB2312"/>
          <w:bCs/>
          <w:kern w:val="0"/>
          <w:sz w:val="32"/>
          <w:szCs w:val="32"/>
        </w:rPr>
        <w:t>国有资本经营预算收支预计完成情况</w:t>
      </w:r>
    </w:p>
    <w:p w14:paraId="3E15EC83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国有资本经营预算收入预计完成274万元，完成年初预算的391.4</w:t>
      </w:r>
      <w:r>
        <w:rPr>
          <w:rFonts w:ascii="仿宋_GB2312" w:eastAsia="仿宋_GB2312"/>
          <w:kern w:val="0"/>
          <w:sz w:val="32"/>
          <w:szCs w:val="32"/>
        </w:rPr>
        <w:t>%</w:t>
      </w:r>
      <w:r>
        <w:rPr>
          <w:rFonts w:hint="eastAsia" w:ascii="仿宋_GB2312" w:eastAsia="仿宋_GB2312"/>
          <w:kern w:val="0"/>
          <w:sz w:val="32"/>
          <w:szCs w:val="32"/>
        </w:rPr>
        <w:t>。加上专项资金和上年结转234万元，合计508万元。</w:t>
      </w:r>
    </w:p>
    <w:p w14:paraId="34138DD9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国有资本经营预算支出预计完成508万元，完成年初预算的241.9</w:t>
      </w:r>
      <w:r>
        <w:rPr>
          <w:rFonts w:ascii="仿宋_GB2312" w:eastAsia="仿宋_GB2312"/>
          <w:kern w:val="0"/>
          <w:sz w:val="32"/>
          <w:szCs w:val="32"/>
        </w:rPr>
        <w:t>%</w:t>
      </w:r>
      <w:r>
        <w:rPr>
          <w:rFonts w:hint="eastAsia" w:ascii="仿宋_GB2312" w:eastAsia="仿宋_GB2312"/>
          <w:kern w:val="0"/>
          <w:sz w:val="32"/>
          <w:szCs w:val="32"/>
        </w:rPr>
        <w:t>，实现收支平衡。</w:t>
      </w:r>
    </w:p>
    <w:p w14:paraId="4B6AF93F">
      <w:pPr>
        <w:topLinePunct/>
        <w:adjustRightInd w:val="0"/>
        <w:snapToGrid w:val="0"/>
        <w:spacing w:line="579" w:lineRule="exact"/>
        <w:ind w:firstLine="640" w:firstLineChars="200"/>
        <w:jc w:val="left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/>
          <w:bCs/>
          <w:kern w:val="0"/>
          <w:sz w:val="32"/>
          <w:szCs w:val="32"/>
        </w:rPr>
        <w:t>4.</w:t>
      </w:r>
      <w:r>
        <w:rPr>
          <w:rFonts w:hint="eastAsia" w:ascii="仿宋_GB2312" w:eastAsia="仿宋_GB2312"/>
          <w:bCs/>
          <w:kern w:val="0"/>
          <w:sz w:val="32"/>
          <w:szCs w:val="32"/>
        </w:rPr>
        <w:t>社会保险基金预算收支预计完成情况</w:t>
      </w:r>
    </w:p>
    <w:p w14:paraId="45C424C4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社会保险基金预算收入预计完成1.2亿元，社会保险基金预算支出预计完成1.15亿元。当年收支结余658万元，全部结转下年。</w:t>
      </w:r>
    </w:p>
    <w:p w14:paraId="00BCED37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上述数据在财政决算后会略有变化，届时再向区人大常委会报告。</w:t>
      </w:r>
    </w:p>
    <w:p w14:paraId="4E174BA6">
      <w:pPr>
        <w:topLinePunct/>
        <w:adjustRightInd w:val="0"/>
        <w:snapToGrid w:val="0"/>
        <w:spacing w:line="579" w:lineRule="exact"/>
        <w:ind w:firstLine="640" w:firstLineChars="200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（二）地方政府债务情况</w:t>
      </w:r>
    </w:p>
    <w:p w14:paraId="2DFE8806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/>
          <w:bCs/>
          <w:kern w:val="0"/>
          <w:sz w:val="32"/>
          <w:szCs w:val="32"/>
        </w:rPr>
        <w:t>1.</w:t>
      </w:r>
      <w:r>
        <w:rPr>
          <w:rFonts w:hint="eastAsia" w:ascii="仿宋_GB2312" w:eastAsia="仿宋_GB2312"/>
          <w:bCs/>
          <w:kern w:val="0"/>
          <w:sz w:val="32"/>
          <w:szCs w:val="32"/>
        </w:rPr>
        <w:t>债务限额和余额情况</w:t>
      </w:r>
    </w:p>
    <w:p w14:paraId="36055679">
      <w:pPr>
        <w:tabs>
          <w:tab w:val="left" w:pos="6162"/>
        </w:tabs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经市政府批准，我区</w:t>
      </w:r>
      <w:r>
        <w:rPr>
          <w:rFonts w:ascii="仿宋_GB2312" w:eastAsia="仿宋_GB2312"/>
          <w:kern w:val="0"/>
          <w:sz w:val="32"/>
          <w:szCs w:val="32"/>
        </w:rPr>
        <w:t>2023</w:t>
      </w:r>
      <w:r>
        <w:rPr>
          <w:rFonts w:hint="eastAsia" w:ascii="仿宋_GB2312" w:eastAsia="仿宋_GB2312"/>
          <w:kern w:val="0"/>
          <w:sz w:val="32"/>
          <w:szCs w:val="32"/>
        </w:rPr>
        <w:t>年地方政府债务限额为</w:t>
      </w:r>
      <w:r>
        <w:rPr>
          <w:rFonts w:ascii="仿宋_GB2312" w:eastAsia="仿宋_GB2312"/>
          <w:kern w:val="0"/>
          <w:sz w:val="32"/>
          <w:szCs w:val="32"/>
        </w:rPr>
        <w:t>387.97</w:t>
      </w:r>
      <w:r>
        <w:rPr>
          <w:rFonts w:hint="eastAsia" w:ascii="仿宋_GB2312" w:eastAsia="仿宋_GB2312"/>
          <w:kern w:val="0"/>
          <w:sz w:val="32"/>
          <w:szCs w:val="32"/>
        </w:rPr>
        <w:t>亿元。截至</w:t>
      </w:r>
      <w:r>
        <w:rPr>
          <w:rFonts w:ascii="仿宋_GB2312" w:eastAsia="仿宋_GB2312"/>
          <w:kern w:val="0"/>
          <w:sz w:val="32"/>
          <w:szCs w:val="32"/>
        </w:rPr>
        <w:t>2024</w:t>
      </w:r>
      <w:r>
        <w:rPr>
          <w:rFonts w:hint="eastAsia" w:ascii="仿宋_GB2312" w:eastAsia="仿宋_GB2312"/>
          <w:kern w:val="0"/>
          <w:sz w:val="32"/>
          <w:szCs w:val="32"/>
        </w:rPr>
        <w:t>年末，我区政府债务余额</w:t>
      </w:r>
      <w:r>
        <w:rPr>
          <w:rFonts w:ascii="仿宋_GB2312" w:eastAsia="仿宋_GB2312"/>
          <w:kern w:val="0"/>
          <w:sz w:val="32"/>
          <w:szCs w:val="32"/>
        </w:rPr>
        <w:t>364.89</w:t>
      </w:r>
      <w:r>
        <w:rPr>
          <w:rFonts w:hint="eastAsia" w:ascii="仿宋_GB2312" w:eastAsia="仿宋_GB2312"/>
          <w:kern w:val="0"/>
          <w:sz w:val="32"/>
          <w:szCs w:val="32"/>
        </w:rPr>
        <w:t>亿元，均为地方政府债券，其中：一般债务</w:t>
      </w:r>
      <w:r>
        <w:rPr>
          <w:rFonts w:ascii="仿宋_GB2312" w:eastAsia="仿宋_GB2312"/>
          <w:kern w:val="0"/>
          <w:sz w:val="32"/>
          <w:szCs w:val="32"/>
        </w:rPr>
        <w:t>155.16</w:t>
      </w:r>
      <w:r>
        <w:rPr>
          <w:rFonts w:hint="eastAsia" w:ascii="仿宋_GB2312" w:eastAsia="仿宋_GB2312"/>
          <w:kern w:val="0"/>
          <w:sz w:val="32"/>
          <w:szCs w:val="32"/>
        </w:rPr>
        <w:t>亿元；专项债务</w:t>
      </w:r>
      <w:r>
        <w:rPr>
          <w:rFonts w:ascii="仿宋_GB2312" w:eastAsia="仿宋_GB2312"/>
          <w:kern w:val="0"/>
          <w:sz w:val="32"/>
          <w:szCs w:val="32"/>
        </w:rPr>
        <w:t>209.73</w:t>
      </w:r>
      <w:r>
        <w:rPr>
          <w:rFonts w:hint="eastAsia" w:ascii="仿宋_GB2312" w:eastAsia="仿宋_GB2312"/>
          <w:kern w:val="0"/>
          <w:sz w:val="32"/>
          <w:szCs w:val="32"/>
        </w:rPr>
        <w:t>亿元，未超出批准限额。</w:t>
      </w:r>
    </w:p>
    <w:p w14:paraId="3C6CD6AC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/>
          <w:bCs/>
          <w:kern w:val="0"/>
          <w:sz w:val="32"/>
          <w:szCs w:val="32"/>
        </w:rPr>
        <w:t>2.</w:t>
      </w:r>
      <w:r>
        <w:rPr>
          <w:rFonts w:hint="eastAsia" w:ascii="仿宋_GB2312" w:eastAsia="仿宋_GB2312"/>
          <w:bCs/>
          <w:kern w:val="0"/>
          <w:sz w:val="32"/>
          <w:szCs w:val="32"/>
        </w:rPr>
        <w:t>地方政府债券发行和偿还情况</w:t>
      </w:r>
    </w:p>
    <w:p w14:paraId="14716EDC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2024</w:t>
      </w:r>
      <w:r>
        <w:rPr>
          <w:rFonts w:hint="eastAsia" w:ascii="仿宋_GB2312" w:eastAsia="仿宋_GB2312"/>
          <w:kern w:val="0"/>
          <w:sz w:val="32"/>
          <w:szCs w:val="32"/>
        </w:rPr>
        <w:t>年，我区发行地方政府债券</w:t>
      </w:r>
      <w:r>
        <w:rPr>
          <w:rFonts w:ascii="仿宋_GB2312" w:eastAsia="仿宋_GB2312"/>
          <w:kern w:val="0"/>
          <w:sz w:val="32"/>
          <w:szCs w:val="32"/>
        </w:rPr>
        <w:t>58.68</w:t>
      </w:r>
      <w:r>
        <w:rPr>
          <w:rFonts w:hint="eastAsia" w:ascii="仿宋_GB2312" w:eastAsia="仿宋_GB2312"/>
          <w:kern w:val="0"/>
          <w:sz w:val="32"/>
          <w:szCs w:val="32"/>
        </w:rPr>
        <w:t>亿元，其中：一般债券</w:t>
      </w:r>
      <w:r>
        <w:rPr>
          <w:rFonts w:ascii="仿宋_GB2312" w:eastAsia="仿宋_GB2312"/>
          <w:kern w:val="0"/>
          <w:sz w:val="32"/>
          <w:szCs w:val="32"/>
        </w:rPr>
        <w:t>6.65</w:t>
      </w:r>
      <w:r>
        <w:rPr>
          <w:rFonts w:hint="eastAsia" w:ascii="仿宋_GB2312" w:eastAsia="仿宋_GB2312"/>
          <w:kern w:val="0"/>
          <w:sz w:val="32"/>
          <w:szCs w:val="32"/>
        </w:rPr>
        <w:t>亿元，专项债券</w:t>
      </w:r>
      <w:r>
        <w:rPr>
          <w:rFonts w:ascii="仿宋_GB2312" w:eastAsia="仿宋_GB2312"/>
          <w:kern w:val="0"/>
          <w:sz w:val="32"/>
          <w:szCs w:val="32"/>
        </w:rPr>
        <w:t>52.03</w:t>
      </w:r>
      <w:r>
        <w:rPr>
          <w:rFonts w:hint="eastAsia" w:ascii="仿宋_GB2312" w:eastAsia="仿宋_GB2312"/>
          <w:kern w:val="0"/>
          <w:sz w:val="32"/>
          <w:szCs w:val="32"/>
        </w:rPr>
        <w:t>亿元。主要用途为：</w:t>
      </w:r>
      <w:r>
        <w:rPr>
          <w:rFonts w:hint="eastAsia" w:ascii="仿宋_GB2312" w:eastAsia="仿宋_GB2312"/>
          <w:b/>
          <w:kern w:val="0"/>
          <w:sz w:val="32"/>
          <w:szCs w:val="32"/>
        </w:rPr>
        <w:t>一是</w:t>
      </w:r>
      <w:r>
        <w:rPr>
          <w:rFonts w:hint="eastAsia" w:ascii="仿宋_GB2312" w:eastAsia="仿宋_GB2312"/>
          <w:kern w:val="0"/>
          <w:sz w:val="32"/>
          <w:szCs w:val="32"/>
        </w:rPr>
        <w:t>本年新发再融资债券</w:t>
      </w:r>
      <w:r>
        <w:rPr>
          <w:rFonts w:ascii="仿宋_GB2312" w:eastAsia="仿宋_GB2312"/>
          <w:kern w:val="0"/>
          <w:sz w:val="32"/>
          <w:szCs w:val="32"/>
        </w:rPr>
        <w:t>34.92</w:t>
      </w:r>
      <w:r>
        <w:rPr>
          <w:rFonts w:hint="eastAsia" w:ascii="仿宋_GB2312" w:eastAsia="仿宋_GB2312"/>
          <w:kern w:val="0"/>
          <w:sz w:val="32"/>
          <w:szCs w:val="32"/>
        </w:rPr>
        <w:t>亿元，用于偿还当年到期债券本金；</w:t>
      </w:r>
      <w:r>
        <w:rPr>
          <w:rFonts w:hint="eastAsia" w:ascii="仿宋_GB2312" w:eastAsia="仿宋_GB2312"/>
          <w:b/>
          <w:kern w:val="0"/>
          <w:sz w:val="32"/>
          <w:szCs w:val="32"/>
        </w:rPr>
        <w:t>二是</w:t>
      </w:r>
      <w:r>
        <w:rPr>
          <w:rFonts w:hint="eastAsia" w:ascii="仿宋_GB2312" w:eastAsia="仿宋_GB2312"/>
          <w:kern w:val="0"/>
          <w:sz w:val="32"/>
          <w:szCs w:val="32"/>
        </w:rPr>
        <w:t>本年新增置换债券</w:t>
      </w:r>
      <w:r>
        <w:rPr>
          <w:rFonts w:ascii="仿宋_GB2312" w:eastAsia="仿宋_GB2312"/>
          <w:kern w:val="0"/>
          <w:sz w:val="32"/>
          <w:szCs w:val="32"/>
        </w:rPr>
        <w:t>23.26</w:t>
      </w:r>
      <w:r>
        <w:rPr>
          <w:rFonts w:hint="eastAsia" w:ascii="仿宋_GB2312" w:eastAsia="仿宋_GB2312"/>
          <w:kern w:val="0"/>
          <w:sz w:val="32"/>
          <w:szCs w:val="32"/>
        </w:rPr>
        <w:t>亿元，用于置换存量隐性债务；</w:t>
      </w:r>
      <w:r>
        <w:rPr>
          <w:rFonts w:hint="eastAsia" w:ascii="仿宋_GB2312" w:eastAsia="仿宋_GB2312"/>
          <w:b/>
          <w:kern w:val="0"/>
          <w:sz w:val="32"/>
          <w:szCs w:val="32"/>
        </w:rPr>
        <w:t>三是</w:t>
      </w:r>
      <w:r>
        <w:rPr>
          <w:rFonts w:hint="eastAsia" w:ascii="仿宋_GB2312" w:eastAsia="仿宋_GB2312"/>
          <w:kern w:val="0"/>
          <w:sz w:val="32"/>
          <w:szCs w:val="32"/>
        </w:rPr>
        <w:t>本年新增债券</w:t>
      </w:r>
      <w:r>
        <w:rPr>
          <w:rFonts w:ascii="仿宋_GB2312" w:eastAsia="仿宋_GB2312"/>
          <w:kern w:val="0"/>
          <w:sz w:val="32"/>
          <w:szCs w:val="32"/>
        </w:rPr>
        <w:t>0.5</w:t>
      </w:r>
      <w:r>
        <w:rPr>
          <w:rFonts w:hint="eastAsia" w:ascii="仿宋_GB2312" w:eastAsia="仿宋_GB2312"/>
          <w:kern w:val="0"/>
          <w:sz w:val="32"/>
          <w:szCs w:val="32"/>
        </w:rPr>
        <w:t>亿元，用于浑南科技城孵化器项目建设。</w:t>
      </w:r>
    </w:p>
    <w:p w14:paraId="58DE3F65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color w:val="FF0000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2024</w:t>
      </w:r>
      <w:r>
        <w:rPr>
          <w:rFonts w:hint="eastAsia" w:ascii="仿宋_GB2312" w:eastAsia="仿宋_GB2312"/>
          <w:kern w:val="0"/>
          <w:sz w:val="32"/>
          <w:szCs w:val="32"/>
        </w:rPr>
        <w:t>年我区到期债券本金</w:t>
      </w:r>
      <w:r>
        <w:rPr>
          <w:rFonts w:ascii="仿宋_GB2312" w:eastAsia="仿宋_GB2312"/>
          <w:kern w:val="0"/>
          <w:sz w:val="32"/>
          <w:szCs w:val="32"/>
        </w:rPr>
        <w:t>38.8</w:t>
      </w:r>
      <w:r>
        <w:rPr>
          <w:rFonts w:hint="eastAsia" w:ascii="仿宋_GB2312" w:eastAsia="仿宋_GB2312"/>
          <w:kern w:val="0"/>
          <w:sz w:val="32"/>
          <w:szCs w:val="32"/>
        </w:rPr>
        <w:t>亿元，已全部偿还，其中：再融资债券偿还</w:t>
      </w:r>
      <w:r>
        <w:rPr>
          <w:rFonts w:ascii="仿宋_GB2312" w:eastAsia="仿宋_GB2312"/>
          <w:kern w:val="0"/>
          <w:sz w:val="32"/>
          <w:szCs w:val="32"/>
        </w:rPr>
        <w:t>34.92</w:t>
      </w:r>
      <w:r>
        <w:rPr>
          <w:rFonts w:hint="eastAsia" w:ascii="仿宋_GB2312" w:eastAsia="仿宋_GB2312"/>
          <w:kern w:val="0"/>
          <w:sz w:val="32"/>
          <w:szCs w:val="32"/>
        </w:rPr>
        <w:t>亿元，本级财力偿还</w:t>
      </w:r>
      <w:r>
        <w:rPr>
          <w:rFonts w:ascii="仿宋_GB2312" w:eastAsia="仿宋_GB2312"/>
          <w:kern w:val="0"/>
          <w:sz w:val="32"/>
          <w:szCs w:val="32"/>
        </w:rPr>
        <w:t>3.88</w:t>
      </w:r>
      <w:r>
        <w:rPr>
          <w:rFonts w:hint="eastAsia" w:ascii="仿宋_GB2312" w:eastAsia="仿宋_GB2312"/>
          <w:kern w:val="0"/>
          <w:sz w:val="32"/>
          <w:szCs w:val="32"/>
        </w:rPr>
        <w:t>亿元。</w:t>
      </w:r>
    </w:p>
    <w:p w14:paraId="4F28CC09">
      <w:pPr>
        <w:tabs>
          <w:tab w:val="left" w:pos="6162"/>
        </w:tabs>
        <w:topLinePunct/>
        <w:adjustRightInd w:val="0"/>
        <w:snapToGrid w:val="0"/>
        <w:spacing w:line="579" w:lineRule="exact"/>
        <w:ind w:firstLine="645"/>
        <w:rPr>
          <w:rFonts w:ascii="楷体_GB2312" w:hAnsi="楷体" w:eastAsia="楷体_GB2312"/>
          <w:kern w:val="0"/>
          <w:sz w:val="32"/>
          <w:szCs w:val="32"/>
        </w:rPr>
      </w:pPr>
      <w:r>
        <w:rPr>
          <w:rFonts w:hint="eastAsia" w:ascii="楷体_GB2312" w:hAnsi="楷体" w:eastAsia="楷体_GB2312"/>
          <w:kern w:val="0"/>
          <w:sz w:val="32"/>
          <w:szCs w:val="32"/>
        </w:rPr>
        <w:t>（三）向人大报告的其他事项</w:t>
      </w:r>
    </w:p>
    <w:p w14:paraId="51815E37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/>
          <w:bCs/>
          <w:kern w:val="0"/>
          <w:sz w:val="32"/>
          <w:szCs w:val="32"/>
        </w:rPr>
        <w:t>1.</w:t>
      </w:r>
      <w:r>
        <w:rPr>
          <w:rFonts w:hint="eastAsia" w:ascii="仿宋_GB2312" w:eastAsia="仿宋_GB2312"/>
          <w:bCs/>
          <w:kern w:val="0"/>
          <w:sz w:val="32"/>
          <w:szCs w:val="32"/>
        </w:rPr>
        <w:t>年度结余和上年预算稳定调节基金使用情况</w:t>
      </w:r>
    </w:p>
    <w:p w14:paraId="26AC913B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color w:val="FF0000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年末预计结转</w:t>
      </w:r>
      <w:r>
        <w:rPr>
          <w:rFonts w:ascii="仿宋_GB2312" w:eastAsia="仿宋_GB2312"/>
          <w:kern w:val="0"/>
          <w:sz w:val="32"/>
          <w:szCs w:val="32"/>
        </w:rPr>
        <w:t>6.6</w:t>
      </w:r>
      <w:r>
        <w:rPr>
          <w:rFonts w:hint="eastAsia" w:ascii="仿宋_GB2312" w:eastAsia="仿宋_GB2312"/>
          <w:kern w:val="0"/>
          <w:sz w:val="32"/>
          <w:szCs w:val="32"/>
        </w:rPr>
        <w:t>亿元，主要是上级专项补助部分项目当年未达到付款条件，资金结转下年继续使用。当年无调入和动用预算稳定调节资金。</w:t>
      </w:r>
    </w:p>
    <w:p w14:paraId="21809E3D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/>
          <w:bCs/>
          <w:kern w:val="0"/>
          <w:sz w:val="32"/>
          <w:szCs w:val="32"/>
        </w:rPr>
        <w:t>2.</w:t>
      </w:r>
      <w:r>
        <w:rPr>
          <w:rFonts w:hint="eastAsia" w:ascii="仿宋_GB2312" w:eastAsia="仿宋_GB2312"/>
          <w:bCs/>
          <w:kern w:val="0"/>
          <w:sz w:val="32"/>
          <w:szCs w:val="32"/>
        </w:rPr>
        <w:t>预备费使用情况</w:t>
      </w:r>
    </w:p>
    <w:p w14:paraId="2378DFCD">
      <w:pPr>
        <w:tabs>
          <w:tab w:val="left" w:pos="6162"/>
        </w:tabs>
        <w:topLinePunct/>
        <w:adjustRightInd w:val="0"/>
        <w:snapToGrid w:val="0"/>
        <w:spacing w:line="579" w:lineRule="exact"/>
        <w:ind w:firstLine="640" w:firstLineChars="200"/>
        <w:rPr>
          <w:rFonts w:ascii="仿宋_GB2312" w:hAnsi="楷体" w:eastAsia="仿宋_GB2312"/>
          <w:color w:val="FF0000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年初预算安排预备费6,600万元，当年使用6,600万元，主要用于支付应急、维稳等突发事件以及其他年初难以预见项目。</w:t>
      </w:r>
    </w:p>
    <w:p w14:paraId="2F826E11">
      <w:pPr>
        <w:tabs>
          <w:tab w:val="left" w:pos="6162"/>
        </w:tabs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/>
          <w:bCs/>
          <w:kern w:val="0"/>
          <w:sz w:val="32"/>
          <w:szCs w:val="32"/>
        </w:rPr>
        <w:t>3.</w:t>
      </w:r>
      <w:r>
        <w:rPr>
          <w:rFonts w:hint="eastAsia" w:ascii="仿宋_GB2312" w:eastAsia="仿宋_GB2312"/>
          <w:bCs/>
          <w:kern w:val="0"/>
          <w:sz w:val="32"/>
          <w:szCs w:val="32"/>
        </w:rPr>
        <w:t>直达资金下达使用情况</w:t>
      </w:r>
    </w:p>
    <w:p w14:paraId="02758F79">
      <w:pPr>
        <w:pStyle w:val="17"/>
      </w:pPr>
      <w:r>
        <w:rPr>
          <w:rFonts w:hint="eastAsia"/>
        </w:rPr>
        <w:t>截至目前，</w:t>
      </w:r>
      <w:r>
        <w:rPr>
          <w:rStyle w:val="18"/>
          <w:rFonts w:hint="eastAsia" w:hAnsi="宋体"/>
          <w:i w:val="0"/>
          <w:iCs/>
        </w:rPr>
        <w:t>共收到各类直达资金5.6亿元，其中：中央级直达资金5亿元，省级直达资金0.5亿元，市级直达资金0.1亿元。所有直达资金已全部下达，预计支出3.8亿元，使用进度67.9</w:t>
      </w:r>
      <w:r>
        <w:rPr>
          <w:rStyle w:val="18"/>
          <w:rFonts w:hAnsi="宋体"/>
          <w:i w:val="0"/>
          <w:iCs/>
        </w:rPr>
        <w:t>%</w:t>
      </w:r>
      <w:r>
        <w:rPr>
          <w:rStyle w:val="18"/>
          <w:rFonts w:hint="eastAsia" w:hAnsi="宋体"/>
          <w:i w:val="0"/>
          <w:iCs/>
        </w:rPr>
        <w:t>，剩余资金主要是（新增国债项目）城市排水工程1.6亿元和农村路网工程0.2亿元，结转下年继续使用。直达资金主要用于：就业补助、基本公共卫生服务、医疗服务与保障能力提升、城乡义务教育补助、学生资助补助、计划生育补助、城乡居民基本养老保险补助、基本药物制度补助和保障性安居住房等民生</w:t>
      </w:r>
      <w:r>
        <w:rPr>
          <w:rFonts w:hint="eastAsia" w:hAnsi="微软雅黑"/>
        </w:rPr>
        <w:t>支出</w:t>
      </w:r>
      <w:r>
        <w:rPr>
          <w:rFonts w:hint="eastAsia" w:hAnsi="Malgun Gothic Semilight"/>
        </w:rPr>
        <w:t>。</w:t>
      </w:r>
    </w:p>
    <w:p w14:paraId="41FB813B">
      <w:pPr>
        <w:pStyle w:val="17"/>
      </w:pPr>
      <w:r>
        <w:t>4.</w:t>
      </w:r>
      <w:r>
        <w:rPr>
          <w:rFonts w:hint="eastAsia"/>
        </w:rPr>
        <w:t>预算绩效管理情况</w:t>
      </w:r>
    </w:p>
    <w:p w14:paraId="768161A5">
      <w:pPr>
        <w:pStyle w:val="17"/>
      </w:pPr>
      <w:r>
        <w:rPr>
          <w:rFonts w:hint="eastAsia"/>
        </w:rPr>
        <w:t>在预算一体化管理平台下发部门预算绩效整体和项目自评、监控任务，实现绩效目标管理、绩效监控、绩效自评、绩效审核线上全覆盖。全年共开展产业扶持项目事前绩效评估</w:t>
      </w:r>
      <w:r>
        <w:t>11</w:t>
      </w:r>
      <w:r>
        <w:rPr>
          <w:rFonts w:hint="eastAsia"/>
        </w:rPr>
        <w:t>项，其中</w:t>
      </w:r>
      <w:r>
        <w:t>1</w:t>
      </w:r>
      <w:r>
        <w:rPr>
          <w:rFonts w:hint="eastAsia"/>
        </w:rPr>
        <w:t>项评价结果为优，</w:t>
      </w:r>
      <w:r>
        <w:t>10</w:t>
      </w:r>
      <w:r>
        <w:rPr>
          <w:rFonts w:hint="eastAsia"/>
        </w:rPr>
        <w:t>项评价结果为良。开展各部门本年度整体绩效监控</w:t>
      </w:r>
      <w:r>
        <w:t>143</w:t>
      </w:r>
      <w:r>
        <w:rPr>
          <w:rFonts w:hint="eastAsia"/>
        </w:rPr>
        <w:t>项、项目绩效监控</w:t>
      </w:r>
      <w:r>
        <w:t>1923</w:t>
      </w:r>
      <w:r>
        <w:rPr>
          <w:rFonts w:hint="eastAsia"/>
        </w:rPr>
        <w:t>项。开展各部门上年度整体绩效自评</w:t>
      </w:r>
      <w:r>
        <w:t xml:space="preserve"> 121</w:t>
      </w:r>
      <w:r>
        <w:rPr>
          <w:rFonts w:hint="eastAsia"/>
        </w:rPr>
        <w:t>项，项目绩效自评</w:t>
      </w:r>
      <w:r>
        <w:t>1060</w:t>
      </w:r>
      <w:r>
        <w:rPr>
          <w:rFonts w:hint="eastAsia"/>
        </w:rPr>
        <w:t>项。加强对绩效监控和评价结果应用，将绩效结果作为压减</w:t>
      </w:r>
      <w:r>
        <w:t xml:space="preserve"> 2025</w:t>
      </w:r>
      <w:r>
        <w:rPr>
          <w:rFonts w:hint="eastAsia"/>
        </w:rPr>
        <w:t>年预算一般性项目支出的重要依据。</w:t>
      </w:r>
    </w:p>
    <w:p w14:paraId="7CD24B3C">
      <w:pPr>
        <w:pStyle w:val="17"/>
      </w:pPr>
      <w:r>
        <w:t>5.2023</w:t>
      </w:r>
      <w:r>
        <w:rPr>
          <w:rFonts w:hint="eastAsia"/>
        </w:rPr>
        <w:t>年度预算执行审计整改落实情况</w:t>
      </w:r>
    </w:p>
    <w:p w14:paraId="76CE697D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对于区审计局关于</w:t>
      </w:r>
      <w:r>
        <w:rPr>
          <w:rFonts w:ascii="仿宋_GB2312" w:eastAsia="仿宋_GB2312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</w:rPr>
        <w:t>年本级预算执行情况审计发现的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个问题，相关部门高度重视，立行立改，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个问题已全部整改完毕，并制定长效机制，避免此类问题再次发生。</w:t>
      </w:r>
    </w:p>
    <w:p w14:paraId="2A8769FE">
      <w:pPr>
        <w:pStyle w:val="13"/>
      </w:pPr>
      <w:r>
        <w:rPr>
          <w:rFonts w:hint="eastAsia"/>
        </w:rPr>
        <w:t>二、落实区人大决议及财政重点工作情况</w:t>
      </w:r>
    </w:p>
    <w:p w14:paraId="7FA36801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初以来，受多种因素叠加持续影响，财政面临的困难形势有增无减。我们紧紧围绕区委经济工作会议目标，聚焦资源转化和财政转型，打好全年抓收入的攻坚战、防风险的保卫战、促发展的大会战、保民生的持久战，出色完成收入财力“双过百亿”任务，政府债务等级“脱红”在望，圆满完成区人大三届三次会议议定的各项工作目标，为全区</w:t>
      </w:r>
      <w:r>
        <w:rPr>
          <w:rFonts w:hint="eastAsia" w:ascii="仿宋_GB2312" w:hAnsi="仿宋_GB2312" w:eastAsia="仿宋_GB2312"/>
          <w:sz w:val="32"/>
          <w:szCs w:val="32"/>
        </w:rPr>
        <w:t>经济社会有序发展提供必要的支撑保障。</w:t>
      </w:r>
    </w:p>
    <w:p w14:paraId="50735475">
      <w:pPr>
        <w:topLinePunct/>
        <w:adjustRightInd w:val="0"/>
        <w:snapToGrid w:val="0"/>
        <w:spacing w:line="579" w:lineRule="exact"/>
        <w:ind w:firstLine="640" w:firstLineChars="200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（一）统筹调配深挖财源，收入实现快速增长</w:t>
      </w:r>
    </w:p>
    <w:p w14:paraId="2E5ABC5F">
      <w:pPr>
        <w:topLinePunct/>
        <w:adjustRightInd w:val="0"/>
        <w:snapToGrid w:val="0"/>
        <w:spacing w:line="579" w:lineRule="exact"/>
        <w:ind w:firstLine="643" w:firstLineChars="200"/>
        <w:rPr>
          <w:rFonts w:ascii="仿宋_GB2312" w:hAnsi="仿宋" w:eastAsia="仿宋_GB2312"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穿透挖掘收入潜力。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加大重点行业排查力度，</w:t>
      </w:r>
      <w:r>
        <w:rPr>
          <w:rFonts w:hint="eastAsia" w:ascii="仿宋_GB2312" w:hAnsi="仿宋" w:eastAsia="仿宋_GB2312" w:cs="仿宋"/>
          <w:sz w:val="32"/>
          <w:szCs w:val="32"/>
        </w:rPr>
        <w:t>协助房地产企业做好税收查、补、退各环节间税务筹划，增加地方级税收收入</w:t>
      </w:r>
      <w:r>
        <w:rPr>
          <w:rFonts w:ascii="仿宋_GB2312" w:hAnsi="仿宋" w:eastAsia="仿宋_GB2312" w:cs="仿宋"/>
          <w:sz w:val="32"/>
          <w:szCs w:val="32"/>
        </w:rPr>
        <w:t>3.4</w:t>
      </w:r>
      <w:r>
        <w:rPr>
          <w:rFonts w:hint="eastAsia" w:ascii="仿宋_GB2312" w:hAnsi="仿宋" w:eastAsia="仿宋_GB2312" w:cs="仿宋"/>
          <w:sz w:val="32"/>
          <w:szCs w:val="32"/>
        </w:rPr>
        <w:t>亿元。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坚持目标导向与问题导向相结合，落实财政收入目标化、项目化和清单化管理，重点税种、重点企业税收跟踪责任到人，</w:t>
      </w:r>
      <w:r>
        <w:rPr>
          <w:rFonts w:hint="eastAsia" w:ascii="仿宋_GB2312" w:hAnsi="仿宋" w:eastAsia="仿宋_GB2312" w:cs="仿宋"/>
          <w:sz w:val="32"/>
          <w:szCs w:val="32"/>
        </w:rPr>
        <w:t>增加兴远东汽车涉股分红所得税收入</w:t>
      </w:r>
      <w:r>
        <w:rPr>
          <w:rFonts w:ascii="仿宋_GB2312" w:hAnsi="仿宋" w:eastAsia="仿宋_GB2312" w:cs="仿宋"/>
          <w:sz w:val="32"/>
          <w:szCs w:val="32"/>
        </w:rPr>
        <w:t>5.9</w:t>
      </w:r>
      <w:r>
        <w:rPr>
          <w:rFonts w:hint="eastAsia" w:ascii="仿宋_GB2312" w:hAnsi="仿宋" w:eastAsia="仿宋_GB2312" w:cs="仿宋"/>
          <w:sz w:val="32"/>
          <w:szCs w:val="32"/>
        </w:rPr>
        <w:t>亿元。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非税收入和土地收入跟踪实现三级责任人穿透式调度，落实关键时期收入周计划、日调度机制，全年收入增幅分别是222.1</w:t>
      </w:r>
      <w:r>
        <w:rPr>
          <w:rFonts w:ascii="仿宋_GB2312" w:hAnsi="仿宋" w:eastAsia="仿宋_GB2312"/>
          <w:bCs/>
          <w:kern w:val="0"/>
          <w:sz w:val="32"/>
          <w:szCs w:val="32"/>
        </w:rPr>
        <w:t>%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和1019.7</w:t>
      </w:r>
      <w:r>
        <w:rPr>
          <w:rFonts w:ascii="仿宋_GB2312" w:hAnsi="仿宋" w:eastAsia="仿宋_GB2312"/>
          <w:bCs/>
          <w:kern w:val="0"/>
          <w:sz w:val="32"/>
          <w:szCs w:val="32"/>
        </w:rPr>
        <w:t>%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。</w:t>
      </w:r>
    </w:p>
    <w:p w14:paraId="186ED9FC">
      <w:pPr>
        <w:topLinePunct/>
        <w:adjustRightInd w:val="0"/>
        <w:snapToGrid w:val="0"/>
        <w:spacing w:line="579" w:lineRule="exact"/>
        <w:ind w:firstLine="643" w:firstLineChars="200"/>
        <w:rPr>
          <w:rFonts w:ascii="仿宋_GB2312" w:hAnsi="黑体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协税护税同向发力。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注重加强部门之间沟通协调，打破信息壁垒，形成工作合力，建立“区、部门、街道”三级协护税网络，制定协护税工作机制，对全区</w:t>
      </w:r>
      <w:r>
        <w:rPr>
          <w:rFonts w:ascii="仿宋_GB2312" w:hAnsi="仿宋" w:eastAsia="仿宋_GB2312"/>
          <w:bCs/>
          <w:kern w:val="0"/>
          <w:sz w:val="32"/>
          <w:szCs w:val="32"/>
        </w:rPr>
        <w:t>4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万余户税源企业实现跟踪服务，以全覆盖方式拓展税源</w:t>
      </w:r>
      <w:r>
        <w:rPr>
          <w:rFonts w:hint="eastAsia" w:ascii="仿宋_GB2312" w:hAnsi="黑体" w:eastAsia="仿宋_GB2312" w:cs="仿宋_GB2312"/>
          <w:bCs/>
          <w:sz w:val="32"/>
          <w:szCs w:val="32"/>
        </w:rPr>
        <w:t>。推进税源排查专项行动，关注近年出让土地项目经营情况和税收情况，从财税角度促产业发展。</w:t>
      </w:r>
      <w:r>
        <w:rPr>
          <w:rFonts w:hint="eastAsia" w:ascii="仿宋_GB2312" w:hAnsi="仿宋" w:eastAsia="仿宋_GB2312" w:cs="仿宋"/>
          <w:sz w:val="32"/>
          <w:szCs w:val="32"/>
        </w:rPr>
        <w:t>推进异地纳税清理、指导街道引入税源，比对“五经普”市场主体与纳税主体信息，深入挖掘潜在税源。</w:t>
      </w:r>
    </w:p>
    <w:p w14:paraId="0D99C18B">
      <w:pPr>
        <w:topLinePunct/>
        <w:adjustRightInd w:val="0"/>
        <w:snapToGrid w:val="0"/>
        <w:spacing w:line="579" w:lineRule="exact"/>
        <w:ind w:firstLine="643" w:firstLineChars="200"/>
        <w:rPr>
          <w:rFonts w:ascii="仿宋_GB2312" w:hAnsi="黑体" w:eastAsia="仿宋_GB2312" w:cs="仿宋_GB2312"/>
          <w:bCs/>
          <w:sz w:val="32"/>
          <w:szCs w:val="32"/>
        </w:rPr>
      </w:pPr>
      <w:r>
        <w:rPr>
          <w:rFonts w:hint="eastAsia" w:ascii="仿宋_GB2312" w:hAnsi="Arial" w:eastAsia="仿宋_GB2312" w:cs="Arial"/>
          <w:b/>
          <w:color w:val="222222"/>
          <w:kern w:val="0"/>
          <w:sz w:val="32"/>
          <w:szCs w:val="32"/>
        </w:rPr>
        <w:t>资源整合盘活闲置。</w:t>
      </w:r>
      <w:r>
        <w:rPr>
          <w:rFonts w:hint="eastAsia" w:ascii="仿宋_GB2312" w:hAnsi="Arial" w:eastAsia="仿宋_GB2312" w:cs="Arial"/>
          <w:color w:val="222222"/>
          <w:kern w:val="0"/>
          <w:sz w:val="32"/>
          <w:szCs w:val="32"/>
        </w:rPr>
        <w:t>深入开展国有“三资”（资产、资源、资金）盘活专项行动，坚持向存量要增量，抢前评估谋划，编制盘活方案，通过出租出售闲置资产、退出转让国有股权、让渡特许经营权等市场化方式，最大限度提升资源效能，全年实现各类盘活收入</w:t>
      </w:r>
      <w:r>
        <w:rPr>
          <w:rFonts w:ascii="仿宋_GB2312" w:hAnsi="Arial" w:eastAsia="仿宋_GB2312" w:cs="Arial"/>
          <w:color w:val="222222"/>
          <w:kern w:val="0"/>
          <w:sz w:val="32"/>
          <w:szCs w:val="32"/>
        </w:rPr>
        <w:t>30</w:t>
      </w:r>
      <w:r>
        <w:rPr>
          <w:rFonts w:hint="eastAsia" w:ascii="仿宋_GB2312" w:hAnsi="Arial" w:eastAsia="仿宋_GB2312" w:cs="Arial"/>
          <w:color w:val="222222"/>
          <w:kern w:val="0"/>
          <w:sz w:val="32"/>
          <w:szCs w:val="32"/>
        </w:rPr>
        <w:t>亿元。</w:t>
      </w:r>
      <w:r>
        <w:rPr>
          <w:rFonts w:hint="eastAsia" w:ascii="仿宋_GB2312" w:hAnsi="仿宋" w:eastAsia="仿宋_GB2312" w:cs="仿宋"/>
          <w:sz w:val="32"/>
          <w:szCs w:val="32"/>
        </w:rPr>
        <w:t>持续加大政府资源应收权益清缴力度，追缴入库以前年度人防易地建设费、污水处理费等非税收入</w:t>
      </w:r>
      <w:r>
        <w:rPr>
          <w:rFonts w:ascii="仿宋_GB2312" w:hAnsi="仿宋" w:eastAsia="仿宋_GB2312" w:cs="仿宋"/>
          <w:sz w:val="32"/>
          <w:szCs w:val="32"/>
        </w:rPr>
        <w:t>5.2</w:t>
      </w:r>
      <w:r>
        <w:rPr>
          <w:rFonts w:hint="eastAsia" w:ascii="仿宋_GB2312" w:hAnsi="仿宋" w:eastAsia="仿宋_GB2312" w:cs="仿宋"/>
          <w:sz w:val="32"/>
          <w:szCs w:val="32"/>
        </w:rPr>
        <w:t>亿元。</w:t>
      </w:r>
    </w:p>
    <w:p w14:paraId="7F544025">
      <w:pPr>
        <w:topLinePunct/>
        <w:adjustRightInd w:val="0"/>
        <w:snapToGrid w:val="0"/>
        <w:spacing w:line="579" w:lineRule="exact"/>
        <w:ind w:firstLine="640" w:firstLineChars="200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（二）加力增效保障重点，助力经济向好发展</w:t>
      </w:r>
    </w:p>
    <w:p w14:paraId="61D9F85E">
      <w:pPr>
        <w:topLinePunct/>
        <w:adjustRightInd w:val="0"/>
        <w:snapToGrid w:val="0"/>
        <w:spacing w:line="579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一是</w:t>
      </w:r>
      <w:r>
        <w:rPr>
          <w:rFonts w:hint="eastAsia" w:ascii="仿宋_GB2312" w:hAnsi="仿宋" w:eastAsia="仿宋_GB2312" w:cs="仿宋"/>
          <w:sz w:val="32"/>
          <w:szCs w:val="32"/>
        </w:rPr>
        <w:t>抢抓国家政策“窗口期”和重点项目“热点期”，加大向上资金争取力度。全年共争取上级转移支付和专项补助30.3亿元，争取超长期国债和新增地债资金7.6亿元。</w:t>
      </w:r>
      <w:r>
        <w:rPr>
          <w:rFonts w:hint="eastAsia" w:ascii="仿宋_GB2312" w:hAnsi="仿宋" w:eastAsia="仿宋_GB2312" w:cs="仿宋"/>
          <w:b/>
          <w:sz w:val="32"/>
          <w:szCs w:val="32"/>
        </w:rPr>
        <w:t>二是</w:t>
      </w:r>
      <w:r>
        <w:rPr>
          <w:rFonts w:hint="eastAsia" w:ascii="仿宋_GB2312" w:hAnsi="楷体" w:eastAsia="仿宋_GB2312" w:cs="楷体"/>
          <w:bCs/>
          <w:snapToGrid w:val="0"/>
          <w:spacing w:val="-10"/>
          <w:kern w:val="0"/>
          <w:sz w:val="32"/>
          <w:szCs w:val="32"/>
        </w:rPr>
        <w:t>支持科技</w:t>
      </w:r>
      <w:r>
        <w:rPr>
          <w:rFonts w:hint="eastAsia" w:ascii="仿宋_GB2312" w:hAnsi="楷体" w:eastAsia="仿宋_GB2312" w:cs="楷体"/>
          <w:bCs/>
          <w:snapToGrid w:val="0"/>
          <w:spacing w:val="-10"/>
          <w:kern w:val="0"/>
          <w:sz w:val="32"/>
          <w:szCs w:val="32"/>
          <w:lang w:eastAsia="zh-CN"/>
        </w:rPr>
        <w:t>创新驱动发展战略</w:t>
      </w:r>
      <w:r>
        <w:rPr>
          <w:rFonts w:hint="eastAsia" w:ascii="仿宋_GB2312" w:hAnsi="楷体" w:eastAsia="仿宋_GB2312" w:cs="楷体"/>
          <w:bCs/>
          <w:snapToGrid w:val="0"/>
          <w:spacing w:val="-10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投入科技城基础设施和地下管廊建设债券资金10亿元，保障浑南科技城核心启动区顺利开园。</w:t>
      </w:r>
      <w:r>
        <w:rPr>
          <w:rFonts w:hint="eastAsia" w:ascii="仿宋_GB2312" w:hAnsi="仿宋" w:eastAsia="仿宋_GB2312" w:cs="仿宋"/>
          <w:b/>
          <w:sz w:val="32"/>
          <w:szCs w:val="32"/>
        </w:rPr>
        <w:t>三是</w:t>
      </w:r>
      <w:r>
        <w:rPr>
          <w:rFonts w:hint="eastAsia" w:ascii="仿宋_GB2312" w:hAnsi="仿宋" w:eastAsia="仿宋_GB2312" w:cs="仿宋"/>
          <w:sz w:val="32"/>
          <w:szCs w:val="32"/>
        </w:rPr>
        <w:t>加大发展要素资金投入，拨付科技城土地要素资金13.5亿元，支持人才要素提升，兑现人才引进政策补贴4,785万元。</w:t>
      </w:r>
      <w:r>
        <w:rPr>
          <w:rFonts w:hint="eastAsia" w:ascii="仿宋_GB2312" w:hAnsi="仿宋" w:eastAsia="仿宋_GB2312" w:cs="仿宋"/>
          <w:b/>
          <w:sz w:val="32"/>
          <w:szCs w:val="32"/>
        </w:rPr>
        <w:t>四是</w:t>
      </w:r>
      <w:r>
        <w:rPr>
          <w:rFonts w:hint="eastAsia" w:ascii="仿宋_GB2312" w:hAnsi="仿宋" w:eastAsia="仿宋_GB2312" w:cs="仿宋"/>
          <w:sz w:val="32"/>
          <w:szCs w:val="32"/>
        </w:rPr>
        <w:t>支持优化营商环境，助力各领域服务平台建设，筹措资金清理偿还各类账款24.8亿元。</w:t>
      </w:r>
    </w:p>
    <w:p w14:paraId="09C6A59F">
      <w:pPr>
        <w:topLinePunct/>
        <w:adjustRightInd w:val="0"/>
        <w:snapToGrid w:val="0"/>
        <w:spacing w:line="579" w:lineRule="exact"/>
        <w:ind w:firstLine="640" w:firstLineChars="200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（三）坚守底线防范风险，债务等级“脱红”在望</w:t>
      </w:r>
    </w:p>
    <w:p w14:paraId="3E3F6D4B">
      <w:pPr>
        <w:topLinePunct/>
        <w:adjustRightInd w:val="0"/>
        <w:snapToGrid w:val="0"/>
        <w:spacing w:line="579" w:lineRule="exact"/>
        <w:ind w:firstLine="643" w:firstLineChars="200"/>
        <w:rPr>
          <w:rFonts w:ascii="仿宋_GB2312" w:hAnsi="黑体" w:eastAsia="仿宋_GB2312" w:cs="仿宋_GB2312"/>
          <w:bCs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存量债务化解取得重大突破。一是</w:t>
      </w:r>
      <w:r>
        <w:rPr>
          <w:rFonts w:hint="eastAsia" w:ascii="仿宋_GB2312" w:hAnsi="黑体" w:eastAsia="仿宋_GB2312" w:cs="仿宋_GB2312"/>
          <w:bCs/>
          <w:sz w:val="32"/>
          <w:szCs w:val="32"/>
        </w:rPr>
        <w:t>坚持久久为功，</w:t>
      </w:r>
      <w:r>
        <w:rPr>
          <w:rFonts w:hint="eastAsia" w:ascii="仿宋_GB2312" w:hAnsi="仿宋" w:eastAsia="仿宋_GB2312" w:cs="仿宋"/>
          <w:sz w:val="32"/>
          <w:szCs w:val="32"/>
        </w:rPr>
        <w:t>成功剥离沈抚示范区债务</w:t>
      </w:r>
      <w:r>
        <w:rPr>
          <w:rFonts w:ascii="仿宋_GB2312" w:hAnsi="仿宋" w:eastAsia="仿宋_GB2312" w:cs="仿宋"/>
          <w:sz w:val="32"/>
          <w:szCs w:val="32"/>
        </w:rPr>
        <w:t>73.2</w:t>
      </w:r>
      <w:r>
        <w:rPr>
          <w:rFonts w:hint="eastAsia" w:ascii="仿宋_GB2312" w:hAnsi="仿宋" w:eastAsia="仿宋_GB2312" w:cs="仿宋"/>
          <w:sz w:val="32"/>
          <w:szCs w:val="32"/>
        </w:rPr>
        <w:t>亿元</w:t>
      </w:r>
      <w:r>
        <w:rPr>
          <w:rFonts w:hint="eastAsia" w:ascii="仿宋_GB2312" w:hAnsi="黑体" w:eastAsia="仿宋_GB2312" w:cs="仿宋_GB2312"/>
          <w:bCs/>
          <w:sz w:val="32"/>
          <w:szCs w:val="32"/>
        </w:rPr>
        <w:t>；</w:t>
      </w:r>
      <w:r>
        <w:rPr>
          <w:rFonts w:hint="eastAsia" w:ascii="仿宋_GB2312" w:hAnsi="黑体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黑体" w:eastAsia="仿宋_GB2312" w:cs="仿宋_GB2312"/>
          <w:bCs/>
          <w:sz w:val="32"/>
          <w:szCs w:val="32"/>
        </w:rPr>
        <w:t>剥离核销中下马地块土地整理债务等</w:t>
      </w:r>
      <w:r>
        <w:rPr>
          <w:rFonts w:ascii="仿宋_GB2312" w:hAnsi="黑体" w:eastAsia="仿宋_GB2312" w:cs="仿宋_GB2312"/>
          <w:bCs/>
          <w:sz w:val="32"/>
          <w:szCs w:val="32"/>
        </w:rPr>
        <w:t>11.5</w:t>
      </w:r>
      <w:r>
        <w:rPr>
          <w:rFonts w:hint="eastAsia" w:ascii="仿宋_GB2312" w:hAnsi="黑体" w:eastAsia="仿宋_GB2312" w:cs="仿宋_GB2312"/>
          <w:bCs/>
          <w:sz w:val="32"/>
          <w:szCs w:val="32"/>
        </w:rPr>
        <w:t>亿元；</w:t>
      </w:r>
      <w:r>
        <w:rPr>
          <w:rFonts w:hint="eastAsia" w:ascii="仿宋_GB2312" w:hAnsi="黑体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黑体" w:eastAsia="仿宋_GB2312" w:cs="仿宋_GB2312"/>
          <w:bCs/>
          <w:sz w:val="32"/>
          <w:szCs w:val="32"/>
        </w:rPr>
        <w:t>成功增发地债23.3亿元置换白塔工业园土地整理、新南站管廊建设及应付工程款等债务。通过化解上述三项存量债务，每年减少利息支出4.1亿元。</w:t>
      </w:r>
    </w:p>
    <w:p w14:paraId="7CE4BE12">
      <w:pPr>
        <w:topLinePunct/>
        <w:adjustRightInd w:val="0"/>
        <w:snapToGrid w:val="0"/>
        <w:spacing w:line="579" w:lineRule="exact"/>
        <w:ind w:firstLine="643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债务动态监管机制持续见效。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时刻关注国家银行利率变化，积极采取债务置换，全年完成8笔债务重组置换，综合年化利率由原来的</w:t>
      </w:r>
      <w:r>
        <w:rPr>
          <w:rFonts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压降至</w:t>
      </w: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，协助两笔政府购买服务</w:t>
      </w:r>
      <w:r>
        <w:rPr>
          <w:rFonts w:ascii="仿宋_GB2312" w:hAnsi="仿宋_GB2312" w:eastAsia="仿宋_GB2312" w:cs="仿宋_GB2312"/>
          <w:sz w:val="32"/>
          <w:szCs w:val="32"/>
        </w:rPr>
        <w:t>PPP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项目利率由</w:t>
      </w:r>
      <w:r>
        <w:rPr>
          <w:rFonts w:ascii="仿宋_GB2312" w:hAnsi="仿宋_GB2312" w:eastAsia="仿宋_GB2312" w:cs="仿宋_GB2312"/>
          <w:sz w:val="32"/>
          <w:szCs w:val="32"/>
        </w:rPr>
        <w:t>6.9%</w:t>
      </w:r>
      <w:r>
        <w:rPr>
          <w:rFonts w:hint="eastAsia" w:ascii="仿宋_GB2312" w:hAnsi="仿宋_GB2312" w:eastAsia="仿宋_GB2312" w:cs="仿宋_GB2312"/>
          <w:sz w:val="32"/>
          <w:szCs w:val="32"/>
        </w:rPr>
        <w:t>压降至</w:t>
      </w:r>
      <w:r>
        <w:rPr>
          <w:rFonts w:ascii="仿宋_GB2312" w:hAnsi="仿宋_GB2312" w:eastAsia="仿宋_GB2312" w:cs="仿宋_GB2312"/>
          <w:sz w:val="32"/>
          <w:szCs w:val="32"/>
        </w:rPr>
        <w:t>5%</w:t>
      </w:r>
      <w:r>
        <w:rPr>
          <w:rFonts w:hint="eastAsia" w:ascii="仿宋_GB2312" w:hAnsi="仿宋_GB2312" w:eastAsia="仿宋_GB2312" w:cs="仿宋_GB2312"/>
          <w:sz w:val="32"/>
          <w:szCs w:val="32"/>
        </w:rPr>
        <w:t>，通过上述置换每年减少财政利息支出</w:t>
      </w: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6亿元。</w:t>
      </w:r>
    </w:p>
    <w:p w14:paraId="791C94DC">
      <w:pPr>
        <w:topLinePunct/>
        <w:adjustRightInd w:val="0"/>
        <w:snapToGrid w:val="0"/>
        <w:spacing w:line="579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防范债务逾期风险管控有序。</w:t>
      </w:r>
      <w:r>
        <w:rPr>
          <w:rFonts w:hint="eastAsia" w:ascii="仿宋_GB2312" w:hAnsi="仿宋" w:eastAsia="仿宋_GB2312" w:cs="仿宋"/>
          <w:sz w:val="32"/>
          <w:szCs w:val="32"/>
        </w:rPr>
        <w:t>始终坚持底线思维，</w:t>
      </w:r>
      <w:r>
        <w:rPr>
          <w:rFonts w:hint="eastAsia" w:ascii="仿宋_GB2312" w:eastAsia="仿宋_GB2312"/>
          <w:sz w:val="32"/>
          <w:szCs w:val="32"/>
        </w:rPr>
        <w:t>筑牢债务风险“防火墙”。每季度初制定本季度偿债资金收支计划，精准到天，结合收入预判，科学规划支出节奏，多渠道筹集资金，积极争取上级支持，严防收支错配出现风险爆点。全年共偿还到期债务本息26.2亿元，未发生债务逾期。</w:t>
      </w:r>
    </w:p>
    <w:p w14:paraId="0295F967">
      <w:pPr>
        <w:topLinePunct/>
        <w:adjustRightInd w:val="0"/>
        <w:snapToGrid w:val="0"/>
        <w:spacing w:line="579" w:lineRule="exact"/>
        <w:ind w:firstLine="640" w:firstLineChars="200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（四）优先保障“三保”支出，公共服务</w:t>
      </w:r>
      <w:r>
        <w:rPr>
          <w:rFonts w:hint="eastAsia" w:ascii="楷体_GB2312" w:hAnsi="仿宋" w:eastAsia="楷体_GB2312" w:cs="仿宋"/>
          <w:sz w:val="32"/>
          <w:szCs w:val="32"/>
        </w:rPr>
        <w:t>稳步</w:t>
      </w:r>
      <w:r>
        <w:rPr>
          <w:rFonts w:hint="eastAsia" w:ascii="楷体_GB2312" w:eastAsia="楷体_GB2312"/>
          <w:kern w:val="0"/>
          <w:sz w:val="32"/>
          <w:szCs w:val="32"/>
        </w:rPr>
        <w:t>提高</w:t>
      </w:r>
    </w:p>
    <w:p w14:paraId="00E48FBD">
      <w:pPr>
        <w:topLinePunct/>
        <w:adjustRightInd w:val="0"/>
        <w:snapToGrid w:val="0"/>
        <w:spacing w:line="579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支持教育资源有序扩充。</w:t>
      </w:r>
      <w:r>
        <w:rPr>
          <w:rFonts w:hint="eastAsia" w:ascii="仿宋_GB2312" w:hAnsi="仿宋" w:eastAsia="仿宋_GB2312" w:cs="仿宋"/>
          <w:sz w:val="32"/>
          <w:szCs w:val="32"/>
        </w:rPr>
        <w:t>全年教育支出</w:t>
      </w:r>
      <w:r>
        <w:rPr>
          <w:rFonts w:ascii="仿宋_GB2312" w:hAnsi="仿宋" w:eastAsia="仿宋_GB2312" w:cs="仿宋"/>
          <w:sz w:val="32"/>
          <w:szCs w:val="32"/>
        </w:rPr>
        <w:t>8.6</w:t>
      </w:r>
      <w:r>
        <w:rPr>
          <w:rFonts w:hint="eastAsia" w:ascii="仿宋_GB2312" w:hAnsi="仿宋" w:eastAsia="仿宋_GB2312" w:cs="仿宋"/>
          <w:sz w:val="32"/>
          <w:szCs w:val="32"/>
        </w:rPr>
        <w:t>亿元，确保教育投入只增不减。投入1.3亿元，持续改善教学环境，支持7个新建学校开工建设。支持教师队伍建设，保障教育各阶段生均经费标准不下降。</w:t>
      </w:r>
    </w:p>
    <w:p w14:paraId="5E8D3086">
      <w:pPr>
        <w:topLinePunct/>
        <w:adjustRightInd w:val="0"/>
        <w:snapToGrid w:val="0"/>
        <w:spacing w:line="579" w:lineRule="exact"/>
        <w:ind w:firstLine="643" w:firstLineChars="200"/>
        <w:rPr>
          <w:rFonts w:ascii="仿宋_GB2312" w:hAnsi="仿宋" w:eastAsia="仿宋_GB2312" w:cs="仿宋"/>
          <w:color w:val="FF0000"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社会保障水平稳步提升。</w:t>
      </w:r>
      <w:r>
        <w:rPr>
          <w:rFonts w:hint="eastAsia" w:ascii="仿宋_GB2312" w:hAnsi="仿宋" w:eastAsia="仿宋_GB2312" w:cs="仿宋"/>
          <w:sz w:val="32"/>
          <w:szCs w:val="32"/>
        </w:rPr>
        <w:t>城乡居民养老金最低标准由每人每月134元提高至154元。调整机关事业单位退休人员基本养老金，惠及全区4760名退休人员。做好特殊人群兜底保障，拨付退役军人安置等优抚金4</w:t>
      </w:r>
      <w:r>
        <w:rPr>
          <w:rFonts w:ascii="仿宋_GB2312" w:hAnsi="仿宋" w:eastAsia="仿宋_GB2312" w:cs="仿宋"/>
          <w:sz w:val="32"/>
          <w:szCs w:val="32"/>
        </w:rPr>
        <w:t>,</w:t>
      </w:r>
      <w:r>
        <w:rPr>
          <w:rFonts w:hint="eastAsia" w:ascii="仿宋_GB2312" w:hAnsi="仿宋" w:eastAsia="仿宋_GB2312" w:cs="仿宋"/>
          <w:sz w:val="32"/>
          <w:szCs w:val="32"/>
        </w:rPr>
        <w:t>430万元，拨付困难群众救助等资金</w:t>
      </w:r>
      <w:r>
        <w:rPr>
          <w:rFonts w:ascii="仿宋_GB2312" w:hAnsi="仿宋" w:eastAsia="仿宋_GB2312" w:cs="仿宋"/>
          <w:sz w:val="32"/>
          <w:szCs w:val="32"/>
        </w:rPr>
        <w:t>2,</w:t>
      </w:r>
      <w:r>
        <w:rPr>
          <w:rFonts w:hint="eastAsia" w:ascii="仿宋_GB2312" w:hAnsi="仿宋" w:eastAsia="仿宋_GB2312" w:cs="仿宋"/>
          <w:sz w:val="32"/>
          <w:szCs w:val="32"/>
        </w:rPr>
        <w:t>940万元。</w:t>
      </w:r>
    </w:p>
    <w:p w14:paraId="76304AD8">
      <w:pPr>
        <w:topLinePunct/>
        <w:adjustRightInd w:val="0"/>
        <w:snapToGrid w:val="0"/>
        <w:spacing w:line="579" w:lineRule="exact"/>
        <w:ind w:firstLine="643" w:firstLineChars="200"/>
        <w:rPr>
          <w:rFonts w:ascii="仿宋_GB2312" w:hAnsi="仿宋" w:eastAsia="仿宋_GB2312" w:cs="仿宋"/>
          <w:color w:val="FF0000"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医疗卫生服务保障有力。</w:t>
      </w:r>
      <w:r>
        <w:rPr>
          <w:rFonts w:hint="eastAsia" w:ascii="仿宋_GB2312" w:hAnsi="仿宋" w:eastAsia="仿宋_GB2312" w:cs="仿宋"/>
          <w:sz w:val="32"/>
          <w:szCs w:val="32"/>
        </w:rPr>
        <w:t>拨付基层医疗机构运转资金6</w:t>
      </w:r>
      <w:r>
        <w:rPr>
          <w:rFonts w:ascii="仿宋_GB2312" w:hAnsi="仿宋" w:eastAsia="仿宋_GB2312" w:cs="仿宋"/>
          <w:sz w:val="32"/>
          <w:szCs w:val="32"/>
        </w:rPr>
        <w:t>,</w:t>
      </w:r>
      <w:r>
        <w:rPr>
          <w:rFonts w:hint="eastAsia" w:ascii="仿宋_GB2312" w:hAnsi="仿宋" w:eastAsia="仿宋_GB2312" w:cs="仿宋"/>
          <w:sz w:val="32"/>
          <w:szCs w:val="32"/>
        </w:rPr>
        <w:t>254万元，提升基层医疗服务能力。拨付城乡居民基本医疗保险</w:t>
      </w:r>
      <w:r>
        <w:rPr>
          <w:rFonts w:ascii="仿宋_GB2312" w:hAnsi="仿宋" w:eastAsia="仿宋_GB2312" w:cs="仿宋"/>
          <w:sz w:val="32"/>
          <w:szCs w:val="32"/>
        </w:rPr>
        <w:t>2,</w:t>
      </w:r>
      <w:r>
        <w:rPr>
          <w:rFonts w:hint="eastAsia" w:ascii="仿宋_GB2312" w:hAnsi="仿宋" w:eastAsia="仿宋_GB2312" w:cs="仿宋"/>
          <w:sz w:val="32"/>
          <w:szCs w:val="32"/>
        </w:rPr>
        <w:t>2</w:t>
      </w:r>
      <w:r>
        <w:rPr>
          <w:rFonts w:ascii="仿宋_GB2312" w:hAnsi="仿宋" w:eastAsia="仿宋_GB2312" w:cs="仿宋"/>
          <w:sz w:val="32"/>
          <w:szCs w:val="32"/>
        </w:rPr>
        <w:t>25</w:t>
      </w:r>
      <w:r>
        <w:rPr>
          <w:rFonts w:hint="eastAsia" w:ascii="仿宋_GB2312" w:hAnsi="仿宋" w:eastAsia="仿宋_GB2312" w:cs="仿宋"/>
          <w:sz w:val="32"/>
          <w:szCs w:val="32"/>
        </w:rPr>
        <w:t>万元，筑牢人民群众生命安全防线。实施生育关怀民生工程，拨付农村计划生育家庭奖励扶助金5</w:t>
      </w:r>
      <w:r>
        <w:rPr>
          <w:rFonts w:ascii="仿宋_GB2312" w:hAnsi="仿宋" w:eastAsia="仿宋_GB2312" w:cs="仿宋"/>
          <w:sz w:val="32"/>
          <w:szCs w:val="32"/>
        </w:rPr>
        <w:t>,</w:t>
      </w:r>
      <w:r>
        <w:rPr>
          <w:rFonts w:hint="eastAsia" w:ascii="仿宋_GB2312" w:hAnsi="仿宋" w:eastAsia="仿宋_GB2312" w:cs="仿宋"/>
          <w:sz w:val="32"/>
          <w:szCs w:val="32"/>
        </w:rPr>
        <w:t>410万元。</w:t>
      </w:r>
    </w:p>
    <w:p w14:paraId="3FBD801B">
      <w:pPr>
        <w:topLinePunct/>
        <w:adjustRightInd w:val="0"/>
        <w:snapToGrid w:val="0"/>
        <w:spacing w:line="579" w:lineRule="exact"/>
        <w:ind w:firstLine="643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农业农村事业稳步发展。</w:t>
      </w:r>
      <w:r>
        <w:rPr>
          <w:rFonts w:hint="eastAsia" w:ascii="仿宋_GB2312" w:hAnsi="仿宋" w:eastAsia="仿宋_GB2312" w:cs="仿宋"/>
          <w:sz w:val="32"/>
          <w:szCs w:val="32"/>
        </w:rPr>
        <w:t>加大农村公共服务设施建设，投入资金</w:t>
      </w:r>
      <w:r>
        <w:rPr>
          <w:rFonts w:ascii="仿宋_GB2312" w:hAnsi="仿宋" w:eastAsia="仿宋_GB2312" w:cs="仿宋"/>
          <w:sz w:val="32"/>
          <w:szCs w:val="32"/>
        </w:rPr>
        <w:t>2.7</w:t>
      </w:r>
      <w:r>
        <w:rPr>
          <w:rFonts w:hint="eastAsia" w:ascii="仿宋_GB2312" w:hAnsi="仿宋" w:eastAsia="仿宋_GB2312" w:cs="仿宋"/>
          <w:sz w:val="32"/>
          <w:szCs w:val="32"/>
        </w:rPr>
        <w:t>亿元，启动蒲河、满堂河、桃仙河等农村防涝体系改造工程。落实国家粮食安全战略，拨付耕地地力保护、农机补贴等资金</w:t>
      </w:r>
      <w:r>
        <w:rPr>
          <w:rFonts w:ascii="仿宋_GB2312" w:hAnsi="仿宋" w:eastAsia="仿宋_GB2312" w:cs="仿宋"/>
          <w:sz w:val="32"/>
          <w:szCs w:val="32"/>
        </w:rPr>
        <w:t>2,8</w:t>
      </w:r>
      <w:r>
        <w:rPr>
          <w:rFonts w:hint="eastAsia" w:ascii="仿宋_GB2312" w:hAnsi="仿宋" w:eastAsia="仿宋_GB2312" w:cs="仿宋"/>
          <w:sz w:val="32"/>
          <w:szCs w:val="32"/>
        </w:rPr>
        <w:t>06万元。支持农业种植发展，拨付大豆优势特色产业集群项目资金</w:t>
      </w:r>
      <w:r>
        <w:rPr>
          <w:rFonts w:ascii="仿宋_GB2312" w:hAnsi="仿宋" w:eastAsia="仿宋_GB2312" w:cs="仿宋"/>
          <w:sz w:val="32"/>
          <w:szCs w:val="32"/>
        </w:rPr>
        <w:t>860</w:t>
      </w:r>
      <w:r>
        <w:rPr>
          <w:rFonts w:hint="eastAsia" w:ascii="仿宋_GB2312" w:hAnsi="仿宋" w:eastAsia="仿宋_GB2312" w:cs="仿宋"/>
          <w:sz w:val="32"/>
          <w:szCs w:val="32"/>
        </w:rPr>
        <w:t>万元。</w:t>
      </w:r>
    </w:p>
    <w:p w14:paraId="546E1FEA">
      <w:pPr>
        <w:topLinePunct/>
        <w:adjustRightInd w:val="0"/>
        <w:snapToGrid w:val="0"/>
        <w:spacing w:line="579" w:lineRule="exact"/>
        <w:ind w:firstLine="640" w:firstLineChars="200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（五）守正创新升级管理，财政改革向深向实</w:t>
      </w:r>
    </w:p>
    <w:p w14:paraId="469C1FC0">
      <w:pPr>
        <w:topLinePunct/>
        <w:adjustRightInd w:val="0"/>
        <w:snapToGrid w:val="0"/>
        <w:spacing w:line="579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全面落实“过紧日子”要求。</w:t>
      </w:r>
      <w:r>
        <w:rPr>
          <w:rFonts w:hint="eastAsia" w:ascii="仿宋_GB2312" w:hAnsi="仿宋" w:eastAsia="仿宋_GB2312" w:cs="仿宋"/>
          <w:sz w:val="32"/>
          <w:szCs w:val="32"/>
        </w:rPr>
        <w:t>制定《浑南区关于落实中央过紧日子要求严格财政支出管理的实施细则》，年初预算安排一般性支出</w:t>
      </w:r>
      <w:r>
        <w:rPr>
          <w:rFonts w:ascii="仿宋_GB2312" w:hAnsi="仿宋" w:eastAsia="仿宋_GB2312" w:cs="仿宋"/>
          <w:sz w:val="32"/>
          <w:szCs w:val="32"/>
        </w:rPr>
        <w:t>4.98</w:t>
      </w:r>
      <w:r>
        <w:rPr>
          <w:rFonts w:hint="eastAsia" w:ascii="仿宋_GB2312" w:hAnsi="仿宋" w:eastAsia="仿宋_GB2312" w:cs="仿宋"/>
          <w:sz w:val="32"/>
          <w:szCs w:val="32"/>
        </w:rPr>
        <w:t>亿元，同比上年预算（</w:t>
      </w:r>
      <w:r>
        <w:rPr>
          <w:rFonts w:ascii="仿宋_GB2312" w:hAnsi="仿宋" w:eastAsia="仿宋_GB2312" w:cs="仿宋"/>
          <w:sz w:val="32"/>
          <w:szCs w:val="32"/>
        </w:rPr>
        <w:t>6.51</w:t>
      </w:r>
      <w:r>
        <w:rPr>
          <w:rFonts w:hint="eastAsia" w:ascii="仿宋_GB2312" w:hAnsi="仿宋" w:eastAsia="仿宋_GB2312" w:cs="仿宋"/>
          <w:sz w:val="32"/>
          <w:szCs w:val="32"/>
        </w:rPr>
        <w:t>亿元）压减</w:t>
      </w:r>
      <w:r>
        <w:rPr>
          <w:rFonts w:ascii="仿宋_GB2312" w:hAnsi="仿宋" w:eastAsia="仿宋_GB2312" w:cs="仿宋"/>
          <w:sz w:val="32"/>
          <w:szCs w:val="32"/>
        </w:rPr>
        <w:t>23.6%</w:t>
      </w:r>
      <w:r>
        <w:rPr>
          <w:rFonts w:hint="eastAsia" w:ascii="仿宋_GB2312" w:hAnsi="仿宋" w:eastAsia="仿宋_GB2312" w:cs="仿宋"/>
          <w:sz w:val="32"/>
          <w:szCs w:val="32"/>
        </w:rPr>
        <w:t>。坚持政府勤俭办事，严守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中央八项规定</w:t>
      </w:r>
      <w:r>
        <w:rPr>
          <w:rFonts w:hint="eastAsia" w:ascii="仿宋_GB2312" w:hAnsi="仿宋" w:eastAsia="仿宋_GB2312" w:cs="仿宋"/>
          <w:sz w:val="32"/>
          <w:szCs w:val="32"/>
        </w:rPr>
        <w:t>要求，截至目前，全区“三公”经费支出同比去年下降35</w:t>
      </w:r>
      <w:r>
        <w:rPr>
          <w:rFonts w:ascii="仿宋_GB2312" w:hAnsi="仿宋" w:eastAsia="仿宋_GB2312" w:cs="仿宋"/>
          <w:sz w:val="32"/>
          <w:szCs w:val="32"/>
        </w:rPr>
        <w:t>%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 w14:paraId="506C8484">
      <w:pPr>
        <w:topLinePunct/>
        <w:autoSpaceDE w:val="0"/>
        <w:adjustRightInd w:val="0"/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持续推进预算管理改革。</w:t>
      </w:r>
      <w:r>
        <w:rPr>
          <w:rFonts w:hint="eastAsia" w:ascii="仿宋_GB2312" w:hAnsi="仿宋" w:eastAsia="仿宋_GB2312" w:cs="仿宋"/>
          <w:sz w:val="32"/>
          <w:szCs w:val="32"/>
        </w:rPr>
        <w:t>以“大财政”理念指引全区全面深化“零基预算”改革，实行预算编制以零为起点，切实增强财政统筹平衡能力和可持续发展能力。积极</w:t>
      </w:r>
      <w:r>
        <w:rPr>
          <w:rFonts w:hint="eastAsia" w:ascii="仿宋_GB2312" w:hAnsi="仿宋" w:eastAsia="仿宋_GB2312" w:cs="仿宋"/>
          <w:bCs/>
          <w:sz w:val="32"/>
          <w:szCs w:val="32"/>
        </w:rPr>
        <w:t>落实中央直达资金政策</w:t>
      </w:r>
      <w:r>
        <w:rPr>
          <w:rFonts w:hint="eastAsia" w:ascii="仿宋_GB2312" w:hAnsi="仿宋" w:eastAsia="仿宋_GB2312" w:cs="仿宋"/>
          <w:sz w:val="32"/>
          <w:szCs w:val="32"/>
        </w:rPr>
        <w:t>，全年下达率</w:t>
      </w:r>
      <w:r>
        <w:rPr>
          <w:rFonts w:ascii="仿宋_GB2312" w:hAnsi="仿宋" w:eastAsia="仿宋_GB2312" w:cs="仿宋"/>
          <w:sz w:val="32"/>
          <w:szCs w:val="32"/>
        </w:rPr>
        <w:t>100%</w:t>
      </w:r>
      <w:r>
        <w:rPr>
          <w:rFonts w:hint="eastAsia" w:ascii="仿宋_GB2312" w:hAnsi="仿宋" w:eastAsia="仿宋_GB2312" w:cs="仿宋"/>
          <w:sz w:val="32"/>
          <w:szCs w:val="32"/>
        </w:rPr>
        <w:t>，国家惠企利民直达资金发放率82.5</w:t>
      </w:r>
      <w:r>
        <w:rPr>
          <w:rFonts w:ascii="仿宋_GB2312" w:hAnsi="仿宋" w:eastAsia="仿宋_GB2312" w:cs="仿宋"/>
          <w:sz w:val="32"/>
          <w:szCs w:val="32"/>
        </w:rPr>
        <w:t>%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 w14:paraId="32772FDE">
      <w:pPr>
        <w:topLinePunct/>
        <w:adjustRightInd w:val="0"/>
        <w:snapToGrid w:val="0"/>
        <w:spacing w:line="579" w:lineRule="exact"/>
        <w:ind w:firstLine="643" w:firstLineChars="200"/>
        <w:rPr>
          <w:rFonts w:ascii="仿宋_GB2312" w:hAnsi="仿宋" w:eastAsia="仿宋_GB2312" w:cs="仿宋"/>
          <w:color w:val="FF0000"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加强财政资金规范监管。</w:t>
      </w:r>
      <w:r>
        <w:rPr>
          <w:rFonts w:hint="eastAsia" w:ascii="仿宋_GB2312" w:hAnsi="仿宋" w:eastAsia="仿宋_GB2312" w:cs="仿宋"/>
          <w:sz w:val="32"/>
          <w:szCs w:val="32"/>
        </w:rPr>
        <w:t>全年共完成预算（拦标价）审核</w:t>
      </w:r>
      <w:r>
        <w:rPr>
          <w:rFonts w:ascii="仿宋_GB2312" w:hAnsi="仿宋" w:eastAsia="仿宋_GB2312" w:cs="仿宋"/>
          <w:sz w:val="32"/>
          <w:szCs w:val="32"/>
        </w:rPr>
        <w:t>86</w:t>
      </w:r>
      <w:r>
        <w:rPr>
          <w:rFonts w:hint="eastAsia" w:ascii="仿宋_GB2312" w:hAnsi="仿宋" w:eastAsia="仿宋_GB2312" w:cs="仿宋"/>
          <w:sz w:val="32"/>
          <w:szCs w:val="32"/>
        </w:rPr>
        <w:t>项，审减率</w:t>
      </w:r>
      <w:r>
        <w:rPr>
          <w:rFonts w:ascii="仿宋_GB2312" w:hAnsi="仿宋" w:eastAsia="仿宋_GB2312" w:cs="仿宋"/>
          <w:sz w:val="32"/>
          <w:szCs w:val="32"/>
        </w:rPr>
        <w:t>3.9%</w:t>
      </w:r>
      <w:r>
        <w:rPr>
          <w:rFonts w:hint="eastAsia" w:ascii="仿宋_GB2312" w:hAnsi="仿宋" w:eastAsia="仿宋_GB2312" w:cs="仿宋"/>
          <w:sz w:val="32"/>
          <w:szCs w:val="32"/>
        </w:rPr>
        <w:t>，结算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</w:t>
      </w:r>
      <w:r>
        <w:rPr>
          <w:rFonts w:ascii="仿宋_GB2312" w:hAnsi="仿宋_GB2312" w:eastAsia="仿宋_GB2312" w:cs="仿宋_GB2312"/>
          <w:sz w:val="32"/>
          <w:szCs w:val="32"/>
        </w:rPr>
        <w:t>366</w:t>
      </w:r>
      <w:r>
        <w:rPr>
          <w:rFonts w:hint="eastAsia" w:ascii="仿宋_GB2312" w:hAnsi="仿宋_GB2312" w:eastAsia="仿宋_GB2312" w:cs="仿宋_GB2312"/>
          <w:sz w:val="32"/>
          <w:szCs w:val="32"/>
        </w:rPr>
        <w:t>项，</w:t>
      </w:r>
      <w:r>
        <w:rPr>
          <w:rFonts w:hint="eastAsia" w:ascii="仿宋_GB2312" w:hAnsi="仿宋" w:eastAsia="仿宋_GB2312" w:cs="仿宋"/>
          <w:sz w:val="32"/>
          <w:szCs w:val="32"/>
        </w:rPr>
        <w:t>审减率</w:t>
      </w:r>
      <w:r>
        <w:rPr>
          <w:rFonts w:ascii="仿宋_GB2312" w:hAnsi="仿宋" w:eastAsia="仿宋_GB2312" w:cs="仿宋"/>
          <w:sz w:val="32"/>
          <w:szCs w:val="32"/>
        </w:rPr>
        <w:t>8%</w:t>
      </w:r>
      <w:r>
        <w:rPr>
          <w:rFonts w:hint="eastAsia" w:ascii="仿宋_GB2312" w:hAnsi="仿宋" w:eastAsia="仿宋_GB2312" w:cs="仿宋"/>
          <w:sz w:val="32"/>
          <w:szCs w:val="32"/>
        </w:rPr>
        <w:t>。借助预算一体化管理平台对</w:t>
      </w:r>
      <w:r>
        <w:rPr>
          <w:rFonts w:ascii="仿宋_GB2312" w:hAnsi="仿宋" w:eastAsia="仿宋_GB2312" w:cs="仿宋"/>
          <w:sz w:val="32"/>
          <w:szCs w:val="32"/>
        </w:rPr>
        <w:t>2023</w:t>
      </w:r>
      <w:r>
        <w:rPr>
          <w:rFonts w:hint="eastAsia" w:ascii="仿宋_GB2312" w:hAnsi="仿宋" w:eastAsia="仿宋_GB2312" w:cs="仿宋"/>
          <w:sz w:val="32"/>
          <w:szCs w:val="32"/>
        </w:rPr>
        <w:t>年度</w:t>
      </w:r>
      <w:r>
        <w:rPr>
          <w:rFonts w:ascii="仿宋_GB2312" w:hAnsi="仿宋" w:eastAsia="仿宋_GB2312" w:cs="仿宋"/>
          <w:sz w:val="32"/>
          <w:szCs w:val="32"/>
        </w:rPr>
        <w:t>12</w:t>
      </w:r>
      <w:r>
        <w:rPr>
          <w:rFonts w:hint="eastAsia" w:ascii="仿宋_GB2312" w:hAnsi="仿宋" w:eastAsia="仿宋_GB2312" w:cs="仿宋"/>
          <w:sz w:val="32"/>
          <w:szCs w:val="32"/>
        </w:rPr>
        <w:t>1个整体绩效和</w:t>
      </w:r>
      <w:r>
        <w:rPr>
          <w:rFonts w:ascii="仿宋_GB2312" w:hAnsi="仿宋" w:eastAsia="仿宋_GB2312" w:cs="仿宋"/>
          <w:sz w:val="32"/>
          <w:szCs w:val="32"/>
        </w:rPr>
        <w:t>1060</w:t>
      </w:r>
      <w:r>
        <w:rPr>
          <w:rFonts w:hint="eastAsia" w:ascii="仿宋_GB2312" w:hAnsi="仿宋" w:eastAsia="仿宋_GB2312" w:cs="仿宋"/>
          <w:sz w:val="32"/>
          <w:szCs w:val="32"/>
        </w:rPr>
        <w:t>个项目绩效进行监控，实现绩效目标管理、绩效监控、绩效自评、绩效审核线上全覆盖。积极开展部门财务核查和会计信息质量检查，推动基层财务核算标准化建设。</w:t>
      </w:r>
    </w:p>
    <w:p w14:paraId="29632EC9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各位代表，</w:t>
      </w:r>
      <w:r>
        <w:rPr>
          <w:rFonts w:ascii="仿宋_GB2312" w:eastAsia="仿宋_GB2312"/>
          <w:sz w:val="32"/>
          <w:szCs w:val="32"/>
        </w:rPr>
        <w:t>2024</w:t>
      </w:r>
      <w:r>
        <w:rPr>
          <w:rFonts w:hint="eastAsia" w:ascii="仿宋_GB2312" w:eastAsia="仿宋_GB2312"/>
          <w:sz w:val="32"/>
          <w:szCs w:val="32"/>
        </w:rPr>
        <w:t>年，全区财政工作紧紧锚定任务目标，加压奋进，实干担当，克服经济恢复中的重重压力，圆满完成年初既定目标，成绩来之不易。在看到成绩的同时，也应清醒地认识到当前财政工作仍存在巨大压力和一些难题，主要是：收入持续增长基础尚不牢固，收入结构质量有待提高；支出刚需逐年增加，财政在今后一段时期内仍处于紧平衡状态；偿债资金压力较大，债务风险依然存在；“过紧日子”“过苦日子”的长效机制还需完善；个别部门仍然存在预算编制不够精准、预算执行效率和项目绩效不高等问题。针对这些困难和问题，我们将认真研究，在今后工作中加以解决。</w:t>
      </w:r>
    </w:p>
    <w:p w14:paraId="4A17BC44">
      <w:pPr>
        <w:topLinePunct/>
        <w:adjustRightInd w:val="0"/>
        <w:snapToGrid w:val="0"/>
        <w:spacing w:line="579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ascii="黑体" w:hAnsi="黑体" w:eastAsia="黑体"/>
          <w:sz w:val="32"/>
          <w:szCs w:val="32"/>
        </w:rPr>
        <w:t>2025</w:t>
      </w:r>
      <w:r>
        <w:rPr>
          <w:rFonts w:hint="eastAsia" w:ascii="黑体" w:hAnsi="黑体" w:eastAsia="黑体"/>
          <w:sz w:val="32"/>
          <w:szCs w:val="32"/>
        </w:rPr>
        <w:t>年预算草案</w:t>
      </w:r>
    </w:p>
    <w:p w14:paraId="0DBBCEE3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2025</w:t>
      </w:r>
      <w:r>
        <w:rPr>
          <w:rFonts w:hint="eastAsia" w:ascii="仿宋_GB2312" w:eastAsia="仿宋_GB2312"/>
          <w:sz w:val="32"/>
          <w:szCs w:val="32"/>
        </w:rPr>
        <w:t>年是全面振兴新突破三年行动的收官之年，也是落实“十四五”规划的决战之年，做好各项财政工作，任务艰巨、责任重大。</w:t>
      </w:r>
    </w:p>
    <w:p w14:paraId="0AEE9496">
      <w:pPr>
        <w:topLinePunct/>
        <w:adjustRightInd w:val="0"/>
        <w:snapToGrid w:val="0"/>
        <w:spacing w:line="579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</w:t>
      </w:r>
      <w:r>
        <w:rPr>
          <w:rFonts w:ascii="楷体_GB2312" w:eastAsia="楷体_GB2312"/>
          <w:sz w:val="32"/>
          <w:szCs w:val="32"/>
        </w:rPr>
        <w:t>2025</w:t>
      </w:r>
      <w:r>
        <w:rPr>
          <w:rFonts w:hint="eastAsia" w:ascii="楷体_GB2312" w:eastAsia="楷体_GB2312"/>
          <w:sz w:val="32"/>
          <w:szCs w:val="32"/>
        </w:rPr>
        <w:t>年预算编制和财政工作的指导思想</w:t>
      </w:r>
    </w:p>
    <w:p w14:paraId="29CE23EC">
      <w:pPr>
        <w:topLinePunct/>
        <w:adjustRightInd w:val="0"/>
        <w:snapToGrid w:val="0"/>
        <w:spacing w:line="579" w:lineRule="exact"/>
        <w:ind w:firstLine="643" w:firstLineChars="200"/>
        <w:rPr>
          <w:rFonts w:ascii="仿宋_GB2312" w:eastAsia="仿宋_GB2312"/>
          <w:b/>
          <w:color w:val="FF000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以习近平新时代中国特色社会主义思想为指导，全面贯彻党的二十大和二十届二中、三中全会精神，深入贯彻落实习近平总书记关于东北、辽宁振兴发展的重要讲话和指示批示精神，继续坚持稳中求进的总基调，完整、准确、全面贯彻新发展理念，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加快构建新发展格局</w:t>
      </w:r>
      <w:r>
        <w:rPr>
          <w:rFonts w:hint="eastAsia" w:ascii="仿宋_GB2312" w:eastAsia="仿宋_GB2312"/>
          <w:b/>
          <w:sz w:val="32"/>
          <w:szCs w:val="32"/>
        </w:rPr>
        <w:t>，着力推动高质量发展。落实区委二届九次全会和经济工作会议精神，以全面振兴新突破</w:t>
      </w: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三年行动和“振兴新突破、我要当先锋”专项行动为总目标，加大财政调控力度，落实好国家和省市更加积极的财政政策。加强政府资源统筹，持续优化支出结构。坚持“大钱大方”，全力支持三年行动具体任务和重点项目。坚持“小钱小气”，常态化落实“过紧日子”“过苦日子”要求，切实兜牢“三保”底线。深化财政体制改革，提升现代财政管理水平。统筹高质量发展和高水平安全，持续化解存量债务，坚决守住不发生系统性风险底线，为全区各项事业平稳健康可持续发展提供财力保障。</w:t>
      </w:r>
    </w:p>
    <w:p w14:paraId="15A7734C">
      <w:pPr>
        <w:topLinePunct/>
        <w:adjustRightInd w:val="0"/>
        <w:snapToGrid w:val="0"/>
        <w:spacing w:line="579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</w:t>
      </w:r>
      <w:r>
        <w:rPr>
          <w:rFonts w:ascii="楷体_GB2312" w:eastAsia="楷体_GB2312"/>
          <w:sz w:val="32"/>
          <w:szCs w:val="32"/>
        </w:rPr>
        <w:t>2025</w:t>
      </w:r>
      <w:r>
        <w:rPr>
          <w:rFonts w:hint="eastAsia" w:ascii="楷体_GB2312" w:eastAsia="楷体_GB2312"/>
          <w:sz w:val="32"/>
          <w:szCs w:val="32"/>
        </w:rPr>
        <w:t>年预算编制原则</w:t>
      </w:r>
    </w:p>
    <w:p w14:paraId="3E8B06B8">
      <w:pPr>
        <w:topLinePunct/>
        <w:adjustRightInd w:val="0"/>
        <w:snapToGrid w:val="0"/>
        <w:spacing w:line="579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实事求是原则。</w:t>
      </w:r>
      <w:r>
        <w:rPr>
          <w:rFonts w:hint="eastAsia" w:ascii="仿宋_GB2312" w:eastAsia="仿宋_GB2312"/>
          <w:sz w:val="32"/>
          <w:szCs w:val="32"/>
        </w:rPr>
        <w:t>收入预算坚持稳中求进，与产业发展趋势相适应，与积极的财政政策相衔接。支出预算坚持零基预算，以实际基本需求为测算依据。</w:t>
      </w:r>
    </w:p>
    <w:p w14:paraId="3A9F9118">
      <w:pPr>
        <w:topLinePunct/>
        <w:adjustRightInd w:val="0"/>
        <w:snapToGrid w:val="0"/>
        <w:spacing w:line="579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勤俭节约原则。</w:t>
      </w:r>
      <w:r>
        <w:rPr>
          <w:rFonts w:hint="eastAsia" w:ascii="仿宋_GB2312" w:eastAsia="仿宋_GB2312"/>
          <w:sz w:val="32"/>
          <w:szCs w:val="32"/>
        </w:rPr>
        <w:t>机关运行经费只减不增，“三公”经费、培训费和会议费只减不增，非“三保”、非刚性、非经济发展类项目无必要不安排，必要项目比上年预算压减</w:t>
      </w:r>
      <w:r>
        <w:rPr>
          <w:rFonts w:ascii="仿宋_GB2312" w:eastAsia="仿宋_GB2312"/>
          <w:sz w:val="32"/>
          <w:szCs w:val="32"/>
        </w:rPr>
        <w:t>30%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002DA3C">
      <w:pPr>
        <w:topLinePunct/>
        <w:adjustRightInd w:val="0"/>
        <w:snapToGrid w:val="0"/>
        <w:spacing w:line="579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防范风险原则。</w:t>
      </w:r>
      <w:r>
        <w:rPr>
          <w:rFonts w:hint="eastAsia" w:ascii="仿宋_GB2312" w:eastAsia="仿宋_GB2312"/>
          <w:sz w:val="32"/>
          <w:szCs w:val="32"/>
        </w:rPr>
        <w:t>坚持全口径债务预算，政府债务全部纳入年初预算管理。坚持财政可持续发展，支出预算安排与财政可承受能力相适应。</w:t>
      </w:r>
    </w:p>
    <w:p w14:paraId="086562B8">
      <w:pPr>
        <w:topLinePunct/>
        <w:adjustRightInd w:val="0"/>
        <w:snapToGrid w:val="0"/>
        <w:spacing w:line="579" w:lineRule="exact"/>
        <w:ind w:firstLine="643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绩效优先原则。</w:t>
      </w:r>
      <w:r>
        <w:rPr>
          <w:rFonts w:hint="eastAsia" w:ascii="仿宋_GB2312" w:eastAsia="仿宋_GB2312"/>
          <w:sz w:val="32"/>
          <w:szCs w:val="32"/>
        </w:rPr>
        <w:t>项目预算要注重结果导向、强调成本效益、硬化责任约束，重大项目预算要开展绩效事前评估，评估结果等级高的项目优先安排，低效和无效项目一律不予安排。</w:t>
      </w:r>
    </w:p>
    <w:p w14:paraId="77E8EE93">
      <w:pPr>
        <w:topLinePunct/>
        <w:adjustRightInd w:val="0"/>
        <w:snapToGrid w:val="0"/>
        <w:spacing w:line="579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（三）</w:t>
      </w:r>
      <w:r>
        <w:rPr>
          <w:rFonts w:ascii="楷体_GB2312" w:hAnsi="黑体" w:eastAsia="楷体_GB2312"/>
          <w:sz w:val="32"/>
          <w:szCs w:val="32"/>
        </w:rPr>
        <w:t>2025</w:t>
      </w:r>
      <w:r>
        <w:rPr>
          <w:rFonts w:hint="eastAsia" w:ascii="楷体_GB2312" w:hAnsi="黑体" w:eastAsia="楷体_GB2312"/>
          <w:sz w:val="32"/>
          <w:szCs w:val="32"/>
        </w:rPr>
        <w:t>年预算收支草案</w:t>
      </w:r>
    </w:p>
    <w:p w14:paraId="65CDB442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一般公共预算草案</w:t>
      </w:r>
    </w:p>
    <w:p w14:paraId="04D9C581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一般公共预算收入拟安排110亿元，与上年持平，剔除上年重大一次性因素，增长10.5%，其中：税收收入安排79.1亿元，增长10.2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；非税收入安排30.9亿元，下降19.2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F170DA6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本级收入99.5亿元，加上级财政补助收入28.2亿元、上年结余1.6亿元和调入资金6亿元，扣除上解上级财政支出62.4亿元后，当年可供安排的本级财力规模为72.9亿元。</w:t>
      </w:r>
    </w:p>
    <w:p w14:paraId="0A83337A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一般公共预算支出安排66.9亿元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加上债务还本支出6亿元，合计72.9亿元，收支平衡。</w:t>
      </w:r>
    </w:p>
    <w:p w14:paraId="73B09C7E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政府性基金预算草案</w:t>
      </w:r>
    </w:p>
    <w:p w14:paraId="4E74CF21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政府性基金预算收入拟安排40亿元，下降27.3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。其中：国有土地使用权出让收入38亿元，下降22.1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；城市基础设施配套费收入2亿元，下降20.7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ED599DF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政府性基金预算支出拟安排35亿元。其中：国有土地使用权出让支出33亿元，主要用于土地开发整理、基础设施建设、偿债支出；城市基础设施配套费支出2亿元。</w:t>
      </w:r>
    </w:p>
    <w:p w14:paraId="28B1AD7F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国有资本经营预算草案</w:t>
      </w:r>
    </w:p>
    <w:p w14:paraId="383BC385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2025</w:t>
      </w:r>
      <w:r>
        <w:rPr>
          <w:rFonts w:hint="eastAsia" w:ascii="仿宋_GB2312" w:eastAsia="仿宋_GB2312"/>
          <w:sz w:val="32"/>
          <w:szCs w:val="32"/>
        </w:rPr>
        <w:t>年，我们将继续加大国有“三资”统筹调度，将国有收益全部纳入公财预算管理，国有资本经营收支预算为零。</w:t>
      </w:r>
    </w:p>
    <w:p w14:paraId="0551D7F8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社会保险基金预算草案</w:t>
      </w:r>
    </w:p>
    <w:p w14:paraId="14CCD2D3">
      <w:pPr>
        <w:topLinePunct/>
        <w:adjustRightInd w:val="0"/>
        <w:snapToGrid w:val="0"/>
        <w:spacing w:line="579" w:lineRule="exact"/>
        <w:ind w:firstLine="640" w:firstLineChars="200"/>
        <w:rPr>
          <w:color w:val="FF0000"/>
        </w:rPr>
      </w:pPr>
      <w:r>
        <w:rPr>
          <w:rFonts w:hint="eastAsia" w:ascii="仿宋_GB2312" w:eastAsia="仿宋_GB2312"/>
          <w:sz w:val="32"/>
          <w:szCs w:val="32"/>
        </w:rPr>
        <w:t>社会保险基金预算收入拟安排1.4亿元。社会保险基金预算支出拟安排1.4亿元，主要用于养老金发放。当年收支结余699万元，结转下年继续使用。</w:t>
      </w:r>
    </w:p>
    <w:p w14:paraId="0768F661">
      <w:pPr>
        <w:topLinePunct/>
        <w:adjustRightInd w:val="0"/>
        <w:snapToGrid w:val="0"/>
        <w:spacing w:line="579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</w:t>
      </w:r>
      <w:r>
        <w:rPr>
          <w:rFonts w:ascii="楷体_GB2312" w:eastAsia="楷体_GB2312"/>
          <w:sz w:val="32"/>
          <w:szCs w:val="32"/>
        </w:rPr>
        <w:t>2025</w:t>
      </w:r>
      <w:r>
        <w:rPr>
          <w:rFonts w:hint="eastAsia" w:ascii="楷体_GB2312" w:eastAsia="楷体_GB2312"/>
          <w:sz w:val="32"/>
          <w:szCs w:val="32"/>
        </w:rPr>
        <w:t>年“三保”预算情况</w:t>
      </w:r>
    </w:p>
    <w:p w14:paraId="6DCAA928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上级“三保”目录清单及相关要求，编制浑南区2025年“三保”预算如下：2025年浑南区“三保”及其他刚性预算安排41.8亿元，其中：人员基本支出8.6亿元，基本运转经费0.7亿元，基本民生支出6.8亿元，其他刚性支出25.7亿元。</w:t>
      </w:r>
    </w:p>
    <w:p w14:paraId="66BC328F">
      <w:pPr>
        <w:topLinePunct/>
        <w:adjustRightInd w:val="0"/>
        <w:snapToGrid w:val="0"/>
        <w:spacing w:line="579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ascii="黑体" w:hAnsi="黑体" w:eastAsia="黑体"/>
          <w:sz w:val="32"/>
          <w:szCs w:val="32"/>
        </w:rPr>
        <w:t>2025</w:t>
      </w:r>
      <w:r>
        <w:rPr>
          <w:rFonts w:hint="eastAsia" w:ascii="黑体" w:hAnsi="黑体" w:eastAsia="黑体"/>
          <w:sz w:val="32"/>
          <w:szCs w:val="32"/>
        </w:rPr>
        <w:t>年财政重点工作</w:t>
      </w:r>
    </w:p>
    <w:p w14:paraId="51DE460A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2025</w:t>
      </w:r>
      <w:r>
        <w:rPr>
          <w:rFonts w:hint="eastAsia" w:ascii="仿宋_GB2312" w:eastAsia="仿宋_GB2312"/>
          <w:sz w:val="32"/>
          <w:szCs w:val="32"/>
        </w:rPr>
        <w:t>年，全区财政工作将在中央经济工作会议精神的指引下，紧紧围绕浑南区全面振兴新突破三年行动方案，锚定区委部署的工作目标，以决战的勇气和决胜的信念，抢抓时机，聚力攻坚，奋勇向前，确保完成全年各项任务。</w:t>
      </w:r>
    </w:p>
    <w:p w14:paraId="23501BAB">
      <w:pPr>
        <w:topLinePunct/>
        <w:spacing w:line="579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（一）精心统筹促增长，高起点提升综合财力</w:t>
      </w:r>
    </w:p>
    <w:p w14:paraId="2AB46900">
      <w:pPr>
        <w:topLinePunct/>
        <w:spacing w:line="579" w:lineRule="exact"/>
        <w:ind w:firstLine="645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持续拓展增收渠道，夯实收入增收基础。紧盯国家陆续出台的一揽子增量政策，结合财政体制改革，预判财政收入走向形势，跟踪重点企业、行业纳税动态。升级协税护税体系，稳固存量税源基础，积极培育新增税源，全力实现一般公共预算收入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10亿元目标，确保财政收入均衡、稳定、可持续。</w:t>
      </w:r>
    </w:p>
    <w:p w14:paraId="40ED1F33">
      <w:pPr>
        <w:topLinePunct/>
        <w:spacing w:line="579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提高资源配置效能，加速转化可用财力。继续梳理排查全区可用资产资源，横向扩面，纵向挖潜，依托《沈阳市浑南区公共资源有偿使用管理办法》，加大政府部门自有资金资产、国有企业可用资源、公共资源有偿使用等各类资产资源统筹力度，力争全年新增盘活收入</w:t>
      </w:r>
      <w:r>
        <w:rPr>
          <w:rFonts w:ascii="仿宋_GB2312" w:eastAsia="仿宋_GB2312"/>
          <w:sz w:val="32"/>
          <w:szCs w:val="32"/>
        </w:rPr>
        <w:t>22</w:t>
      </w:r>
      <w:r>
        <w:rPr>
          <w:rFonts w:hint="eastAsia" w:ascii="仿宋_GB2312" w:eastAsia="仿宋_GB2312"/>
          <w:sz w:val="32"/>
          <w:szCs w:val="32"/>
        </w:rPr>
        <w:t>亿元。</w:t>
      </w:r>
    </w:p>
    <w:p w14:paraId="04125413">
      <w:pPr>
        <w:topLinePunct/>
        <w:spacing w:line="579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充分利用优惠政策，积极争取上级资金。关注土地储备专项债券、超长期特别国债、税费优惠、财政补贴等多种政策，申报以王家湾冬运会场馆、浑南科技城等建设项目为主体的专项债券，力争完成专项债券额度30亿元，大幅缓解财政资金压力。</w:t>
      </w:r>
    </w:p>
    <w:p w14:paraId="7580D24E">
      <w:pPr>
        <w:topLinePunct/>
        <w:spacing w:line="579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（二）尽心竭力重防范，高强度筑牢风险隔离门</w:t>
      </w:r>
    </w:p>
    <w:p w14:paraId="2BB09DF4">
      <w:pPr>
        <w:topLinePunct/>
        <w:spacing w:line="579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加强债务风险防控，提升风险抗御能力。全面落实“</w:t>
      </w:r>
      <w:r>
        <w:rPr>
          <w:rFonts w:ascii="仿宋_GB2312" w:eastAsia="仿宋_GB2312"/>
          <w:sz w:val="32"/>
          <w:szCs w:val="32"/>
        </w:rPr>
        <w:t>1+6</w:t>
      </w:r>
      <w:r>
        <w:rPr>
          <w:rFonts w:hint="eastAsia" w:ascii="仿宋_GB2312" w:eastAsia="仿宋_GB2312"/>
          <w:sz w:val="32"/>
          <w:szCs w:val="32"/>
        </w:rPr>
        <w:t>”化债方案，完善全流程、动态化的管控机制，对债务规模、结构、成本等关键要素予以严密把控，科学规划资金，妥善降低风险，推动政府债务管理水平不断提升。</w:t>
      </w:r>
    </w:p>
    <w:p w14:paraId="112D10E3">
      <w:pPr>
        <w:topLinePunct/>
        <w:spacing w:line="579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积极利用化债政策，持续化解存量债务。结合财力预期规模、专项债券发行、长期国债申报等因素，用好用足国家化债政策，有序开展债务偿还、置换工作。全力争取地方债券置换化解新农村建设、有轨电车等隐性债务。</w:t>
      </w:r>
    </w:p>
    <w:p w14:paraId="275798F1">
      <w:pPr>
        <w:topLinePunct/>
        <w:spacing w:line="579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拓宽资金来源渠道，积聚自身偿债“本钱”。通过深入挖潜、整合资源、盘活资产等方式，让沉淀的国有“三资”逐步转化为偿还化解债务能力，确保债务风险总体可控。</w:t>
      </w:r>
    </w:p>
    <w:p w14:paraId="21F1CA27">
      <w:pPr>
        <w:topLinePunct/>
        <w:spacing w:line="579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（三）凝心聚力助振兴，高标准提升产业优势</w:t>
      </w:r>
    </w:p>
    <w:p w14:paraId="146FA66F">
      <w:pPr>
        <w:topLinePunct/>
        <w:spacing w:line="579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助力经济发展，释放产业动能。全年安排重点项目发展资金8.5亿元，立足浑南高新技术产业主导方向，精准扶持高端装备、先进制造、电子信息等高新技术产业和战略性新兴产业，助推传统优势产业改造升级，加速培育发展新质生产力，以创新驱动发展新动能。</w:t>
      </w:r>
    </w:p>
    <w:p w14:paraId="6B7A2A31">
      <w:pPr>
        <w:topLinePunct/>
        <w:spacing w:line="579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依托政策优势，优化产业布局。借助沈阳东北亚国际化中心城市和沈阳国家级都市圈的战略优势，发挥浑南主城功能，继续完善浑南科技城配套建设，支持重点实验室建设。安排人才发展专项资金8,000万元，保障科技人才引进战略实施。推动科技城招引项目快速落地，提升地区核心竞争力。</w:t>
      </w:r>
    </w:p>
    <w:p w14:paraId="39CBB1CA">
      <w:pPr>
        <w:topLinePunct/>
        <w:spacing w:line="579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优化营商环境，稳固经济基础。持续落实减税降费政策，引导企业最大限度享受政策红利。以企业需求为导向，在用房、用能、物流等方面加大扶持，降低企业生产成本。完善公共服务平台功能，不断提升服务效能，为企业营造良好的发展环境。</w:t>
      </w:r>
    </w:p>
    <w:p w14:paraId="4CA1A2D6">
      <w:pPr>
        <w:topLinePunct/>
        <w:spacing w:line="579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（四）同心协力保基本，高站位保障民生投入</w:t>
      </w:r>
    </w:p>
    <w:p w14:paraId="63914047">
      <w:pPr>
        <w:topLinePunct/>
        <w:spacing w:line="579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依法依规管控预算，从严从紧压减支出。深入贯彻党政机关“过紧日子”精神，严格执行《浑南区关于落实中央过紧日子要求严格财政支出管理的实施细则》要求，建立节约型财政基本保障机制，从严控制一般性支出和“三公”经费支出，从财政保障上整治形式主义，减少一切不必要开支。</w:t>
      </w:r>
    </w:p>
    <w:p w14:paraId="584821B4">
      <w:pPr>
        <w:topLinePunct/>
        <w:spacing w:line="579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按需调整支出结构，优先保障“三保”支出。完善“三保”支出预算编制，足额安排预算资金，强化项目审核机制，确保每项内容有法可依、有规可循、有标可对。加强“三保”支出监控，在预算管理一体化系统中对“三保”资金的分配、拨付、使用等环节进行跟踪，确保资金到位及时、进度合理、使用合规。</w:t>
      </w:r>
    </w:p>
    <w:p w14:paraId="2208C867">
      <w:pPr>
        <w:topLinePunct/>
        <w:spacing w:line="579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全力增进民生福祉，持续优化公共服务。安排教育支出7.9亿元，提高智慧、创新两大教育集团基础实力，确保沈阳二中浑南高中建成交付，提升全区教育均等化水平。安排社会保障支出8.9亿元，确保养老保险足额及时发放，加大对低保户、特困人员、残疾人等弱势群体扶助力度。安排医疗卫生支出3.3亿元，加大公共卫生体系建设，支持基层医疗卫生机构服务能力提升，改造街道卫生院和社区服务站。安排农业农村支出2.5亿元，提升农村人居环境整治，打造幸福宜居美丽乡村，拓展农村地区绿色空间，改善农民生产生活环境。</w:t>
      </w:r>
    </w:p>
    <w:p w14:paraId="61C5B69B">
      <w:pPr>
        <w:topLinePunct/>
        <w:spacing w:line="579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（五）专心致志提效能，高水平完善管理机制</w:t>
      </w:r>
    </w:p>
    <w:p w14:paraId="11AD80C1">
      <w:pPr>
        <w:topLinePunct/>
        <w:spacing w:line="579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深化体制改革，加强预算统筹。落实财税体制改革重点任务，利用政策放大优势，补齐劣势，深化零基预算，突出绩效导向，坚持预算刚性约束，压实预算单位主体责任，加强预算执行进度监控，及时收回支付进度缓慢的项目资金，统筹财政支出方向，切实提高预算管理系统化、精细化、标准化、规范化水平。</w:t>
      </w:r>
    </w:p>
    <w:p w14:paraId="3CC0E342">
      <w:pPr>
        <w:topLinePunct/>
        <w:spacing w:line="579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加强财政监督，完善工作机制。推进“互联网</w:t>
      </w:r>
      <w:r>
        <w:rPr>
          <w:rFonts w:ascii="仿宋_GB2312" w:eastAsia="仿宋_GB2312"/>
          <w:sz w:val="32"/>
          <w:szCs w:val="32"/>
        </w:rPr>
        <w:t>+</w:t>
      </w:r>
      <w:r>
        <w:rPr>
          <w:rFonts w:hint="eastAsia" w:ascii="仿宋_GB2312" w:eastAsia="仿宋_GB2312"/>
          <w:sz w:val="32"/>
          <w:szCs w:val="32"/>
        </w:rPr>
        <w:t>监管”模式，着力打通与人大、纪委、审计等其他各类监督之间的有机联系，加强各类监督数据汇集融合和共享共用，建立起财会监督各主体横向协同、纵向联动、贯通协调的工作机制，促进财政监督工作提质增效。</w:t>
      </w:r>
    </w:p>
    <w:p w14:paraId="03A5DE7F">
      <w:pPr>
        <w:topLinePunct/>
        <w:adjustRightInd w:val="0"/>
        <w:snapToGrid w:val="0"/>
        <w:spacing w:line="579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深化绩效管理，优化管理配置。坚持预算和绩效管理一体化，完善分行业、分领域的绩效指标体系建设，精准定位绩效指标编制“坐标系”。强化绩效目标审核，做好重点项目事前绩效评估，注重绩效评价结果应用，提升预算绩效管理的科学性和约束力。</w:t>
      </w:r>
    </w:p>
    <w:p w14:paraId="4A2FDD65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各位代表，完成</w:t>
      </w:r>
      <w:r>
        <w:rPr>
          <w:rFonts w:ascii="仿宋_GB2312" w:eastAsia="仿宋_GB2312"/>
          <w:sz w:val="32"/>
          <w:szCs w:val="32"/>
        </w:rPr>
        <w:t>2025</w:t>
      </w:r>
      <w:r>
        <w:rPr>
          <w:rFonts w:hint="eastAsia" w:ascii="仿宋_GB2312" w:eastAsia="仿宋_GB2312"/>
          <w:sz w:val="32"/>
          <w:szCs w:val="32"/>
        </w:rPr>
        <w:t>年财政工作目标，任务艰巨、责任重大，但我们坚信“</w:t>
      </w:r>
      <w:r>
        <w:rPr>
          <w:rFonts w:hint="eastAsia" w:ascii="仿宋_GB2312" w:hAnsi="Arial" w:eastAsia="仿宋_GB2312" w:cs="Arial"/>
          <w:bCs/>
          <w:sz w:val="32"/>
          <w:szCs w:val="32"/>
          <w:shd w:val="clear" w:color="auto" w:fill="FFFFFF"/>
        </w:rPr>
        <w:t>路虽远行则将至，事虽难做则必成</w:t>
      </w:r>
      <w:r>
        <w:rPr>
          <w:rFonts w:hint="eastAsia" w:ascii="仿宋_GB2312" w:eastAsia="仿宋_GB2312"/>
          <w:sz w:val="32"/>
          <w:szCs w:val="32"/>
        </w:rPr>
        <w:t>”，我们将在习近平新时代中国特色社会主义思想指引下，坚决贯彻落实区委工作要求，自觉接受人大的监督指导，认真听取政协的意见建议，</w:t>
      </w:r>
      <w:r>
        <w:rPr>
          <w:rFonts w:hint="eastAsia" w:ascii="仿宋_GB2312" w:hAnsi="仿宋" w:eastAsia="仿宋_GB2312"/>
          <w:sz w:val="32"/>
          <w:szCs w:val="32"/>
        </w:rPr>
        <w:t>以“咬定青山不放松”的坚定决心，以“不破楼兰终不还”的勇气担当，</w:t>
      </w:r>
      <w:r>
        <w:rPr>
          <w:rFonts w:hint="eastAsia" w:ascii="仿宋_GB2312" w:eastAsia="仿宋_GB2312"/>
          <w:sz w:val="32"/>
          <w:szCs w:val="32"/>
        </w:rPr>
        <w:t>干字当头、奋发有为，为浑南区全面振兴、谱写中国式现代化浑南篇章贡献财政力量！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algun Gothic Semilight">
    <w:altName w:val="宋体"/>
    <w:panose1 w:val="00000000000000000000"/>
    <w:charset w:val="86"/>
    <w:family w:val="swiss"/>
    <w:pitch w:val="default"/>
    <w:sig w:usb0="00000000" w:usb1="00000000" w:usb2="00000012" w:usb3="00000000" w:csb0="203E01BD" w:csb1="D7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DE2DA">
    <w:pPr>
      <w:pStyle w:val="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1 -</w:t>
    </w:r>
    <w:r>
      <w:rPr>
        <w:sz w:val="24"/>
        <w:szCs w:val="24"/>
      </w:rPr>
      <w:fldChar w:fldCharType="end"/>
    </w:r>
  </w:p>
  <w:p w14:paraId="2C7603E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1193"/>
    <w:rsid w:val="00003A05"/>
    <w:rsid w:val="00005630"/>
    <w:rsid w:val="00011EFE"/>
    <w:rsid w:val="000319B7"/>
    <w:rsid w:val="000559A2"/>
    <w:rsid w:val="00056EC8"/>
    <w:rsid w:val="00061410"/>
    <w:rsid w:val="000709C1"/>
    <w:rsid w:val="00072ADD"/>
    <w:rsid w:val="00082EF6"/>
    <w:rsid w:val="000920C0"/>
    <w:rsid w:val="000966EB"/>
    <w:rsid w:val="00097FEB"/>
    <w:rsid w:val="000C2386"/>
    <w:rsid w:val="000C67CB"/>
    <w:rsid w:val="000E3464"/>
    <w:rsid w:val="000F0F0F"/>
    <w:rsid w:val="00103D12"/>
    <w:rsid w:val="00115AA7"/>
    <w:rsid w:val="001170FD"/>
    <w:rsid w:val="00137258"/>
    <w:rsid w:val="00143BA1"/>
    <w:rsid w:val="001457A3"/>
    <w:rsid w:val="00147485"/>
    <w:rsid w:val="001727B6"/>
    <w:rsid w:val="00177184"/>
    <w:rsid w:val="00187EE9"/>
    <w:rsid w:val="001B453C"/>
    <w:rsid w:val="001D006B"/>
    <w:rsid w:val="001D0C56"/>
    <w:rsid w:val="001D7337"/>
    <w:rsid w:val="001E0F43"/>
    <w:rsid w:val="001E5691"/>
    <w:rsid w:val="001E586D"/>
    <w:rsid w:val="001E7093"/>
    <w:rsid w:val="00202188"/>
    <w:rsid w:val="002035D8"/>
    <w:rsid w:val="00204DE6"/>
    <w:rsid w:val="002207FC"/>
    <w:rsid w:val="00223757"/>
    <w:rsid w:val="00237752"/>
    <w:rsid w:val="002414F3"/>
    <w:rsid w:val="002538D4"/>
    <w:rsid w:val="00255415"/>
    <w:rsid w:val="0025666B"/>
    <w:rsid w:val="00267C50"/>
    <w:rsid w:val="00274195"/>
    <w:rsid w:val="002774E1"/>
    <w:rsid w:val="002819BF"/>
    <w:rsid w:val="00293B2A"/>
    <w:rsid w:val="002A14AE"/>
    <w:rsid w:val="002A6C66"/>
    <w:rsid w:val="002B0FB5"/>
    <w:rsid w:val="002B1901"/>
    <w:rsid w:val="002B2758"/>
    <w:rsid w:val="002C6B11"/>
    <w:rsid w:val="002E3091"/>
    <w:rsid w:val="002F33DC"/>
    <w:rsid w:val="002F3CEB"/>
    <w:rsid w:val="002F7A48"/>
    <w:rsid w:val="003039DD"/>
    <w:rsid w:val="00313C2A"/>
    <w:rsid w:val="00320CBA"/>
    <w:rsid w:val="003219AE"/>
    <w:rsid w:val="00326129"/>
    <w:rsid w:val="00337041"/>
    <w:rsid w:val="00340661"/>
    <w:rsid w:val="003435B4"/>
    <w:rsid w:val="00344D44"/>
    <w:rsid w:val="00351193"/>
    <w:rsid w:val="003553AA"/>
    <w:rsid w:val="003635B9"/>
    <w:rsid w:val="00371D28"/>
    <w:rsid w:val="0039601F"/>
    <w:rsid w:val="003B331B"/>
    <w:rsid w:val="003C4A8F"/>
    <w:rsid w:val="003C5750"/>
    <w:rsid w:val="003E5EDC"/>
    <w:rsid w:val="003E67BB"/>
    <w:rsid w:val="003E686B"/>
    <w:rsid w:val="003F0EC5"/>
    <w:rsid w:val="003F5027"/>
    <w:rsid w:val="003F6358"/>
    <w:rsid w:val="00400370"/>
    <w:rsid w:val="00401D65"/>
    <w:rsid w:val="00411EA2"/>
    <w:rsid w:val="00412DDA"/>
    <w:rsid w:val="00422947"/>
    <w:rsid w:val="00431290"/>
    <w:rsid w:val="00455FA1"/>
    <w:rsid w:val="004779D6"/>
    <w:rsid w:val="0049396E"/>
    <w:rsid w:val="004B7214"/>
    <w:rsid w:val="004C38B9"/>
    <w:rsid w:val="004D34E8"/>
    <w:rsid w:val="004D48BA"/>
    <w:rsid w:val="005004DB"/>
    <w:rsid w:val="00503D67"/>
    <w:rsid w:val="005066F6"/>
    <w:rsid w:val="005076E7"/>
    <w:rsid w:val="0051665F"/>
    <w:rsid w:val="00525635"/>
    <w:rsid w:val="0052721B"/>
    <w:rsid w:val="00527880"/>
    <w:rsid w:val="00533C6B"/>
    <w:rsid w:val="005375F9"/>
    <w:rsid w:val="0055341B"/>
    <w:rsid w:val="0059106A"/>
    <w:rsid w:val="0059653B"/>
    <w:rsid w:val="005B16C3"/>
    <w:rsid w:val="005F1732"/>
    <w:rsid w:val="005F1A58"/>
    <w:rsid w:val="006010FB"/>
    <w:rsid w:val="00604A5B"/>
    <w:rsid w:val="006053F9"/>
    <w:rsid w:val="006156FB"/>
    <w:rsid w:val="00615B91"/>
    <w:rsid w:val="00621863"/>
    <w:rsid w:val="00631C5D"/>
    <w:rsid w:val="00633EAB"/>
    <w:rsid w:val="0065639F"/>
    <w:rsid w:val="00665A1C"/>
    <w:rsid w:val="0067018A"/>
    <w:rsid w:val="00671ED2"/>
    <w:rsid w:val="006751E1"/>
    <w:rsid w:val="00684AE6"/>
    <w:rsid w:val="006A533E"/>
    <w:rsid w:val="006C015D"/>
    <w:rsid w:val="006C321E"/>
    <w:rsid w:val="006C3813"/>
    <w:rsid w:val="006D0DB3"/>
    <w:rsid w:val="006D6E9D"/>
    <w:rsid w:val="006F2108"/>
    <w:rsid w:val="00702394"/>
    <w:rsid w:val="007046D2"/>
    <w:rsid w:val="007057EE"/>
    <w:rsid w:val="00707951"/>
    <w:rsid w:val="007113E7"/>
    <w:rsid w:val="00713AF2"/>
    <w:rsid w:val="00717582"/>
    <w:rsid w:val="00746C3D"/>
    <w:rsid w:val="007640F9"/>
    <w:rsid w:val="007667A0"/>
    <w:rsid w:val="00767114"/>
    <w:rsid w:val="007716A0"/>
    <w:rsid w:val="007718DE"/>
    <w:rsid w:val="0077403B"/>
    <w:rsid w:val="00776FFE"/>
    <w:rsid w:val="007801F5"/>
    <w:rsid w:val="00780B5A"/>
    <w:rsid w:val="00780FD6"/>
    <w:rsid w:val="0079218E"/>
    <w:rsid w:val="007A3F0D"/>
    <w:rsid w:val="007A7927"/>
    <w:rsid w:val="007B5C46"/>
    <w:rsid w:val="007C3B8D"/>
    <w:rsid w:val="007C4612"/>
    <w:rsid w:val="007D0814"/>
    <w:rsid w:val="007D5CC8"/>
    <w:rsid w:val="007F0ECC"/>
    <w:rsid w:val="00800A20"/>
    <w:rsid w:val="0080121E"/>
    <w:rsid w:val="00822BF5"/>
    <w:rsid w:val="008316F9"/>
    <w:rsid w:val="0083415A"/>
    <w:rsid w:val="0085027C"/>
    <w:rsid w:val="008654C5"/>
    <w:rsid w:val="00865665"/>
    <w:rsid w:val="00866BC6"/>
    <w:rsid w:val="00870D19"/>
    <w:rsid w:val="008713ED"/>
    <w:rsid w:val="008717ED"/>
    <w:rsid w:val="0089279D"/>
    <w:rsid w:val="008A494D"/>
    <w:rsid w:val="008A6464"/>
    <w:rsid w:val="008B623F"/>
    <w:rsid w:val="008E4DDE"/>
    <w:rsid w:val="008E78F9"/>
    <w:rsid w:val="00904996"/>
    <w:rsid w:val="0092112A"/>
    <w:rsid w:val="009333C0"/>
    <w:rsid w:val="00934F0C"/>
    <w:rsid w:val="0093526E"/>
    <w:rsid w:val="0094465D"/>
    <w:rsid w:val="00955D17"/>
    <w:rsid w:val="00973EC1"/>
    <w:rsid w:val="00984799"/>
    <w:rsid w:val="00986618"/>
    <w:rsid w:val="00993E3A"/>
    <w:rsid w:val="009947BE"/>
    <w:rsid w:val="0099499C"/>
    <w:rsid w:val="00995EAE"/>
    <w:rsid w:val="009B1586"/>
    <w:rsid w:val="009B1B7A"/>
    <w:rsid w:val="009B2084"/>
    <w:rsid w:val="009B436E"/>
    <w:rsid w:val="009C368B"/>
    <w:rsid w:val="009D2C37"/>
    <w:rsid w:val="009D2E2E"/>
    <w:rsid w:val="009D300F"/>
    <w:rsid w:val="009E0484"/>
    <w:rsid w:val="00A016EF"/>
    <w:rsid w:val="00A1487E"/>
    <w:rsid w:val="00A211B4"/>
    <w:rsid w:val="00A228C9"/>
    <w:rsid w:val="00A33784"/>
    <w:rsid w:val="00A37AB0"/>
    <w:rsid w:val="00A37E7E"/>
    <w:rsid w:val="00A41292"/>
    <w:rsid w:val="00A54B8D"/>
    <w:rsid w:val="00A57951"/>
    <w:rsid w:val="00A66CA2"/>
    <w:rsid w:val="00A96055"/>
    <w:rsid w:val="00AA0411"/>
    <w:rsid w:val="00AA1D07"/>
    <w:rsid w:val="00AA2F62"/>
    <w:rsid w:val="00AB1BDC"/>
    <w:rsid w:val="00AB775A"/>
    <w:rsid w:val="00AD2D2C"/>
    <w:rsid w:val="00AE62FA"/>
    <w:rsid w:val="00AF3511"/>
    <w:rsid w:val="00B06FB0"/>
    <w:rsid w:val="00B144DC"/>
    <w:rsid w:val="00B24124"/>
    <w:rsid w:val="00B26276"/>
    <w:rsid w:val="00B45982"/>
    <w:rsid w:val="00B64651"/>
    <w:rsid w:val="00B97627"/>
    <w:rsid w:val="00BA1B49"/>
    <w:rsid w:val="00BA7A29"/>
    <w:rsid w:val="00BB1AA2"/>
    <w:rsid w:val="00BB6C68"/>
    <w:rsid w:val="00BC2A8E"/>
    <w:rsid w:val="00BC3447"/>
    <w:rsid w:val="00BC3C3E"/>
    <w:rsid w:val="00BC4E37"/>
    <w:rsid w:val="00BC6B40"/>
    <w:rsid w:val="00BD3A22"/>
    <w:rsid w:val="00BE1FAB"/>
    <w:rsid w:val="00C038F7"/>
    <w:rsid w:val="00C05811"/>
    <w:rsid w:val="00C14689"/>
    <w:rsid w:val="00C22D96"/>
    <w:rsid w:val="00C420E6"/>
    <w:rsid w:val="00C42BFC"/>
    <w:rsid w:val="00C46DC2"/>
    <w:rsid w:val="00C62DCD"/>
    <w:rsid w:val="00C8432D"/>
    <w:rsid w:val="00C85ED1"/>
    <w:rsid w:val="00CA7720"/>
    <w:rsid w:val="00CA7AF5"/>
    <w:rsid w:val="00CB07ED"/>
    <w:rsid w:val="00CB55AE"/>
    <w:rsid w:val="00CB6D7F"/>
    <w:rsid w:val="00CB7B68"/>
    <w:rsid w:val="00CC4505"/>
    <w:rsid w:val="00CC7991"/>
    <w:rsid w:val="00CF1569"/>
    <w:rsid w:val="00CF26D5"/>
    <w:rsid w:val="00CF6C23"/>
    <w:rsid w:val="00D028C4"/>
    <w:rsid w:val="00D079E5"/>
    <w:rsid w:val="00D10403"/>
    <w:rsid w:val="00D1125E"/>
    <w:rsid w:val="00D22CE2"/>
    <w:rsid w:val="00D461C8"/>
    <w:rsid w:val="00D60BEB"/>
    <w:rsid w:val="00D60BFD"/>
    <w:rsid w:val="00D6565F"/>
    <w:rsid w:val="00D74179"/>
    <w:rsid w:val="00D95E47"/>
    <w:rsid w:val="00DA18CF"/>
    <w:rsid w:val="00DA2D43"/>
    <w:rsid w:val="00DB25AA"/>
    <w:rsid w:val="00DB360B"/>
    <w:rsid w:val="00DB7366"/>
    <w:rsid w:val="00DC6579"/>
    <w:rsid w:val="00DD358A"/>
    <w:rsid w:val="00DE58C2"/>
    <w:rsid w:val="00DF5566"/>
    <w:rsid w:val="00E06386"/>
    <w:rsid w:val="00E122C0"/>
    <w:rsid w:val="00E445E1"/>
    <w:rsid w:val="00E45879"/>
    <w:rsid w:val="00E57E74"/>
    <w:rsid w:val="00E6499B"/>
    <w:rsid w:val="00E66A92"/>
    <w:rsid w:val="00E67703"/>
    <w:rsid w:val="00E822DC"/>
    <w:rsid w:val="00E86CBC"/>
    <w:rsid w:val="00E90FB9"/>
    <w:rsid w:val="00E92CD2"/>
    <w:rsid w:val="00EB5A11"/>
    <w:rsid w:val="00ED2FAD"/>
    <w:rsid w:val="00ED4DFC"/>
    <w:rsid w:val="00EE41E2"/>
    <w:rsid w:val="00EF4893"/>
    <w:rsid w:val="00EF4C49"/>
    <w:rsid w:val="00F0562D"/>
    <w:rsid w:val="00F1393B"/>
    <w:rsid w:val="00F16C2F"/>
    <w:rsid w:val="00F24C1D"/>
    <w:rsid w:val="00F3438A"/>
    <w:rsid w:val="00F460EC"/>
    <w:rsid w:val="00F743C0"/>
    <w:rsid w:val="00F77D4A"/>
    <w:rsid w:val="00F85827"/>
    <w:rsid w:val="00F876ED"/>
    <w:rsid w:val="00F92768"/>
    <w:rsid w:val="00F9307A"/>
    <w:rsid w:val="00F93643"/>
    <w:rsid w:val="00F9574F"/>
    <w:rsid w:val="00FA09CB"/>
    <w:rsid w:val="00FC3F09"/>
    <w:rsid w:val="00FC70B9"/>
    <w:rsid w:val="00FC754B"/>
    <w:rsid w:val="00FC7E14"/>
    <w:rsid w:val="00FE28CE"/>
    <w:rsid w:val="00FF5790"/>
    <w:rsid w:val="00FF7DBD"/>
    <w:rsid w:val="589625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99"/>
    <w:pPr>
      <w:spacing w:after="120"/>
    </w:pPr>
  </w:style>
  <w:style w:type="paragraph" w:styleId="3">
    <w:name w:val="Balloon Text"/>
    <w:basedOn w:val="1"/>
    <w:link w:val="20"/>
    <w:semiHidden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link w:val="9"/>
    <w:qFormat/>
    <w:uiPriority w:val="99"/>
    <w:pPr>
      <w:spacing w:line="312" w:lineRule="auto"/>
      <w:ind w:firstLine="420"/>
      <w:jc w:val="center"/>
    </w:pPr>
    <w:rPr>
      <w:rFonts w:eastAsia="仿宋_GB2312"/>
      <w:b/>
      <w:kern w:val="0"/>
      <w:sz w:val="44"/>
      <w:szCs w:val="20"/>
    </w:rPr>
  </w:style>
  <w:style w:type="character" w:customStyle="1" w:styleId="9">
    <w:name w:val="正文首行缩进 Char"/>
    <w:link w:val="6"/>
    <w:qFormat/>
    <w:locked/>
    <w:uiPriority w:val="99"/>
    <w:rPr>
      <w:rFonts w:eastAsia="仿宋_GB2312"/>
      <w:b/>
      <w:sz w:val="44"/>
    </w:rPr>
  </w:style>
  <w:style w:type="character" w:customStyle="1" w:styleId="10">
    <w:name w:val="正文文本 Char"/>
    <w:basedOn w:val="8"/>
    <w:link w:val="2"/>
    <w:qFormat/>
    <w:locked/>
    <w:uiPriority w:val="99"/>
    <w:rPr>
      <w:rFonts w:cs="Times New Roman"/>
    </w:rPr>
  </w:style>
  <w:style w:type="character" w:customStyle="1" w:styleId="11">
    <w:name w:val="Body Text First Indent Char1"/>
    <w:basedOn w:val="10"/>
    <w:semiHidden/>
    <w:qFormat/>
    <w:uiPriority w:val="99"/>
    <w:rPr>
      <w:rFonts w:cs="Times New Roman"/>
    </w:rPr>
  </w:style>
  <w:style w:type="character" w:customStyle="1" w:styleId="12">
    <w:name w:val="正文首行缩进 Char1"/>
    <w:basedOn w:val="10"/>
    <w:semiHidden/>
    <w:qFormat/>
    <w:uiPriority w:val="99"/>
    <w:rPr>
      <w:rFonts w:cs="Times New Roman"/>
    </w:rPr>
  </w:style>
  <w:style w:type="paragraph" w:customStyle="1" w:styleId="13">
    <w:name w:val="正文文本1"/>
    <w:basedOn w:val="1"/>
    <w:autoRedefine/>
    <w:qFormat/>
    <w:uiPriority w:val="99"/>
    <w:pPr>
      <w:topLinePunct/>
      <w:adjustRightInd w:val="0"/>
      <w:snapToGrid w:val="0"/>
      <w:spacing w:line="579" w:lineRule="exact"/>
      <w:ind w:firstLine="640" w:firstLineChars="200"/>
    </w:pPr>
    <w:rPr>
      <w:rFonts w:ascii="黑体" w:hAnsi="黑体" w:eastAsia="黑体"/>
      <w:bCs/>
      <w:kern w:val="0"/>
      <w:sz w:val="32"/>
      <w:szCs w:val="32"/>
      <w:shd w:val="clear" w:color="auto" w:fill="FFFFFF"/>
    </w:rPr>
  </w:style>
  <w:style w:type="character" w:customStyle="1" w:styleId="14">
    <w:name w:val="页眉 Char"/>
    <w:basedOn w:val="8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Char"/>
    <w:basedOn w:val="8"/>
    <w:link w:val="4"/>
    <w:qFormat/>
    <w:locked/>
    <w:uiPriority w:val="99"/>
    <w:rPr>
      <w:rFonts w:cs="Times New Roman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正文首行缩进1"/>
    <w:basedOn w:val="13"/>
    <w:autoRedefine/>
    <w:qFormat/>
    <w:uiPriority w:val="99"/>
    <w:pPr>
      <w:adjustRightInd/>
    </w:pPr>
    <w:rPr>
      <w:rFonts w:ascii="仿宋_GB2312" w:hAnsi="Times New Roman" w:eastAsia="仿宋_GB2312"/>
    </w:rPr>
  </w:style>
  <w:style w:type="character" w:customStyle="1" w:styleId="18">
    <w:name w:val="强调1"/>
    <w:qFormat/>
    <w:uiPriority w:val="99"/>
    <w:rPr>
      <w:i/>
    </w:rPr>
  </w:style>
  <w:style w:type="character" w:customStyle="1" w:styleId="19">
    <w:name w:val="要点1"/>
    <w:uiPriority w:val="99"/>
    <w:rPr>
      <w:b/>
    </w:rPr>
  </w:style>
  <w:style w:type="character" w:customStyle="1" w:styleId="20">
    <w:name w:val="批注框文本 Char"/>
    <w:basedOn w:val="8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32DD2-EA30-4450-8050-BC9DA3F5A2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17</Pages>
  <Words>8164</Words>
  <Characters>8766</Characters>
  <Lines>62</Lines>
  <Paragraphs>17</Paragraphs>
  <TotalTime>3</TotalTime>
  <ScaleCrop>false</ScaleCrop>
  <LinksUpToDate>false</LinksUpToDate>
  <CharactersWithSpaces>8770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2024-12-20T06:48:00Z</dcterms:created>
  <dc:creator>user</dc:creator>
  <cp:lastModifiedBy>杨洋</cp:lastModifiedBy>
  <cp:lastPrinted>2024-12-18T08:21:00Z</cp:lastPrinted>
  <dcterms:modified xsi:type="dcterms:W3CDTF">2025-03-21T08:09:22Z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eyJoZGlkIjoiNzZiZTQ3ZmI1OTFmODUzNzgwMGRlNDBmMWZiZDQzMjEiLCJ1c2VySWQiOiIyMzQ0MjI2NjQifQ==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C352F609689B4393AE06AEAB19F816FA_12</vt:lpwstr>
  </property>
</Properties>
</file>