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F4508">
      <w:pPr>
        <w:rPr>
          <w:rFonts w:ascii="黑体" w:hAnsi="黑体" w:eastAsia="黑体"/>
          <w:b/>
          <w:sz w:val="24"/>
        </w:rPr>
      </w:pPr>
      <w:r>
        <w:rPr>
          <w:rFonts w:hint="eastAsia" w:ascii="黑体" w:hAnsi="黑体" w:eastAsia="黑体"/>
          <w:b/>
          <w:sz w:val="24"/>
          <w:szCs w:val="24"/>
        </w:rPr>
        <w:t>沈阳市浑南区三届人大</w:t>
      </w:r>
    </w:p>
    <w:p w14:paraId="150C8AA3">
      <w:pPr>
        <w:rPr>
          <w:rFonts w:ascii="仿宋_GB2312" w:eastAsia="仿宋_GB2312"/>
          <w:sz w:val="32"/>
          <w:szCs w:val="32"/>
        </w:rPr>
      </w:pPr>
      <w:r>
        <w:rPr>
          <w:rFonts w:hint="eastAsia" w:ascii="黑体" w:hAnsi="黑体" w:eastAsia="黑体"/>
          <w:b/>
          <w:spacing w:val="34"/>
          <w:sz w:val="24"/>
          <w:szCs w:val="24"/>
        </w:rPr>
        <w:t>五次会议文件</w:t>
      </w:r>
      <w:r>
        <w:rPr>
          <w:rFonts w:ascii="黑体" w:hAnsi="黑体" w:eastAsia="黑体"/>
          <w:b/>
          <w:spacing w:val="34"/>
          <w:sz w:val="24"/>
          <w:szCs w:val="24"/>
        </w:rPr>
        <w:t>(</w:t>
      </w:r>
      <w:r>
        <w:rPr>
          <w:rFonts w:hint="eastAsia" w:ascii="黑体" w:hAnsi="黑体" w:eastAsia="黑体"/>
          <w:b/>
          <w:spacing w:val="34"/>
          <w:sz w:val="24"/>
          <w:szCs w:val="24"/>
        </w:rPr>
        <w:t>13</w:t>
      </w:r>
      <w:r>
        <w:rPr>
          <w:rFonts w:ascii="黑体" w:hAnsi="黑体" w:eastAsia="黑体"/>
          <w:b/>
          <w:spacing w:val="34"/>
          <w:sz w:val="24"/>
          <w:szCs w:val="24"/>
        </w:rPr>
        <w:t>)</w:t>
      </w:r>
    </w:p>
    <w:p w14:paraId="146EFDFF">
      <w:pPr>
        <w:adjustRightInd w:val="0"/>
        <w:snapToGrid w:val="0"/>
        <w:spacing w:line="579" w:lineRule="exact"/>
        <w:jc w:val="center"/>
        <w:textAlignment w:val="baseline"/>
        <w:rPr>
          <w:rFonts w:ascii="宋体"/>
          <w:b/>
          <w:snapToGrid w:val="0"/>
          <w:kern w:val="0"/>
          <w:sz w:val="44"/>
          <w:szCs w:val="44"/>
        </w:rPr>
      </w:pPr>
    </w:p>
    <w:p w14:paraId="3E73D3D3">
      <w:pPr>
        <w:adjustRightInd w:val="0"/>
        <w:snapToGrid w:val="0"/>
        <w:spacing w:line="579" w:lineRule="exact"/>
        <w:jc w:val="center"/>
        <w:textAlignment w:val="baseline"/>
        <w:rPr>
          <w:rFonts w:ascii="宋体"/>
          <w:b/>
          <w:snapToGrid w:val="0"/>
          <w:kern w:val="0"/>
          <w:sz w:val="44"/>
          <w:szCs w:val="44"/>
        </w:rPr>
      </w:pPr>
      <w:r>
        <w:rPr>
          <w:rFonts w:hint="eastAsia" w:ascii="宋体" w:hAnsi="宋体"/>
          <w:b/>
          <w:snapToGrid w:val="0"/>
          <w:kern w:val="0"/>
          <w:sz w:val="44"/>
          <w:szCs w:val="44"/>
        </w:rPr>
        <w:t>关于浑南区</w:t>
      </w:r>
      <w:r>
        <w:rPr>
          <w:rFonts w:ascii="宋体" w:hAnsi="宋体"/>
          <w:b/>
          <w:snapToGrid w:val="0"/>
          <w:kern w:val="0"/>
          <w:sz w:val="44"/>
          <w:szCs w:val="44"/>
        </w:rPr>
        <w:t>2025</w:t>
      </w:r>
      <w:r>
        <w:rPr>
          <w:rFonts w:hint="eastAsia" w:ascii="宋体" w:hAnsi="宋体"/>
          <w:b/>
          <w:snapToGrid w:val="0"/>
          <w:kern w:val="0"/>
          <w:sz w:val="44"/>
          <w:szCs w:val="44"/>
        </w:rPr>
        <w:t>年预算执行情况和</w:t>
      </w:r>
    </w:p>
    <w:p w14:paraId="06C7F55A">
      <w:pPr>
        <w:adjustRightInd w:val="0"/>
        <w:snapToGrid w:val="0"/>
        <w:spacing w:line="579" w:lineRule="exact"/>
        <w:jc w:val="center"/>
        <w:textAlignment w:val="baseline"/>
        <w:rPr>
          <w:rFonts w:ascii="宋体"/>
          <w:b/>
          <w:snapToGrid w:val="0"/>
          <w:kern w:val="0"/>
          <w:sz w:val="44"/>
          <w:szCs w:val="44"/>
        </w:rPr>
      </w:pPr>
      <w:r>
        <w:rPr>
          <w:rFonts w:ascii="宋体" w:hAnsi="宋体"/>
          <w:b/>
          <w:snapToGrid w:val="0"/>
          <w:kern w:val="0"/>
          <w:sz w:val="44"/>
          <w:szCs w:val="44"/>
        </w:rPr>
        <w:t>2026</w:t>
      </w:r>
      <w:r>
        <w:rPr>
          <w:rFonts w:hint="eastAsia" w:ascii="宋体" w:hAnsi="宋体"/>
          <w:b/>
          <w:snapToGrid w:val="0"/>
          <w:kern w:val="0"/>
          <w:sz w:val="44"/>
          <w:szCs w:val="44"/>
        </w:rPr>
        <w:t>年预算草案的报告（书面）</w:t>
      </w:r>
    </w:p>
    <w:p w14:paraId="4F49FF7E">
      <w:pPr>
        <w:adjustRightInd w:val="0"/>
        <w:snapToGrid w:val="0"/>
        <w:spacing w:before="312" w:beforeLines="100" w:line="579" w:lineRule="exact"/>
        <w:jc w:val="center"/>
        <w:textAlignment w:val="baseline"/>
        <w:rPr>
          <w:rFonts w:ascii="楷体_GB2312" w:eastAsia="楷体_GB2312"/>
          <w:snapToGrid w:val="0"/>
          <w:kern w:val="0"/>
          <w:sz w:val="32"/>
          <w:szCs w:val="32"/>
        </w:rPr>
      </w:pPr>
      <w:r>
        <w:rPr>
          <w:rFonts w:hint="eastAsia" w:ascii="楷体_GB2312" w:eastAsia="楷体_GB2312"/>
          <w:bCs/>
          <w:sz w:val="32"/>
          <w:szCs w:val="32"/>
        </w:rPr>
        <w:t>──</w:t>
      </w:r>
      <w:r>
        <w:rPr>
          <w:rFonts w:ascii="楷体_GB2312" w:eastAsia="楷体_GB2312"/>
          <w:snapToGrid w:val="0"/>
          <w:kern w:val="0"/>
          <w:sz w:val="32"/>
          <w:szCs w:val="32"/>
        </w:rPr>
        <w:t>2025</w:t>
      </w:r>
      <w:r>
        <w:rPr>
          <w:rFonts w:hint="eastAsia" w:ascii="楷体_GB2312" w:eastAsia="楷体_GB2312"/>
          <w:snapToGrid w:val="0"/>
          <w:kern w:val="0"/>
          <w:sz w:val="32"/>
          <w:szCs w:val="32"/>
        </w:rPr>
        <w:t>年</w:t>
      </w:r>
      <w:r>
        <w:rPr>
          <w:rFonts w:ascii="楷体_GB2312" w:eastAsia="楷体_GB2312"/>
          <w:snapToGrid w:val="0"/>
          <w:kern w:val="0"/>
          <w:sz w:val="32"/>
          <w:szCs w:val="32"/>
        </w:rPr>
        <w:t>12</w:t>
      </w:r>
      <w:r>
        <w:rPr>
          <w:rFonts w:hint="eastAsia" w:ascii="楷体_GB2312" w:eastAsia="楷体_GB2312"/>
          <w:snapToGrid w:val="0"/>
          <w:kern w:val="0"/>
          <w:sz w:val="32"/>
          <w:szCs w:val="32"/>
        </w:rPr>
        <w:t>月30日在沈阳市浑南区</w:t>
      </w:r>
    </w:p>
    <w:p w14:paraId="6501D04A">
      <w:pPr>
        <w:adjustRightInd w:val="0"/>
        <w:snapToGrid w:val="0"/>
        <w:spacing w:after="312" w:afterLines="100" w:line="579" w:lineRule="exact"/>
        <w:jc w:val="center"/>
        <w:textAlignment w:val="baseline"/>
        <w:rPr>
          <w:rFonts w:ascii="楷体_GB2312" w:eastAsia="楷体_GB2312"/>
          <w:snapToGrid w:val="0"/>
          <w:kern w:val="0"/>
          <w:sz w:val="32"/>
          <w:szCs w:val="32"/>
        </w:rPr>
      </w:pPr>
      <w:r>
        <w:rPr>
          <w:rFonts w:hint="eastAsia" w:ascii="楷体_GB2312" w:eastAsia="楷体_GB2312"/>
          <w:snapToGrid w:val="0"/>
          <w:kern w:val="0"/>
          <w:sz w:val="32"/>
          <w:szCs w:val="32"/>
        </w:rPr>
        <w:t>第三届人民代表大会第五次会议上</w:t>
      </w:r>
    </w:p>
    <w:p w14:paraId="28D25A04">
      <w:pPr>
        <w:jc w:val="center"/>
        <w:rPr>
          <w:rFonts w:ascii="楷体_GB2312" w:eastAsia="楷体_GB2312"/>
          <w:snapToGrid w:val="0"/>
          <w:kern w:val="0"/>
          <w:sz w:val="32"/>
          <w:szCs w:val="32"/>
        </w:rPr>
      </w:pPr>
      <w:r>
        <w:rPr>
          <w:rFonts w:hint="eastAsia" w:ascii="楷体_GB2312" w:eastAsia="楷体_GB2312"/>
          <w:snapToGrid w:val="0"/>
          <w:kern w:val="0"/>
          <w:sz w:val="32"/>
          <w:szCs w:val="32"/>
        </w:rPr>
        <w:t>浑南区财政局局长</w:t>
      </w:r>
      <w:r>
        <w:rPr>
          <w:rFonts w:ascii="楷体_GB2312" w:eastAsia="楷体_GB2312"/>
          <w:snapToGrid w:val="0"/>
          <w:kern w:val="0"/>
          <w:sz w:val="32"/>
          <w:szCs w:val="32"/>
        </w:rPr>
        <w:t xml:space="preserve">  </w:t>
      </w:r>
      <w:r>
        <w:rPr>
          <w:rFonts w:hint="eastAsia" w:ascii="楷体_GB2312" w:eastAsia="楷体_GB2312"/>
          <w:snapToGrid w:val="0"/>
          <w:kern w:val="0"/>
          <w:sz w:val="32"/>
          <w:szCs w:val="32"/>
        </w:rPr>
        <w:t>张雷</w:t>
      </w:r>
    </w:p>
    <w:p w14:paraId="20A310F3">
      <w:pPr>
        <w:pStyle w:val="6"/>
        <w:topLinePunct/>
        <w:adjustRightInd w:val="0"/>
        <w:snapToGrid w:val="0"/>
        <w:spacing w:after="0" w:line="579" w:lineRule="exact"/>
        <w:ind w:firstLine="0"/>
        <w:jc w:val="both"/>
        <w:rPr>
          <w:rFonts w:ascii="仿宋_GB2312" w:hAnsi="仿宋"/>
          <w:b w:val="0"/>
          <w:snapToGrid w:val="0"/>
          <w:color w:val="000000"/>
          <w:sz w:val="32"/>
          <w:szCs w:val="32"/>
        </w:rPr>
      </w:pPr>
    </w:p>
    <w:p w14:paraId="3FFEB950">
      <w:pPr>
        <w:pStyle w:val="6"/>
        <w:topLinePunct/>
        <w:adjustRightInd w:val="0"/>
        <w:snapToGrid w:val="0"/>
        <w:spacing w:after="0" w:line="579" w:lineRule="exact"/>
        <w:ind w:firstLine="0"/>
        <w:jc w:val="both"/>
        <w:rPr>
          <w:rFonts w:ascii="仿宋_GB2312" w:hAnsi="仿宋"/>
          <w:snapToGrid w:val="0"/>
          <w:color w:val="000000"/>
          <w:sz w:val="32"/>
          <w:szCs w:val="32"/>
        </w:rPr>
      </w:pPr>
      <w:r>
        <w:rPr>
          <w:rFonts w:hint="eastAsia" w:ascii="仿宋_GB2312" w:hAnsi="仿宋"/>
          <w:b w:val="0"/>
          <w:snapToGrid w:val="0"/>
          <w:color w:val="000000"/>
          <w:sz w:val="32"/>
          <w:szCs w:val="32"/>
        </w:rPr>
        <w:t>各位代表：</w:t>
      </w:r>
    </w:p>
    <w:p w14:paraId="61AAC66E">
      <w:pPr>
        <w:topLinePunct/>
        <w:adjustRightInd w:val="0"/>
        <w:snapToGrid w:val="0"/>
        <w:spacing w:line="579" w:lineRule="exact"/>
        <w:ind w:firstLine="640" w:firstLineChars="200"/>
        <w:rPr>
          <w:rFonts w:ascii="仿宋_GB2312" w:hAnsi="仿宋" w:eastAsia="仿宋_GB2312"/>
          <w:snapToGrid w:val="0"/>
          <w:color w:val="000000"/>
          <w:kern w:val="0"/>
          <w:sz w:val="32"/>
          <w:szCs w:val="32"/>
        </w:rPr>
      </w:pPr>
      <w:r>
        <w:rPr>
          <w:rFonts w:hint="eastAsia" w:ascii="仿宋_GB2312" w:hAnsi="仿宋" w:eastAsia="仿宋_GB2312"/>
          <w:snapToGrid w:val="0"/>
          <w:color w:val="000000"/>
          <w:kern w:val="0"/>
          <w:sz w:val="32"/>
          <w:szCs w:val="32"/>
        </w:rPr>
        <w:t>我受区人民政府委托，将浑南区</w:t>
      </w:r>
      <w:r>
        <w:rPr>
          <w:rFonts w:ascii="仿宋_GB2312" w:hAnsi="仿宋" w:eastAsia="仿宋_GB2312"/>
          <w:snapToGrid w:val="0"/>
          <w:color w:val="000000"/>
          <w:kern w:val="0"/>
          <w:sz w:val="32"/>
          <w:szCs w:val="32"/>
        </w:rPr>
        <w:t>2025</w:t>
      </w:r>
      <w:r>
        <w:rPr>
          <w:rFonts w:hint="eastAsia" w:ascii="仿宋_GB2312" w:hAnsi="仿宋" w:eastAsia="仿宋_GB2312"/>
          <w:snapToGrid w:val="0"/>
          <w:color w:val="000000"/>
          <w:kern w:val="0"/>
          <w:sz w:val="32"/>
          <w:szCs w:val="32"/>
        </w:rPr>
        <w:t>年预算执行情况和</w:t>
      </w:r>
      <w:r>
        <w:rPr>
          <w:rFonts w:ascii="仿宋_GB2312" w:hAnsi="仿宋" w:eastAsia="仿宋_GB2312"/>
          <w:snapToGrid w:val="0"/>
          <w:color w:val="000000"/>
          <w:kern w:val="0"/>
          <w:sz w:val="32"/>
          <w:szCs w:val="32"/>
        </w:rPr>
        <w:t>2026</w:t>
      </w:r>
      <w:r>
        <w:rPr>
          <w:rFonts w:hint="eastAsia" w:ascii="仿宋_GB2312" w:hAnsi="仿宋" w:eastAsia="仿宋_GB2312"/>
          <w:snapToGrid w:val="0"/>
          <w:color w:val="000000"/>
          <w:kern w:val="0"/>
          <w:sz w:val="32"/>
          <w:szCs w:val="32"/>
        </w:rPr>
        <w:t>年预算草案情况报告如下，请予审议。</w:t>
      </w:r>
    </w:p>
    <w:p w14:paraId="1CFBF53D">
      <w:pPr>
        <w:topLinePunct/>
        <w:adjustRightInd w:val="0"/>
        <w:snapToGrid w:val="0"/>
        <w:spacing w:line="579" w:lineRule="exact"/>
        <w:ind w:firstLine="640" w:firstLineChars="200"/>
        <w:rPr>
          <w:rFonts w:ascii="黑体" w:hAnsi="黑体" w:eastAsia="黑体"/>
          <w:sz w:val="32"/>
          <w:szCs w:val="32"/>
        </w:rPr>
      </w:pPr>
      <w:r>
        <w:rPr>
          <w:rFonts w:hint="eastAsia" w:ascii="黑体" w:hAnsi="黑体" w:eastAsia="黑体"/>
          <w:sz w:val="32"/>
          <w:szCs w:val="32"/>
        </w:rPr>
        <w:t>一、“十四五”财政工作成就及</w:t>
      </w:r>
      <w:r>
        <w:rPr>
          <w:rFonts w:ascii="黑体" w:hAnsi="黑体" w:eastAsia="黑体"/>
          <w:sz w:val="32"/>
          <w:szCs w:val="32"/>
        </w:rPr>
        <w:t>2025</w:t>
      </w:r>
      <w:r>
        <w:rPr>
          <w:rFonts w:hint="eastAsia" w:ascii="黑体" w:hAnsi="黑体" w:eastAsia="黑体"/>
          <w:sz w:val="32"/>
          <w:szCs w:val="32"/>
        </w:rPr>
        <w:t>年预算执行情况</w:t>
      </w:r>
    </w:p>
    <w:p w14:paraId="69642739">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十四五”时期，浑南区财政工作经历了极不寻常的五年。五年来，在百年变局和世纪疫情相互叠加的复杂环境下，面对各种前所未有的风险挑战严重冲击，全区财政工作紧紧围绕“稳中求进、以进促稳”总基调，在区委正确领导下，在区人大依法监督和区政协民主监督下，迎难而上、踔厉奋发，实现在逆境中突破、在挑战中淬炼，在困境中坚守，取得了来之不易的成果。</w:t>
      </w:r>
    </w:p>
    <w:p w14:paraId="5DAD53B0">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过去的五年，</w:t>
      </w:r>
      <w:r>
        <w:rPr>
          <w:rFonts w:hint="eastAsia" w:ascii="仿宋_GB2312" w:eastAsia="仿宋_GB2312"/>
          <w:b/>
          <w:sz w:val="32"/>
          <w:szCs w:val="32"/>
        </w:rPr>
        <w:t>全区财政实力迈上新台阶</w:t>
      </w:r>
      <w:r>
        <w:rPr>
          <w:rFonts w:hint="eastAsia" w:ascii="仿宋_GB2312" w:eastAsia="仿宋_GB2312"/>
          <w:sz w:val="32"/>
          <w:szCs w:val="32"/>
        </w:rPr>
        <w:t>。我区在“十四五”开局之年迈入百亿俱乐部以来，每年面对经济下行的严峻形势，以超常规的应变举措和超强度的统筹调度，攻坚征收挖潜，推动增长转型，五年收入稳定在百亿元以上，为全区各项事业发展和全市收入增长提供了强有力支撑。</w:t>
      </w:r>
    </w:p>
    <w:p w14:paraId="4B85750B">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过去的五年，</w:t>
      </w:r>
      <w:r>
        <w:rPr>
          <w:rFonts w:hint="eastAsia" w:ascii="仿宋_GB2312" w:eastAsia="仿宋_GB2312"/>
          <w:b/>
          <w:sz w:val="32"/>
          <w:szCs w:val="32"/>
        </w:rPr>
        <w:t>抢抓政策红利打开新格局</w:t>
      </w:r>
      <w:r>
        <w:rPr>
          <w:rFonts w:hint="eastAsia" w:ascii="仿宋_GB2312" w:eastAsia="仿宋_GB2312"/>
          <w:sz w:val="32"/>
          <w:szCs w:val="32"/>
        </w:rPr>
        <w:t>。建立起常态化项目储备库，抢抓政策机遇窗口期，五年间共争取各类上级资金</w:t>
      </w:r>
      <w:r>
        <w:rPr>
          <w:rFonts w:ascii="仿宋_GB2312" w:eastAsia="仿宋_GB2312"/>
          <w:sz w:val="32"/>
          <w:szCs w:val="32"/>
        </w:rPr>
        <w:t>187</w:t>
      </w:r>
      <w:r>
        <w:rPr>
          <w:rFonts w:hint="eastAsia" w:ascii="仿宋_GB2312" w:eastAsia="仿宋_GB2312"/>
          <w:sz w:val="32"/>
          <w:szCs w:val="32"/>
        </w:rPr>
        <w:t>亿元，上级资金已成为我区重点项目、重大基础设施建设，以及解决民生支出和支持经济发展的重要来源。</w:t>
      </w:r>
    </w:p>
    <w:p w14:paraId="187105B9">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过去的五年，</w:t>
      </w:r>
      <w:r>
        <w:rPr>
          <w:rFonts w:hint="eastAsia" w:ascii="仿宋_GB2312" w:eastAsia="仿宋_GB2312"/>
          <w:b/>
          <w:sz w:val="32"/>
          <w:szCs w:val="32"/>
        </w:rPr>
        <w:t>财政风险化解实现新突破</w:t>
      </w:r>
      <w:r>
        <w:rPr>
          <w:rFonts w:hint="eastAsia" w:ascii="仿宋_GB2312" w:eastAsia="仿宋_GB2312"/>
          <w:sz w:val="32"/>
          <w:szCs w:val="32"/>
        </w:rPr>
        <w:t>。五年间累计清理偿还政府</w:t>
      </w:r>
      <w:r>
        <w:rPr>
          <w:rFonts w:hint="eastAsia" w:ascii="仿宋_GB2312" w:hAnsi="黑体" w:eastAsia="仿宋_GB2312"/>
          <w:sz w:val="32"/>
          <w:szCs w:val="32"/>
        </w:rPr>
        <w:t>债务</w:t>
      </w:r>
      <w:r>
        <w:rPr>
          <w:rFonts w:ascii="仿宋_GB2312" w:hAnsi="黑体" w:eastAsia="仿宋_GB2312"/>
          <w:sz w:val="32"/>
          <w:szCs w:val="32"/>
        </w:rPr>
        <w:t>182</w:t>
      </w:r>
      <w:r>
        <w:rPr>
          <w:rFonts w:hint="eastAsia" w:ascii="仿宋_GB2312" w:hAnsi="黑体" w:eastAsia="仿宋_GB2312"/>
          <w:sz w:val="32"/>
          <w:szCs w:val="32"/>
        </w:rPr>
        <w:t>亿元，政府债务率大幅下降</w:t>
      </w:r>
      <w:r>
        <w:rPr>
          <w:rFonts w:hint="eastAsia" w:ascii="仿宋_GB2312" w:eastAsia="仿宋_GB2312"/>
          <w:sz w:val="32"/>
          <w:szCs w:val="32"/>
        </w:rPr>
        <w:t>。不断优化存量债务结构，先后债务重组置换101亿元。通过偿还本金和降低利率，2025年比2021年减少偿债本息8.7亿元，下降26%。</w:t>
      </w:r>
    </w:p>
    <w:p w14:paraId="038BC640">
      <w:pPr>
        <w:topLinePunct/>
        <w:adjustRightInd w:val="0"/>
        <w:snapToGrid w:val="0"/>
        <w:spacing w:line="579" w:lineRule="exact"/>
        <w:ind w:firstLine="640" w:firstLineChars="200"/>
        <w:rPr>
          <w:rFonts w:ascii="仿宋_GB2312" w:hAnsi="宋体" w:eastAsia="仿宋_GB2312" w:cs="宋体"/>
          <w:sz w:val="32"/>
          <w:szCs w:val="32"/>
        </w:rPr>
      </w:pPr>
      <w:r>
        <w:rPr>
          <w:rFonts w:hint="eastAsia" w:ascii="仿宋_GB2312" w:eastAsia="仿宋_GB2312"/>
          <w:sz w:val="32"/>
          <w:szCs w:val="32"/>
        </w:rPr>
        <w:t>过去的五年，</w:t>
      </w:r>
      <w:r>
        <w:rPr>
          <w:rFonts w:hint="eastAsia" w:ascii="仿宋_GB2312" w:eastAsia="仿宋_GB2312"/>
          <w:b/>
          <w:sz w:val="32"/>
          <w:szCs w:val="32"/>
        </w:rPr>
        <w:t>民生保障水平达到新高度</w:t>
      </w:r>
      <w:r>
        <w:rPr>
          <w:rFonts w:hint="eastAsia" w:ascii="仿宋_GB2312" w:eastAsia="仿宋_GB2312"/>
          <w:sz w:val="32"/>
          <w:szCs w:val="32"/>
        </w:rPr>
        <w:t>。</w:t>
      </w:r>
      <w:r>
        <w:rPr>
          <w:rFonts w:hint="eastAsia" w:ascii="仿宋_GB2312" w:hAnsi="仿宋" w:eastAsia="仿宋_GB2312" w:cs="仿宋"/>
          <w:sz w:val="32"/>
          <w:szCs w:val="32"/>
        </w:rPr>
        <w:t>五年累计完成一般公共预算支出</w:t>
      </w:r>
      <w:r>
        <w:rPr>
          <w:rFonts w:ascii="仿宋_GB2312" w:hAnsi="仿宋" w:eastAsia="仿宋_GB2312" w:cs="仿宋"/>
          <w:sz w:val="32"/>
          <w:szCs w:val="32"/>
        </w:rPr>
        <w:t>3</w:t>
      </w:r>
      <w:r>
        <w:rPr>
          <w:rFonts w:hint="eastAsia" w:ascii="仿宋_GB2312" w:hAnsi="仿宋" w:eastAsia="仿宋_GB2312" w:cs="仿宋"/>
          <w:sz w:val="32"/>
          <w:szCs w:val="32"/>
        </w:rPr>
        <w:t>78亿元，其中：民生投入268亿元，年平均占比在</w:t>
      </w:r>
      <w:r>
        <w:rPr>
          <w:rFonts w:ascii="仿宋_GB2312" w:hAnsi="仿宋" w:eastAsia="仿宋_GB2312" w:cs="仿宋"/>
          <w:sz w:val="32"/>
          <w:szCs w:val="32"/>
        </w:rPr>
        <w:t>70%</w:t>
      </w:r>
      <w:r>
        <w:rPr>
          <w:rFonts w:hint="eastAsia" w:ascii="仿宋_GB2312" w:hAnsi="仿宋" w:eastAsia="仿宋_GB2312" w:cs="仿宋"/>
          <w:sz w:val="32"/>
          <w:szCs w:val="32"/>
        </w:rPr>
        <w:t>以上。实施</w:t>
      </w:r>
      <w:r>
        <w:rPr>
          <w:rFonts w:hint="eastAsia" w:ascii="仿宋_GB2312" w:eastAsia="仿宋_GB2312"/>
          <w:sz w:val="32"/>
          <w:szCs w:val="32"/>
        </w:rPr>
        <w:t>科教兴区战略，</w:t>
      </w:r>
      <w:r>
        <w:rPr>
          <w:rFonts w:hint="eastAsia" w:ascii="仿宋_GB2312" w:hAnsi="仿宋_GB2312" w:eastAsia="仿宋_GB2312" w:cs="仿宋_GB2312"/>
          <w:sz w:val="32"/>
          <w:szCs w:val="32"/>
        </w:rPr>
        <w:t>累计教育支出37.9亿元，支出占比超过10%。</w:t>
      </w:r>
      <w:r>
        <w:rPr>
          <w:rFonts w:hint="eastAsia" w:ascii="仿宋_GB2312" w:hAnsi="宋体" w:eastAsia="仿宋_GB2312" w:cs="宋体"/>
          <w:sz w:val="32"/>
          <w:szCs w:val="32"/>
        </w:rPr>
        <w:t>累计科技支出37.8亿元，占全市科技支出的25</w:t>
      </w:r>
      <w:r>
        <w:rPr>
          <w:rFonts w:ascii="仿宋_GB2312" w:hAnsi="宋体" w:eastAsia="仿宋_GB2312" w:cs="宋体"/>
          <w:sz w:val="32"/>
          <w:szCs w:val="32"/>
        </w:rPr>
        <w:t>%</w:t>
      </w:r>
      <w:r>
        <w:rPr>
          <w:rFonts w:hint="eastAsia" w:ascii="仿宋_GB2312" w:hAnsi="宋体" w:eastAsia="仿宋_GB2312" w:cs="宋体"/>
          <w:sz w:val="32"/>
          <w:szCs w:val="32"/>
        </w:rPr>
        <w:t>以上。</w:t>
      </w:r>
    </w:p>
    <w:p w14:paraId="0BE9C2D2">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过去的五年，</w:t>
      </w:r>
      <w:r>
        <w:rPr>
          <w:rFonts w:hint="eastAsia" w:ascii="仿宋_GB2312" w:eastAsia="仿宋_GB2312"/>
          <w:b/>
          <w:sz w:val="32"/>
          <w:szCs w:val="32"/>
        </w:rPr>
        <w:t>财政管理效能得到新提升</w:t>
      </w:r>
      <w:r>
        <w:rPr>
          <w:rFonts w:hint="eastAsia" w:ascii="仿宋_GB2312" w:eastAsia="仿宋_GB2312"/>
          <w:sz w:val="32"/>
          <w:szCs w:val="32"/>
        </w:rPr>
        <w:t>。拓宽收入渠道，五年累计盘活国有“三资”近</w:t>
      </w:r>
      <w:r>
        <w:rPr>
          <w:rFonts w:ascii="仿宋_GB2312" w:eastAsia="仿宋_GB2312"/>
          <w:sz w:val="32"/>
          <w:szCs w:val="32"/>
        </w:rPr>
        <w:t>80</w:t>
      </w:r>
      <w:r>
        <w:rPr>
          <w:rFonts w:hint="eastAsia" w:ascii="仿宋_GB2312" w:eastAsia="仿宋_GB2312"/>
          <w:sz w:val="32"/>
          <w:szCs w:val="32"/>
        </w:rPr>
        <w:t>亿元。初步构建“财政牵头、部门协同、税务主导、街道包保”的协税护税立体网格化管理体系。始终牢记党政机关过“紧日子”要求，公用经费压减30%以上。</w:t>
      </w:r>
    </w:p>
    <w:p w14:paraId="08677F42">
      <w:pPr>
        <w:autoSpaceDE w:val="0"/>
        <w:autoSpaceDN w:val="0"/>
        <w:adjustRightInd w:val="0"/>
        <w:ind w:firstLine="640" w:firstLineChars="200"/>
        <w:jc w:val="left"/>
        <w:rPr>
          <w:rFonts w:ascii="仿宋_GB2312" w:eastAsia="仿宋_GB2312"/>
        </w:rPr>
      </w:pPr>
      <w:r>
        <w:rPr>
          <w:rFonts w:ascii="仿宋_GB2312" w:eastAsia="仿宋_GB2312"/>
          <w:sz w:val="32"/>
          <w:szCs w:val="32"/>
        </w:rPr>
        <w:t>2025</w:t>
      </w:r>
      <w:r>
        <w:rPr>
          <w:rFonts w:hint="eastAsia" w:ascii="仿宋_GB2312" w:eastAsia="仿宋_GB2312"/>
          <w:sz w:val="32"/>
          <w:szCs w:val="32"/>
        </w:rPr>
        <w:t>年，我们始终</w:t>
      </w:r>
      <w:r>
        <w:rPr>
          <w:rFonts w:hint="eastAsia" w:ascii="仿宋_GB2312" w:hAnsi="仿宋" w:eastAsia="仿宋_GB2312"/>
          <w:bCs/>
          <w:kern w:val="0"/>
          <w:sz w:val="32"/>
          <w:szCs w:val="32"/>
        </w:rPr>
        <w:t>坚持以习近平新时代中国特色社会主义思想为指导，全面贯彻落实党的二十大和二十届历次全会精神</w:t>
      </w:r>
      <w:r>
        <w:rPr>
          <w:rFonts w:hint="eastAsia" w:ascii="仿宋_GB2312" w:eastAsia="仿宋_GB2312"/>
          <w:sz w:val="32"/>
          <w:szCs w:val="32"/>
        </w:rPr>
        <w:t>，</w:t>
      </w:r>
      <w:r>
        <w:rPr>
          <w:rFonts w:hint="eastAsia" w:ascii="仿宋_GB2312" w:hAnsi="Times New Roman" w:eastAsia="仿宋_GB2312" w:cs="仿宋_GB2312"/>
          <w:kern w:val="0"/>
          <w:sz w:val="32"/>
          <w:szCs w:val="32"/>
        </w:rPr>
        <w:t>认真学习贯彻习近平总书记对辽宁振兴发展的重要讲话精神和重要指示精神，</w:t>
      </w:r>
      <w:r>
        <w:rPr>
          <w:rFonts w:hint="eastAsia" w:ascii="仿宋_GB2312" w:eastAsia="仿宋_GB2312"/>
          <w:sz w:val="32"/>
          <w:szCs w:val="32"/>
        </w:rPr>
        <w:t>深入落实中央经济工作会议和全国财政工作会议精神，在区委坚强领导下，</w:t>
      </w:r>
      <w:r>
        <w:rPr>
          <w:rFonts w:hint="eastAsia" w:ascii="仿宋_GB2312" w:hAnsi="仿宋" w:eastAsia="仿宋_GB2312"/>
          <w:bCs/>
          <w:kern w:val="0"/>
          <w:sz w:val="32"/>
          <w:szCs w:val="32"/>
        </w:rPr>
        <w:t>在区人大依法监督和区政协民主监督下，坚持“稳中求进、以进促稳”总基调，</w:t>
      </w:r>
      <w:r>
        <w:rPr>
          <w:rFonts w:hint="eastAsia" w:ascii="仿宋_GB2312" w:eastAsia="仿宋_GB2312"/>
          <w:sz w:val="32"/>
          <w:szCs w:val="32"/>
        </w:rPr>
        <w:t>大力开源节流，优化资源配置，防范财政风险，兜牢民生底线，</w:t>
      </w:r>
      <w:r>
        <w:rPr>
          <w:rFonts w:hint="eastAsia" w:ascii="仿宋_GB2312" w:hAnsi="Times New Roman" w:eastAsia="仿宋_GB2312" w:cs="仿宋_GB2312"/>
          <w:kern w:val="0"/>
          <w:sz w:val="32"/>
          <w:szCs w:val="32"/>
        </w:rPr>
        <w:t>为大盘运行总体平稳、社会事业稳步向前提供必要保障。</w:t>
      </w:r>
    </w:p>
    <w:p w14:paraId="6D8B51CA">
      <w:pPr>
        <w:topLinePunct/>
        <w:adjustRightInd w:val="0"/>
        <w:snapToGrid w:val="0"/>
        <w:spacing w:line="579" w:lineRule="exact"/>
        <w:ind w:firstLine="640" w:firstLineChars="200"/>
        <w:rPr>
          <w:rFonts w:ascii="楷体_GB2312" w:eastAsia="楷体_GB2312"/>
          <w:kern w:val="0"/>
          <w:sz w:val="32"/>
          <w:szCs w:val="32"/>
        </w:rPr>
      </w:pPr>
      <w:r>
        <w:rPr>
          <w:rFonts w:hint="eastAsia" w:ascii="楷体_GB2312" w:eastAsia="楷体_GB2312"/>
          <w:kern w:val="0"/>
          <w:sz w:val="32"/>
          <w:szCs w:val="32"/>
        </w:rPr>
        <w:t>（一）</w:t>
      </w:r>
      <w:r>
        <w:rPr>
          <w:rFonts w:ascii="楷体_GB2312" w:hAnsi="楷体" w:eastAsia="楷体_GB2312"/>
          <w:kern w:val="0"/>
          <w:sz w:val="32"/>
          <w:szCs w:val="32"/>
        </w:rPr>
        <w:t>2025</w:t>
      </w:r>
      <w:r>
        <w:rPr>
          <w:rFonts w:hint="eastAsia" w:ascii="楷体_GB2312" w:hAnsi="楷体" w:eastAsia="楷体_GB2312"/>
          <w:kern w:val="0"/>
          <w:sz w:val="32"/>
          <w:szCs w:val="32"/>
        </w:rPr>
        <w:t>年收支预计完成情况</w:t>
      </w:r>
    </w:p>
    <w:p w14:paraId="5233AB74">
      <w:pPr>
        <w:topLinePunct/>
        <w:adjustRightInd w:val="0"/>
        <w:snapToGrid w:val="0"/>
        <w:spacing w:line="579" w:lineRule="exact"/>
        <w:ind w:firstLine="640" w:firstLineChars="200"/>
        <w:rPr>
          <w:rFonts w:ascii="仿宋_GB2312" w:eastAsia="仿宋_GB2312"/>
          <w:bCs/>
          <w:sz w:val="32"/>
          <w:szCs w:val="32"/>
        </w:rPr>
      </w:pPr>
      <w:r>
        <w:rPr>
          <w:rFonts w:hint="eastAsia" w:ascii="仿宋_GB2312" w:eastAsia="仿宋_GB2312"/>
          <w:bCs/>
          <w:sz w:val="32"/>
          <w:szCs w:val="32"/>
        </w:rPr>
        <w:t>受各项超预期因素影响，</w:t>
      </w:r>
      <w:r>
        <w:rPr>
          <w:rFonts w:ascii="仿宋_GB2312" w:eastAsia="仿宋_GB2312"/>
          <w:bCs/>
          <w:sz w:val="32"/>
          <w:szCs w:val="32"/>
        </w:rPr>
        <w:t>2025</w:t>
      </w:r>
      <w:r>
        <w:rPr>
          <w:rFonts w:hint="eastAsia" w:ascii="仿宋_GB2312" w:eastAsia="仿宋_GB2312"/>
          <w:bCs/>
          <w:sz w:val="32"/>
          <w:szCs w:val="32"/>
        </w:rPr>
        <w:t>年财政收支较年初预算发生较大变化。根据《预算法》规定，我们编制了预算调整方案（草案），并按法定程序报请区人大常委会会议审议通过。收支预算预计完成情况如下：</w:t>
      </w:r>
    </w:p>
    <w:p w14:paraId="0CBB9832">
      <w:pPr>
        <w:topLinePunct/>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1.</w:t>
      </w:r>
      <w:r>
        <w:rPr>
          <w:rFonts w:hint="eastAsia" w:ascii="仿宋_GB2312" w:eastAsia="仿宋_GB2312"/>
          <w:bCs/>
          <w:kern w:val="0"/>
          <w:sz w:val="32"/>
          <w:szCs w:val="32"/>
        </w:rPr>
        <w:t>一般公共预算收支预计完成情况</w:t>
      </w:r>
    </w:p>
    <w:p w14:paraId="65F2C160">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一般公共预算收入预计完成</w:t>
      </w:r>
      <w:r>
        <w:rPr>
          <w:rFonts w:ascii="仿宋_GB2312" w:hAnsi="仿宋_GB2312" w:eastAsia="仿宋_GB2312"/>
          <w:kern w:val="0"/>
          <w:sz w:val="32"/>
          <w:szCs w:val="32"/>
        </w:rPr>
        <w:t>103</w:t>
      </w:r>
      <w:r>
        <w:rPr>
          <w:rFonts w:hint="eastAsia" w:ascii="仿宋_GB2312" w:hAnsi="仿宋_GB2312" w:eastAsia="仿宋_GB2312"/>
          <w:kern w:val="0"/>
          <w:sz w:val="32"/>
          <w:szCs w:val="32"/>
        </w:rPr>
        <w:t>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，下降6.9</w:t>
      </w:r>
      <w:r>
        <w:rPr>
          <w:rFonts w:ascii="仿宋_GB2312" w:eastAsia="仿宋_GB2312"/>
          <w:kern w:val="0"/>
          <w:sz w:val="32"/>
          <w:szCs w:val="32"/>
        </w:rPr>
        <w:t>%</w:t>
      </w:r>
      <w:r>
        <w:rPr>
          <w:rFonts w:hint="eastAsia" w:ascii="仿宋_GB2312" w:eastAsia="仿宋_GB2312"/>
          <w:kern w:val="0"/>
          <w:sz w:val="32"/>
          <w:szCs w:val="32"/>
        </w:rPr>
        <w:t>，</w:t>
      </w:r>
      <w:r>
        <w:rPr>
          <w:rFonts w:hint="eastAsia" w:ascii="仿宋_GB2312" w:hAnsi="仿宋_GB2312" w:eastAsia="仿宋_GB2312"/>
          <w:kern w:val="0"/>
          <w:sz w:val="32"/>
          <w:szCs w:val="32"/>
        </w:rPr>
        <w:t>其中：税收收入71.8亿元，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，下降1.7</w:t>
      </w:r>
      <w:r>
        <w:rPr>
          <w:rFonts w:ascii="仿宋_GB2312" w:eastAsia="仿宋_GB2312"/>
          <w:kern w:val="0"/>
          <w:sz w:val="32"/>
          <w:szCs w:val="32"/>
        </w:rPr>
        <w:t>%</w:t>
      </w:r>
      <w:r>
        <w:rPr>
          <w:rFonts w:hint="eastAsia" w:ascii="仿宋_GB2312" w:hAnsi="仿宋_GB2312" w:eastAsia="仿宋_GB2312"/>
          <w:kern w:val="0"/>
          <w:sz w:val="32"/>
          <w:szCs w:val="32"/>
        </w:rPr>
        <w:t>；非税收入31.2亿元，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w:t>
      </w:r>
      <w:r>
        <w:rPr>
          <w:rFonts w:hint="eastAsia" w:ascii="仿宋_GB2312" w:hAnsi="仿宋_GB2312" w:eastAsia="仿宋_GB2312"/>
          <w:kern w:val="0"/>
          <w:sz w:val="32"/>
          <w:szCs w:val="32"/>
        </w:rPr>
        <w:t>下降17</w:t>
      </w:r>
      <w:r>
        <w:rPr>
          <w:rFonts w:ascii="仿宋_GB2312" w:hAnsi="仿宋_GB2312" w:eastAsia="仿宋_GB2312"/>
          <w:kern w:val="0"/>
          <w:sz w:val="32"/>
          <w:szCs w:val="32"/>
        </w:rPr>
        <w:t>%</w:t>
      </w:r>
      <w:r>
        <w:rPr>
          <w:rFonts w:hint="eastAsia" w:ascii="仿宋_GB2312" w:hAnsi="仿宋_GB2312" w:eastAsia="仿宋_GB2312"/>
          <w:kern w:val="0"/>
          <w:sz w:val="32"/>
          <w:szCs w:val="32"/>
        </w:rPr>
        <w:t>。</w:t>
      </w:r>
    </w:p>
    <w:p w14:paraId="35625DD0">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一般公共预算支出预计完成66.6亿元，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w:t>
      </w:r>
      <w:r>
        <w:rPr>
          <w:rFonts w:hint="eastAsia" w:ascii="仿宋_GB2312" w:hAnsi="仿宋_GB2312" w:eastAsia="仿宋_GB2312"/>
          <w:kern w:val="0"/>
          <w:sz w:val="32"/>
          <w:szCs w:val="32"/>
        </w:rPr>
        <w:t>下降34.5</w:t>
      </w:r>
      <w:r>
        <w:rPr>
          <w:rFonts w:ascii="仿宋_GB2312" w:hAnsi="仿宋_GB2312" w:eastAsia="仿宋_GB2312"/>
          <w:kern w:val="0"/>
          <w:sz w:val="32"/>
          <w:szCs w:val="32"/>
        </w:rPr>
        <w:t>%</w:t>
      </w:r>
      <w:r>
        <w:rPr>
          <w:rFonts w:hint="eastAsia" w:ascii="仿宋_GB2312" w:hAnsi="仿宋_GB2312" w:eastAsia="仿宋_GB2312"/>
          <w:kern w:val="0"/>
          <w:sz w:val="32"/>
          <w:szCs w:val="32"/>
        </w:rPr>
        <w:t>。主要支出情况如下：</w:t>
      </w:r>
    </w:p>
    <w:p w14:paraId="49DBE137">
      <w:pPr>
        <w:topLinePunct/>
        <w:adjustRightInd w:val="0"/>
        <w:snapToGrid w:val="0"/>
        <w:spacing w:line="579" w:lineRule="exact"/>
        <w:ind w:firstLine="643" w:firstLineChars="200"/>
        <w:rPr>
          <w:rFonts w:ascii="仿宋_GB2312" w:eastAsia="仿宋_GB2312"/>
          <w:b/>
          <w:kern w:val="0"/>
          <w:sz w:val="32"/>
          <w:szCs w:val="32"/>
        </w:rPr>
      </w:pPr>
      <w:r>
        <w:rPr>
          <w:rFonts w:hint="eastAsia" w:ascii="仿宋_GB2312" w:eastAsia="仿宋_GB2312"/>
          <w:b/>
          <w:kern w:val="0"/>
          <w:sz w:val="32"/>
          <w:szCs w:val="32"/>
        </w:rPr>
        <w:t>教育</w:t>
      </w:r>
      <w:r>
        <w:rPr>
          <w:rFonts w:hint="eastAsia" w:ascii="仿宋_GB2312" w:eastAsia="仿宋_GB2312"/>
          <w:kern w:val="0"/>
          <w:sz w:val="32"/>
          <w:szCs w:val="32"/>
        </w:rPr>
        <w:t>支出8亿元，下降5</w:t>
      </w:r>
      <w:r>
        <w:rPr>
          <w:rFonts w:ascii="仿宋_GB2312" w:eastAsia="仿宋_GB2312"/>
          <w:kern w:val="0"/>
          <w:sz w:val="32"/>
          <w:szCs w:val="32"/>
        </w:rPr>
        <w:t>%</w:t>
      </w:r>
      <w:r>
        <w:rPr>
          <w:rFonts w:hint="eastAsia" w:ascii="仿宋_GB2312" w:eastAsia="仿宋_GB2312"/>
          <w:kern w:val="0"/>
          <w:sz w:val="32"/>
          <w:szCs w:val="32"/>
        </w:rPr>
        <w:t>，扣除去年上级专项等一次性因素，可比增长15.4%；</w:t>
      </w:r>
      <w:r>
        <w:rPr>
          <w:rFonts w:hint="eastAsia" w:ascii="仿宋_GB2312" w:eastAsia="仿宋_GB2312"/>
          <w:b/>
          <w:kern w:val="0"/>
          <w:sz w:val="32"/>
          <w:szCs w:val="32"/>
        </w:rPr>
        <w:t>科学技术</w:t>
      </w:r>
      <w:r>
        <w:rPr>
          <w:rFonts w:hint="eastAsia" w:ascii="仿宋_GB2312" w:eastAsia="仿宋_GB2312"/>
          <w:kern w:val="0"/>
          <w:sz w:val="32"/>
          <w:szCs w:val="32"/>
        </w:rPr>
        <w:t>支出4.5亿元，扣除去年一次性因素，可比增长25</w:t>
      </w:r>
      <w:r>
        <w:rPr>
          <w:rFonts w:ascii="仿宋_GB2312" w:eastAsia="仿宋_GB2312"/>
          <w:kern w:val="0"/>
          <w:sz w:val="32"/>
          <w:szCs w:val="32"/>
        </w:rPr>
        <w:t>%</w:t>
      </w:r>
      <w:r>
        <w:rPr>
          <w:rFonts w:hint="eastAsia" w:ascii="仿宋_GB2312" w:eastAsia="仿宋_GB2312"/>
          <w:kern w:val="0"/>
          <w:sz w:val="32"/>
          <w:szCs w:val="32"/>
        </w:rPr>
        <w:t>；</w:t>
      </w:r>
      <w:r>
        <w:rPr>
          <w:rFonts w:hint="eastAsia" w:ascii="仿宋_GB2312" w:eastAsia="仿宋_GB2312"/>
          <w:b/>
          <w:kern w:val="0"/>
          <w:sz w:val="32"/>
          <w:szCs w:val="32"/>
        </w:rPr>
        <w:t>农林水</w:t>
      </w:r>
      <w:r>
        <w:rPr>
          <w:rFonts w:hint="eastAsia" w:ascii="仿宋_GB2312" w:eastAsia="仿宋_GB2312"/>
          <w:kern w:val="0"/>
          <w:sz w:val="32"/>
          <w:szCs w:val="32"/>
        </w:rPr>
        <w:t>支出2.5亿元，下降21.4</w:t>
      </w:r>
      <w:r>
        <w:rPr>
          <w:rFonts w:ascii="仿宋_GB2312" w:eastAsia="仿宋_GB2312"/>
          <w:kern w:val="0"/>
          <w:sz w:val="32"/>
          <w:szCs w:val="32"/>
        </w:rPr>
        <w:t>%</w:t>
      </w:r>
      <w:r>
        <w:rPr>
          <w:rFonts w:hint="eastAsia" w:ascii="仿宋_GB2312" w:eastAsia="仿宋_GB2312"/>
          <w:kern w:val="0"/>
          <w:sz w:val="32"/>
          <w:szCs w:val="32"/>
        </w:rPr>
        <w:t>；</w:t>
      </w:r>
      <w:r>
        <w:rPr>
          <w:rFonts w:hint="eastAsia" w:ascii="仿宋_GB2312" w:eastAsia="仿宋_GB2312"/>
          <w:b/>
          <w:kern w:val="0"/>
          <w:sz w:val="32"/>
          <w:szCs w:val="32"/>
        </w:rPr>
        <w:t>社会保障和就业</w:t>
      </w:r>
      <w:r>
        <w:rPr>
          <w:rFonts w:hint="eastAsia" w:ascii="仿宋_GB2312" w:eastAsia="仿宋_GB2312"/>
          <w:kern w:val="0"/>
          <w:sz w:val="32"/>
          <w:szCs w:val="32"/>
        </w:rPr>
        <w:t>支出7.7亿元，下降14.9</w:t>
      </w:r>
      <w:r>
        <w:rPr>
          <w:rFonts w:ascii="仿宋_GB2312" w:eastAsia="仿宋_GB2312"/>
          <w:kern w:val="0"/>
          <w:sz w:val="32"/>
          <w:szCs w:val="32"/>
        </w:rPr>
        <w:t>%</w:t>
      </w:r>
      <w:r>
        <w:rPr>
          <w:rFonts w:hint="eastAsia" w:ascii="仿宋_GB2312" w:eastAsia="仿宋_GB2312"/>
          <w:kern w:val="0"/>
          <w:sz w:val="32"/>
          <w:szCs w:val="32"/>
        </w:rPr>
        <w:t>；</w:t>
      </w:r>
      <w:r>
        <w:rPr>
          <w:rFonts w:hint="eastAsia" w:ascii="仿宋_GB2312" w:eastAsia="仿宋_GB2312"/>
          <w:b/>
          <w:kern w:val="0"/>
          <w:sz w:val="32"/>
          <w:szCs w:val="32"/>
        </w:rPr>
        <w:t>一般公共服务</w:t>
      </w:r>
      <w:r>
        <w:rPr>
          <w:rFonts w:hint="eastAsia" w:ascii="仿宋_GB2312" w:eastAsia="仿宋_GB2312"/>
          <w:kern w:val="0"/>
          <w:sz w:val="32"/>
          <w:szCs w:val="32"/>
        </w:rPr>
        <w:t>支出6.4亿元，增长4.9</w:t>
      </w:r>
      <w:r>
        <w:rPr>
          <w:rFonts w:ascii="仿宋_GB2312" w:eastAsia="仿宋_GB2312"/>
          <w:kern w:val="0"/>
          <w:sz w:val="32"/>
          <w:szCs w:val="32"/>
        </w:rPr>
        <w:t>%</w:t>
      </w:r>
      <w:r>
        <w:rPr>
          <w:rFonts w:hint="eastAsia" w:ascii="仿宋_GB2312" w:eastAsia="仿宋_GB2312"/>
          <w:kern w:val="0"/>
          <w:sz w:val="32"/>
          <w:szCs w:val="32"/>
        </w:rPr>
        <w:t>，主要是社区工作者人员支出1.4亿元由社会保障和就业科目调整到本科目核算。</w:t>
      </w:r>
    </w:p>
    <w:p w14:paraId="3DFA0297">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一般公共预算收入（本级）93亿元，加上级财政补助收入17.8亿元、调入资金14.8亿元、上年结转收入12.1亿元，总收入合计137.7亿元；一般公共预算支出66.6亿元，加上解支出64.2亿元、结转下年0.9亿元和债务还本支出6亿元，总支出合计137.7亿元，实现收支平衡。</w:t>
      </w:r>
    </w:p>
    <w:p w14:paraId="4B5FF7E4">
      <w:pPr>
        <w:topLinePunct/>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2.</w:t>
      </w:r>
      <w:r>
        <w:rPr>
          <w:rFonts w:hint="eastAsia" w:ascii="仿宋_GB2312" w:eastAsia="仿宋_GB2312"/>
          <w:bCs/>
          <w:kern w:val="0"/>
          <w:sz w:val="32"/>
          <w:szCs w:val="32"/>
        </w:rPr>
        <w:t>政府性基金预算收支预计完成情况</w:t>
      </w:r>
    </w:p>
    <w:p w14:paraId="63FBFACD">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政府性基金预算收入预计完成22.7亿元，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w:t>
      </w:r>
      <w:r>
        <w:rPr>
          <w:rFonts w:hint="eastAsia" w:ascii="仿宋_GB2312" w:hAnsi="仿宋_GB2312" w:eastAsia="仿宋_GB2312"/>
          <w:kern w:val="0"/>
          <w:sz w:val="32"/>
          <w:szCs w:val="32"/>
        </w:rPr>
        <w:t>下降59</w:t>
      </w:r>
      <w:r>
        <w:rPr>
          <w:rFonts w:ascii="仿宋_GB2312" w:hAnsi="仿宋_GB2312" w:eastAsia="仿宋_GB2312"/>
          <w:kern w:val="0"/>
          <w:sz w:val="32"/>
          <w:szCs w:val="32"/>
        </w:rPr>
        <w:t>%</w:t>
      </w:r>
      <w:r>
        <w:rPr>
          <w:rFonts w:hint="eastAsia" w:ascii="仿宋_GB2312" w:hAnsi="仿宋_GB2312" w:eastAsia="仿宋_GB2312"/>
          <w:kern w:val="0"/>
          <w:sz w:val="32"/>
          <w:szCs w:val="32"/>
        </w:rPr>
        <w:t>。其中：土地出让收入21.2亿元，下降56.8</w:t>
      </w:r>
      <w:r>
        <w:rPr>
          <w:rFonts w:ascii="仿宋_GB2312" w:hAnsi="仿宋_GB2312" w:eastAsia="仿宋_GB2312"/>
          <w:kern w:val="0"/>
          <w:sz w:val="32"/>
          <w:szCs w:val="32"/>
        </w:rPr>
        <w:t>%</w:t>
      </w:r>
      <w:r>
        <w:rPr>
          <w:rFonts w:hint="eastAsia" w:ascii="仿宋_GB2312" w:hAnsi="仿宋_GB2312" w:eastAsia="仿宋_GB2312"/>
          <w:kern w:val="0"/>
          <w:sz w:val="32"/>
          <w:szCs w:val="32"/>
        </w:rPr>
        <w:t>；基础设施配套费收入1.5亿元，下降40.7</w:t>
      </w:r>
      <w:r>
        <w:rPr>
          <w:rFonts w:ascii="仿宋_GB2312" w:hAnsi="仿宋_GB2312" w:eastAsia="仿宋_GB2312"/>
          <w:kern w:val="0"/>
          <w:sz w:val="32"/>
          <w:szCs w:val="32"/>
        </w:rPr>
        <w:t>%</w:t>
      </w:r>
      <w:r>
        <w:rPr>
          <w:rFonts w:hint="eastAsia" w:ascii="仿宋_GB2312" w:hAnsi="仿宋_GB2312" w:eastAsia="仿宋_GB2312"/>
          <w:kern w:val="0"/>
          <w:sz w:val="32"/>
          <w:szCs w:val="32"/>
        </w:rPr>
        <w:t>。</w:t>
      </w:r>
    </w:p>
    <w:p w14:paraId="13F284F0">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政府性基金预算支出预计完成20.8亿元，</w:t>
      </w:r>
      <w:r>
        <w:rPr>
          <w:rFonts w:hint="eastAsia" w:ascii="仿宋_GB2312" w:eastAsia="仿宋_GB2312"/>
          <w:kern w:val="0"/>
          <w:sz w:val="32"/>
          <w:szCs w:val="32"/>
        </w:rPr>
        <w:t>完成调整预算的</w:t>
      </w:r>
      <w:r>
        <w:rPr>
          <w:rFonts w:ascii="仿宋_GB2312" w:eastAsia="仿宋_GB2312"/>
          <w:kern w:val="0"/>
          <w:sz w:val="32"/>
          <w:szCs w:val="32"/>
        </w:rPr>
        <w:t>100%</w:t>
      </w:r>
      <w:r>
        <w:rPr>
          <w:rFonts w:hint="eastAsia" w:ascii="仿宋_GB2312" w:eastAsia="仿宋_GB2312"/>
          <w:kern w:val="0"/>
          <w:sz w:val="32"/>
          <w:szCs w:val="32"/>
        </w:rPr>
        <w:t>，</w:t>
      </w:r>
      <w:r>
        <w:rPr>
          <w:rFonts w:hint="eastAsia" w:ascii="仿宋_GB2312" w:hAnsi="仿宋_GB2312" w:eastAsia="仿宋_GB2312"/>
          <w:kern w:val="0"/>
          <w:sz w:val="32"/>
          <w:szCs w:val="32"/>
        </w:rPr>
        <w:t>下降54.6</w:t>
      </w:r>
      <w:r>
        <w:rPr>
          <w:rFonts w:ascii="仿宋_GB2312" w:hAnsi="仿宋_GB2312" w:eastAsia="仿宋_GB2312"/>
          <w:kern w:val="0"/>
          <w:sz w:val="32"/>
          <w:szCs w:val="32"/>
        </w:rPr>
        <w:t>%</w:t>
      </w:r>
      <w:r>
        <w:rPr>
          <w:rFonts w:hint="eastAsia" w:ascii="仿宋_GB2312" w:hAnsi="仿宋_GB2312" w:eastAsia="仿宋_GB2312"/>
          <w:kern w:val="0"/>
          <w:sz w:val="32"/>
          <w:szCs w:val="32"/>
        </w:rPr>
        <w:t>。</w:t>
      </w:r>
    </w:p>
    <w:p w14:paraId="57238F6C">
      <w:pPr>
        <w:topLinePunct/>
        <w:adjustRightInd w:val="0"/>
        <w:snapToGrid w:val="0"/>
        <w:spacing w:line="579" w:lineRule="exact"/>
        <w:ind w:firstLine="640" w:firstLineChars="200"/>
        <w:rPr>
          <w:rFonts w:ascii="仿宋_GB2312" w:hAnsi="仿宋_GB2312" w:eastAsia="仿宋_GB2312"/>
          <w:kern w:val="0"/>
          <w:sz w:val="32"/>
          <w:szCs w:val="32"/>
        </w:rPr>
      </w:pPr>
      <w:r>
        <w:rPr>
          <w:rFonts w:hint="eastAsia" w:ascii="仿宋_GB2312" w:hAnsi="仿宋_GB2312" w:eastAsia="仿宋_GB2312"/>
          <w:kern w:val="0"/>
          <w:sz w:val="32"/>
          <w:szCs w:val="32"/>
        </w:rPr>
        <w:t>政府性基金预算收入22.7亿元，加上级财政补助收入0.3亿元、上年结转5亿元、地方政府债券收入7.3亿元，总收入合计35.3亿元；政府性基金预算支出20.8亿元，加调出资金12亿元、结转下年2.2亿元和上解上级支出0.3亿元，总支出合计35.3亿元，实现收支平衡。</w:t>
      </w:r>
    </w:p>
    <w:p w14:paraId="391756B1">
      <w:pPr>
        <w:topLinePunct/>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3.</w:t>
      </w:r>
      <w:r>
        <w:rPr>
          <w:rFonts w:hint="eastAsia" w:ascii="仿宋_GB2312" w:eastAsia="仿宋_GB2312"/>
          <w:bCs/>
          <w:kern w:val="0"/>
          <w:sz w:val="32"/>
          <w:szCs w:val="32"/>
        </w:rPr>
        <w:t>国有资本经营预算收支预计完成情况</w:t>
      </w:r>
    </w:p>
    <w:p w14:paraId="1477AC8B">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国有资本经营预算收支均为零，当年收到上级专项209万元，当年全部支出，无结余结转。</w:t>
      </w:r>
    </w:p>
    <w:p w14:paraId="0953FE9C">
      <w:pPr>
        <w:topLinePunct/>
        <w:adjustRightInd w:val="0"/>
        <w:snapToGrid w:val="0"/>
        <w:spacing w:line="579" w:lineRule="exact"/>
        <w:ind w:firstLine="640" w:firstLineChars="200"/>
        <w:jc w:val="left"/>
        <w:rPr>
          <w:rFonts w:ascii="仿宋_GB2312" w:eastAsia="仿宋_GB2312"/>
          <w:bCs/>
          <w:kern w:val="0"/>
          <w:sz w:val="32"/>
          <w:szCs w:val="32"/>
        </w:rPr>
      </w:pPr>
      <w:r>
        <w:rPr>
          <w:rFonts w:ascii="仿宋_GB2312" w:eastAsia="仿宋_GB2312"/>
          <w:bCs/>
          <w:kern w:val="0"/>
          <w:sz w:val="32"/>
          <w:szCs w:val="32"/>
        </w:rPr>
        <w:t>4.</w:t>
      </w:r>
      <w:r>
        <w:rPr>
          <w:rFonts w:hint="eastAsia" w:ascii="仿宋_GB2312" w:eastAsia="仿宋_GB2312"/>
          <w:bCs/>
          <w:kern w:val="0"/>
          <w:sz w:val="32"/>
          <w:szCs w:val="32"/>
        </w:rPr>
        <w:t>社会保险基金预算收支预计完成情况</w:t>
      </w:r>
    </w:p>
    <w:p w14:paraId="573B6856">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社会保险基金预算收入预计完成1.6亿元，社会保险基金预算支出预计完成1.4亿元。当年收支结余0.2亿元，全部结转下年。</w:t>
      </w:r>
    </w:p>
    <w:p w14:paraId="0F7BEE8F">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上述数据在财政决算后会略有变化，届时再向区人大常委会报告。</w:t>
      </w:r>
    </w:p>
    <w:p w14:paraId="3F64734F">
      <w:pPr>
        <w:topLinePunct/>
        <w:adjustRightInd w:val="0"/>
        <w:snapToGrid w:val="0"/>
        <w:spacing w:line="579" w:lineRule="exact"/>
        <w:ind w:firstLine="640" w:firstLineChars="200"/>
        <w:rPr>
          <w:rFonts w:ascii="楷体_GB2312" w:eastAsia="楷体_GB2312"/>
          <w:kern w:val="0"/>
          <w:sz w:val="32"/>
          <w:szCs w:val="32"/>
        </w:rPr>
      </w:pPr>
      <w:r>
        <w:rPr>
          <w:rFonts w:hint="eastAsia" w:ascii="楷体_GB2312" w:eastAsia="楷体_GB2312"/>
          <w:kern w:val="0"/>
          <w:sz w:val="32"/>
          <w:szCs w:val="32"/>
        </w:rPr>
        <w:t>（二）地方政府债务情况</w:t>
      </w:r>
    </w:p>
    <w:p w14:paraId="606B2476">
      <w:pPr>
        <w:spacing w:line="600" w:lineRule="exact"/>
        <w:ind w:firstLine="640" w:firstLineChars="200"/>
        <w:rPr>
          <w:rFonts w:ascii="仿宋_GB2312" w:hAnsi="Times New Roman" w:eastAsia="仿宋_GB2312"/>
          <w:sz w:val="32"/>
          <w:szCs w:val="32"/>
        </w:rPr>
      </w:pPr>
      <w:r>
        <w:rPr>
          <w:rFonts w:hint="eastAsia" w:ascii="仿宋_GB2312" w:eastAsia="仿宋_GB2312"/>
          <w:snapToGrid w:val="0"/>
          <w:kern w:val="0"/>
          <w:sz w:val="32"/>
          <w:szCs w:val="32"/>
        </w:rPr>
        <w:t>经市政府批准，我区2024年地方政府债务限额为364.5亿元</w:t>
      </w:r>
      <w:r>
        <w:rPr>
          <w:rFonts w:hint="eastAsia" w:ascii="仿宋_GB2312" w:hAnsi="Times New Roman" w:eastAsia="仿宋_GB2312"/>
          <w:sz w:val="32"/>
          <w:szCs w:val="32"/>
        </w:rPr>
        <w:t>。目前，尚未核定2025年地方政府债务限额。</w:t>
      </w:r>
    </w:p>
    <w:p w14:paraId="0BE8A594">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hAnsi="Times New Roman" w:eastAsia="仿宋_GB2312"/>
          <w:sz w:val="32"/>
          <w:szCs w:val="32"/>
        </w:rPr>
        <w:t>2025年初，</w:t>
      </w:r>
      <w:r>
        <w:rPr>
          <w:rFonts w:hint="eastAsia" w:ascii="仿宋_GB2312" w:eastAsia="仿宋_GB2312"/>
          <w:snapToGrid w:val="0"/>
          <w:kern w:val="0"/>
          <w:sz w:val="32"/>
          <w:szCs w:val="32"/>
        </w:rPr>
        <w:t>我区政府债务余额</w:t>
      </w:r>
      <w:r>
        <w:rPr>
          <w:rFonts w:hint="eastAsia" w:ascii="仿宋_GB2312" w:eastAsia="仿宋_GB2312"/>
          <w:sz w:val="32"/>
          <w:szCs w:val="32"/>
        </w:rPr>
        <w:t>364.5</w:t>
      </w:r>
      <w:r>
        <w:rPr>
          <w:rFonts w:hint="eastAsia" w:ascii="仿宋_GB2312" w:eastAsia="仿宋_GB2312"/>
          <w:snapToGrid w:val="0"/>
          <w:kern w:val="0"/>
          <w:sz w:val="32"/>
          <w:szCs w:val="32"/>
        </w:rPr>
        <w:t>亿元，</w:t>
      </w:r>
      <w:r>
        <w:rPr>
          <w:rFonts w:hint="eastAsia" w:ascii="仿宋_GB2312" w:hAnsi="Times New Roman" w:eastAsia="仿宋_GB2312"/>
          <w:sz w:val="32"/>
          <w:szCs w:val="32"/>
        </w:rPr>
        <w:t>全年</w:t>
      </w:r>
      <w:r>
        <w:rPr>
          <w:rFonts w:hint="eastAsia" w:ascii="仿宋_GB2312" w:eastAsia="仿宋_GB2312"/>
          <w:kern w:val="0"/>
          <w:sz w:val="32"/>
          <w:szCs w:val="32"/>
        </w:rPr>
        <w:t>发行地方政府债券76.8亿元，其中：一般债券57.6亿元，专项债券19.2亿元。债券主要用途：</w:t>
      </w:r>
      <w:r>
        <w:rPr>
          <w:rFonts w:hint="eastAsia" w:ascii="仿宋_GB2312" w:eastAsia="仿宋_GB2312"/>
          <w:b/>
          <w:kern w:val="0"/>
          <w:sz w:val="32"/>
          <w:szCs w:val="32"/>
        </w:rPr>
        <w:t>一是</w:t>
      </w:r>
      <w:r>
        <w:rPr>
          <w:rFonts w:hint="eastAsia" w:ascii="仿宋_GB2312" w:eastAsia="仿宋_GB2312"/>
          <w:kern w:val="0"/>
          <w:sz w:val="32"/>
          <w:szCs w:val="32"/>
        </w:rPr>
        <w:t>本年新增再融资债券</w:t>
      </w:r>
      <w:r>
        <w:rPr>
          <w:rFonts w:ascii="仿宋_GB2312" w:eastAsia="仿宋_GB2312"/>
          <w:kern w:val="0"/>
          <w:sz w:val="32"/>
          <w:szCs w:val="32"/>
        </w:rPr>
        <w:t>69.5</w:t>
      </w:r>
      <w:r>
        <w:rPr>
          <w:rFonts w:hint="eastAsia" w:ascii="仿宋_GB2312" w:eastAsia="仿宋_GB2312"/>
          <w:kern w:val="0"/>
          <w:sz w:val="32"/>
          <w:szCs w:val="32"/>
        </w:rPr>
        <w:t>亿元，包括用于偿还当年到期债券本金</w:t>
      </w:r>
      <w:r>
        <w:rPr>
          <w:rFonts w:ascii="仿宋_GB2312" w:eastAsia="仿宋_GB2312"/>
          <w:kern w:val="0"/>
          <w:sz w:val="32"/>
          <w:szCs w:val="32"/>
        </w:rPr>
        <w:t>53.5</w:t>
      </w:r>
      <w:r>
        <w:rPr>
          <w:rFonts w:hint="eastAsia" w:ascii="仿宋_GB2312" w:eastAsia="仿宋_GB2312"/>
          <w:kern w:val="0"/>
          <w:sz w:val="32"/>
          <w:szCs w:val="32"/>
        </w:rPr>
        <w:t>亿元和置换存量隐性债务</w:t>
      </w:r>
      <w:r>
        <w:rPr>
          <w:rFonts w:ascii="仿宋_GB2312" w:eastAsia="仿宋_GB2312"/>
          <w:kern w:val="0"/>
          <w:sz w:val="32"/>
          <w:szCs w:val="32"/>
        </w:rPr>
        <w:t>16</w:t>
      </w:r>
      <w:r>
        <w:rPr>
          <w:rFonts w:hint="eastAsia" w:ascii="仿宋_GB2312" w:eastAsia="仿宋_GB2312"/>
          <w:kern w:val="0"/>
          <w:sz w:val="32"/>
          <w:szCs w:val="32"/>
        </w:rPr>
        <w:t>亿。</w:t>
      </w:r>
      <w:r>
        <w:rPr>
          <w:rFonts w:hint="eastAsia" w:ascii="仿宋_GB2312" w:eastAsia="仿宋_GB2312"/>
          <w:b/>
          <w:bCs/>
          <w:kern w:val="0"/>
          <w:sz w:val="32"/>
          <w:szCs w:val="32"/>
        </w:rPr>
        <w:t>二是</w:t>
      </w:r>
      <w:r>
        <w:rPr>
          <w:rFonts w:hint="eastAsia" w:ascii="仿宋_GB2312" w:eastAsia="仿宋_GB2312"/>
          <w:kern w:val="0"/>
          <w:sz w:val="32"/>
          <w:szCs w:val="32"/>
        </w:rPr>
        <w:t>本年新增债券</w:t>
      </w:r>
      <w:r>
        <w:rPr>
          <w:rFonts w:ascii="仿宋_GB2312" w:eastAsia="仿宋_GB2312"/>
          <w:kern w:val="0"/>
          <w:sz w:val="32"/>
          <w:szCs w:val="32"/>
        </w:rPr>
        <w:t>7.</w:t>
      </w:r>
      <w:r>
        <w:rPr>
          <w:rFonts w:hint="eastAsia" w:ascii="仿宋_GB2312" w:eastAsia="仿宋_GB2312"/>
          <w:kern w:val="0"/>
          <w:sz w:val="32"/>
          <w:szCs w:val="32"/>
        </w:rPr>
        <w:t>3亿元，包括用于偿还工信口径政府拖欠企业账款</w:t>
      </w:r>
      <w:r>
        <w:rPr>
          <w:rFonts w:ascii="仿宋_GB2312" w:eastAsia="仿宋_GB2312"/>
          <w:kern w:val="0"/>
          <w:sz w:val="32"/>
          <w:szCs w:val="32"/>
        </w:rPr>
        <w:t>5.</w:t>
      </w:r>
      <w:r>
        <w:rPr>
          <w:rFonts w:hint="eastAsia" w:ascii="仿宋_GB2312" w:eastAsia="仿宋_GB2312"/>
          <w:kern w:val="0"/>
          <w:sz w:val="32"/>
          <w:szCs w:val="32"/>
        </w:rPr>
        <w:t>3亿元和用于浑南科技城孵化器项目建设</w:t>
      </w:r>
      <w:r>
        <w:rPr>
          <w:rFonts w:ascii="仿宋_GB2312" w:eastAsia="仿宋_GB2312"/>
          <w:kern w:val="0"/>
          <w:sz w:val="32"/>
          <w:szCs w:val="32"/>
        </w:rPr>
        <w:t>2</w:t>
      </w:r>
      <w:r>
        <w:rPr>
          <w:rFonts w:hint="eastAsia" w:ascii="仿宋_GB2312" w:eastAsia="仿宋_GB2312"/>
          <w:kern w:val="0"/>
          <w:sz w:val="32"/>
          <w:szCs w:val="32"/>
        </w:rPr>
        <w:t>亿元。全年偿还到期债券本金</w:t>
      </w:r>
      <w:r>
        <w:rPr>
          <w:rFonts w:ascii="仿宋_GB2312" w:eastAsia="仿宋_GB2312"/>
          <w:kern w:val="0"/>
          <w:sz w:val="32"/>
          <w:szCs w:val="32"/>
        </w:rPr>
        <w:t>59.5</w:t>
      </w:r>
      <w:r>
        <w:rPr>
          <w:rFonts w:hint="eastAsia" w:ascii="仿宋_GB2312" w:eastAsia="仿宋_GB2312"/>
          <w:kern w:val="0"/>
          <w:sz w:val="32"/>
          <w:szCs w:val="32"/>
        </w:rPr>
        <w:t>亿元，其中：再融资债券偿还</w:t>
      </w:r>
      <w:r>
        <w:rPr>
          <w:rFonts w:ascii="仿宋_GB2312" w:eastAsia="仿宋_GB2312"/>
          <w:kern w:val="0"/>
          <w:sz w:val="32"/>
          <w:szCs w:val="32"/>
        </w:rPr>
        <w:t>53.5</w:t>
      </w:r>
      <w:r>
        <w:rPr>
          <w:rFonts w:hint="eastAsia" w:ascii="仿宋_GB2312" w:eastAsia="仿宋_GB2312"/>
          <w:kern w:val="0"/>
          <w:sz w:val="32"/>
          <w:szCs w:val="32"/>
        </w:rPr>
        <w:t>亿元，本级财力偿还</w:t>
      </w:r>
      <w:r>
        <w:rPr>
          <w:rFonts w:ascii="仿宋_GB2312" w:eastAsia="仿宋_GB2312"/>
          <w:kern w:val="0"/>
          <w:sz w:val="32"/>
          <w:szCs w:val="32"/>
        </w:rPr>
        <w:t>6</w:t>
      </w:r>
      <w:r>
        <w:rPr>
          <w:rFonts w:hint="eastAsia" w:ascii="仿宋_GB2312" w:eastAsia="仿宋_GB2312"/>
          <w:kern w:val="0"/>
          <w:sz w:val="32"/>
          <w:szCs w:val="32"/>
        </w:rPr>
        <w:t>亿元。年末债务余额381.8亿元。</w:t>
      </w:r>
    </w:p>
    <w:p w14:paraId="7BA9C229">
      <w:pPr>
        <w:overflowPunct w:val="0"/>
        <w:autoSpaceDE w:val="0"/>
        <w:autoSpaceDN w:val="0"/>
        <w:adjustRightInd w:val="0"/>
        <w:snapToGrid w:val="0"/>
        <w:spacing w:line="579" w:lineRule="exact"/>
        <w:ind w:firstLine="640" w:firstLineChars="200"/>
        <w:rPr>
          <w:rFonts w:ascii="仿宋_GB2312" w:hAnsi="Times New Roman" w:eastAsia="仿宋_GB2312"/>
          <w:sz w:val="32"/>
          <w:szCs w:val="32"/>
        </w:rPr>
      </w:pPr>
      <w:r>
        <w:rPr>
          <w:rFonts w:hint="eastAsia" w:ascii="仿宋_GB2312" w:hAnsi="Times New Roman" w:eastAsia="仿宋_GB2312"/>
          <w:sz w:val="32"/>
          <w:szCs w:val="32"/>
        </w:rPr>
        <w:t>按照省债务限额管理规定，每年年初省财政厅下达上一年债务限额。在明年年初下达2025年债务限额时，会根据各地区债务余额情况相应调整限额，调整后，我区债务余额不超出债务限额。</w:t>
      </w:r>
    </w:p>
    <w:p w14:paraId="13711567">
      <w:pPr>
        <w:tabs>
          <w:tab w:val="left" w:pos="6162"/>
        </w:tabs>
        <w:kinsoku w:val="0"/>
        <w:overflowPunct w:val="0"/>
        <w:autoSpaceDE w:val="0"/>
        <w:autoSpaceDN w:val="0"/>
        <w:adjustRightInd w:val="0"/>
        <w:snapToGrid w:val="0"/>
        <w:spacing w:line="579" w:lineRule="exact"/>
        <w:ind w:firstLine="645"/>
        <w:rPr>
          <w:rFonts w:ascii="楷体_GB2312" w:hAnsi="楷体" w:eastAsia="楷体_GB2312"/>
          <w:kern w:val="0"/>
          <w:sz w:val="32"/>
          <w:szCs w:val="32"/>
        </w:rPr>
      </w:pPr>
      <w:r>
        <w:rPr>
          <w:rFonts w:hint="eastAsia" w:ascii="楷体_GB2312" w:hAnsi="楷体" w:eastAsia="楷体_GB2312"/>
          <w:kern w:val="0"/>
          <w:sz w:val="32"/>
          <w:szCs w:val="32"/>
        </w:rPr>
        <w:t>（三）向人大报告的其他事项</w:t>
      </w:r>
    </w:p>
    <w:p w14:paraId="517DAF7E">
      <w:pPr>
        <w:kinsoku w:val="0"/>
        <w:overflowPunct w:val="0"/>
        <w:autoSpaceDE w:val="0"/>
        <w:autoSpaceDN w:val="0"/>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1.</w:t>
      </w:r>
      <w:r>
        <w:rPr>
          <w:rFonts w:hint="eastAsia" w:ascii="仿宋_GB2312" w:eastAsia="仿宋_GB2312"/>
          <w:bCs/>
          <w:kern w:val="0"/>
          <w:sz w:val="32"/>
          <w:szCs w:val="32"/>
        </w:rPr>
        <w:t>年度结余和上年预算稳定调节基金使用情况</w:t>
      </w:r>
    </w:p>
    <w:p w14:paraId="0EDA5A7E">
      <w:pPr>
        <w:kinsoku w:val="0"/>
        <w:overflowPunct w:val="0"/>
        <w:autoSpaceDE w:val="0"/>
        <w:autoSpaceDN w:val="0"/>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年末预计结转3亿元，主要是上级专项补助部分项目当年未达到付款条件，资金结转下年继续使用。当年无调入和动用预算稳定调节资金。</w:t>
      </w:r>
    </w:p>
    <w:p w14:paraId="51D6A1BA">
      <w:pPr>
        <w:topLinePunct/>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2.</w:t>
      </w:r>
      <w:r>
        <w:rPr>
          <w:rFonts w:hint="eastAsia" w:ascii="仿宋_GB2312" w:eastAsia="仿宋_GB2312"/>
          <w:bCs/>
          <w:kern w:val="0"/>
          <w:sz w:val="32"/>
          <w:szCs w:val="32"/>
        </w:rPr>
        <w:t>预备费使用情况</w:t>
      </w:r>
    </w:p>
    <w:p w14:paraId="56C72DC0">
      <w:pPr>
        <w:tabs>
          <w:tab w:val="left" w:pos="6162"/>
        </w:tabs>
        <w:topLinePunct/>
        <w:adjustRightInd w:val="0"/>
        <w:snapToGrid w:val="0"/>
        <w:spacing w:line="579" w:lineRule="exact"/>
        <w:ind w:firstLine="640" w:firstLineChars="200"/>
        <w:rPr>
          <w:rFonts w:ascii="仿宋_GB2312" w:hAnsi="楷体" w:eastAsia="仿宋_GB2312"/>
          <w:kern w:val="0"/>
          <w:sz w:val="32"/>
          <w:szCs w:val="32"/>
        </w:rPr>
      </w:pPr>
      <w:r>
        <w:rPr>
          <w:rFonts w:hint="eastAsia" w:ascii="仿宋_GB2312" w:hAnsi="楷体" w:eastAsia="仿宋_GB2312"/>
          <w:kern w:val="0"/>
          <w:sz w:val="32"/>
          <w:szCs w:val="32"/>
        </w:rPr>
        <w:t>年初预算安排预备费</w:t>
      </w:r>
      <w:r>
        <w:rPr>
          <w:rFonts w:ascii="仿宋_GB2312" w:hAnsi="楷体" w:eastAsia="仿宋_GB2312"/>
          <w:kern w:val="0"/>
          <w:sz w:val="32"/>
          <w:szCs w:val="32"/>
        </w:rPr>
        <w:t>6</w:t>
      </w:r>
      <w:r>
        <w:rPr>
          <w:rFonts w:hint="eastAsia" w:ascii="仿宋_GB2312" w:hAnsi="楷体" w:eastAsia="仿宋_GB2312"/>
          <w:kern w:val="0"/>
          <w:sz w:val="32"/>
          <w:szCs w:val="32"/>
        </w:rPr>
        <w:t>7</w:t>
      </w:r>
      <w:r>
        <w:rPr>
          <w:rFonts w:ascii="仿宋_GB2312" w:hAnsi="楷体" w:eastAsia="仿宋_GB2312"/>
          <w:kern w:val="0"/>
          <w:sz w:val="32"/>
          <w:szCs w:val="32"/>
        </w:rPr>
        <w:t>00</w:t>
      </w:r>
      <w:r>
        <w:rPr>
          <w:rFonts w:hint="eastAsia" w:ascii="仿宋_GB2312" w:hAnsi="楷体" w:eastAsia="仿宋_GB2312"/>
          <w:kern w:val="0"/>
          <w:sz w:val="32"/>
          <w:szCs w:val="32"/>
        </w:rPr>
        <w:t>万元，当年使用</w:t>
      </w:r>
      <w:r>
        <w:rPr>
          <w:rFonts w:ascii="仿宋_GB2312" w:hAnsi="楷体" w:eastAsia="仿宋_GB2312"/>
          <w:kern w:val="0"/>
          <w:sz w:val="32"/>
          <w:szCs w:val="32"/>
        </w:rPr>
        <w:t>6</w:t>
      </w:r>
      <w:r>
        <w:rPr>
          <w:rFonts w:hint="eastAsia" w:ascii="仿宋_GB2312" w:hAnsi="楷体" w:eastAsia="仿宋_GB2312"/>
          <w:kern w:val="0"/>
          <w:sz w:val="32"/>
          <w:szCs w:val="32"/>
        </w:rPr>
        <w:t>7</w:t>
      </w:r>
      <w:r>
        <w:rPr>
          <w:rFonts w:ascii="仿宋_GB2312" w:hAnsi="楷体" w:eastAsia="仿宋_GB2312"/>
          <w:kern w:val="0"/>
          <w:sz w:val="32"/>
          <w:szCs w:val="32"/>
        </w:rPr>
        <w:t>00</w:t>
      </w:r>
      <w:r>
        <w:rPr>
          <w:rFonts w:hint="eastAsia" w:ascii="仿宋_GB2312" w:hAnsi="楷体" w:eastAsia="仿宋_GB2312"/>
          <w:kern w:val="0"/>
          <w:sz w:val="32"/>
          <w:szCs w:val="32"/>
        </w:rPr>
        <w:t>万元，主要用于解决年初难以预见的突发且必须解决的事项，其中：根据省政府紧急通知，支付辽宁省农商银行系统专项票据利息6490万元；其他应急、维稳等突发事件支出210万元。</w:t>
      </w:r>
    </w:p>
    <w:p w14:paraId="25CF3D14">
      <w:pPr>
        <w:tabs>
          <w:tab w:val="left" w:pos="6162"/>
        </w:tabs>
        <w:topLinePunct/>
        <w:adjustRightInd w:val="0"/>
        <w:snapToGrid w:val="0"/>
        <w:spacing w:line="579" w:lineRule="exact"/>
        <w:ind w:firstLine="640" w:firstLineChars="200"/>
        <w:rPr>
          <w:rFonts w:ascii="仿宋_GB2312" w:eastAsia="仿宋_GB2312"/>
          <w:bCs/>
          <w:kern w:val="0"/>
          <w:sz w:val="32"/>
          <w:szCs w:val="32"/>
        </w:rPr>
      </w:pPr>
      <w:r>
        <w:rPr>
          <w:rFonts w:ascii="仿宋_GB2312" w:eastAsia="仿宋_GB2312"/>
          <w:bCs/>
          <w:kern w:val="0"/>
          <w:sz w:val="32"/>
          <w:szCs w:val="32"/>
        </w:rPr>
        <w:t>3.</w:t>
      </w:r>
      <w:r>
        <w:rPr>
          <w:rFonts w:hint="eastAsia" w:ascii="仿宋_GB2312" w:eastAsia="仿宋_GB2312"/>
          <w:bCs/>
          <w:kern w:val="0"/>
          <w:sz w:val="32"/>
          <w:szCs w:val="32"/>
        </w:rPr>
        <w:t>直达资金下达使用情况</w:t>
      </w:r>
    </w:p>
    <w:p w14:paraId="737778BC">
      <w:pPr>
        <w:pStyle w:val="18"/>
      </w:pPr>
      <w:r>
        <w:rPr>
          <w:rFonts w:hint="eastAsia"/>
        </w:rPr>
        <w:t>截至目前，</w:t>
      </w:r>
      <w:r>
        <w:rPr>
          <w:rStyle w:val="19"/>
          <w:rFonts w:hint="eastAsia" w:hAnsi="宋体"/>
          <w:i w:val="0"/>
          <w:iCs/>
        </w:rPr>
        <w:t>共收到各类直达资金1.3亿元，其中：中央级直达资金0.8亿元，省级直达资金0.1亿元，市级直达资金0.4亿元。所有直达资金已全部下达，下达率</w:t>
      </w:r>
      <w:r>
        <w:rPr>
          <w:rStyle w:val="19"/>
          <w:rFonts w:hAnsi="宋体"/>
          <w:i w:val="0"/>
          <w:iCs/>
        </w:rPr>
        <w:t>100%</w:t>
      </w:r>
      <w:r>
        <w:rPr>
          <w:rStyle w:val="19"/>
          <w:rFonts w:hint="eastAsia" w:hAnsi="宋体"/>
          <w:i w:val="0"/>
          <w:iCs/>
        </w:rPr>
        <w:t>，预计支出1.1亿元，使用进度85</w:t>
      </w:r>
      <w:r>
        <w:rPr>
          <w:rStyle w:val="19"/>
          <w:rFonts w:hAnsi="宋体"/>
          <w:i w:val="0"/>
          <w:iCs/>
        </w:rPr>
        <w:t>%</w:t>
      </w:r>
      <w:r>
        <w:rPr>
          <w:rStyle w:val="19"/>
          <w:rFonts w:hint="eastAsia" w:hAnsi="宋体"/>
          <w:i w:val="0"/>
          <w:iCs/>
        </w:rPr>
        <w:t>，剩余资金主要是农村路网工程</w:t>
      </w:r>
      <w:r>
        <w:rPr>
          <w:rStyle w:val="19"/>
          <w:rFonts w:hAnsi="宋体"/>
          <w:i w:val="0"/>
          <w:iCs/>
        </w:rPr>
        <w:t>0.2</w:t>
      </w:r>
      <w:r>
        <w:rPr>
          <w:rStyle w:val="19"/>
          <w:rFonts w:hint="eastAsia" w:hAnsi="宋体"/>
          <w:i w:val="0"/>
          <w:iCs/>
        </w:rPr>
        <w:t>亿元，结转下年继续使用。直达资金主要用于：就业补助、基本公共卫生服务、医疗服务与保障能力提升、城乡义务教育补助、学生资助补助、计划生育补助、城乡居民基本养老保险补助、基本药物制度补助和保障性安居住房等民生</w:t>
      </w:r>
      <w:r>
        <w:rPr>
          <w:rFonts w:hint="eastAsia" w:hAnsi="微软雅黑"/>
        </w:rPr>
        <w:t>支出</w:t>
      </w:r>
      <w:r>
        <w:rPr>
          <w:rFonts w:hint="eastAsia" w:hAnsi="Malgun Gothic Semilight"/>
        </w:rPr>
        <w:t>。</w:t>
      </w:r>
    </w:p>
    <w:p w14:paraId="77E9E33C">
      <w:pPr>
        <w:pStyle w:val="18"/>
      </w:pPr>
      <w:r>
        <w:t>4.</w:t>
      </w:r>
      <w:r>
        <w:rPr>
          <w:rFonts w:hint="eastAsia"/>
        </w:rPr>
        <w:t>预算绩效管理情况</w:t>
      </w:r>
    </w:p>
    <w:p w14:paraId="7C235BA1">
      <w:pPr>
        <w:pStyle w:val="18"/>
      </w:pPr>
      <w:r>
        <w:rPr>
          <w:rFonts w:hint="eastAsia"/>
        </w:rPr>
        <w:t>依托预算一体化管理平台实现预算与绩效深度融合，部门责任意识显著增强。通过强化事前评估、事中监控和事后评价，开展各部门本年度整体绩效监控147 项、项目绩效监控1772 项。开展各部门上年度整体绩效自评 143 项，项目绩效自评1927 项。有效削减低效无效支出，资金使用效益大幅提升，财政资源配置持续优化，实现绩效结果与预算安排实质性挂钩。</w:t>
      </w:r>
    </w:p>
    <w:p w14:paraId="2E64DD1C">
      <w:pPr>
        <w:pStyle w:val="18"/>
      </w:pPr>
      <w:r>
        <w:t>5.2024</w:t>
      </w:r>
      <w:r>
        <w:rPr>
          <w:rFonts w:hint="eastAsia"/>
        </w:rPr>
        <w:t>年度预算执行审计整改落实情况</w:t>
      </w:r>
    </w:p>
    <w:p w14:paraId="049BCD5E">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对于区审计局关于</w:t>
      </w:r>
      <w:r>
        <w:rPr>
          <w:rFonts w:ascii="仿宋_GB2312" w:eastAsia="仿宋_GB2312"/>
          <w:sz w:val="32"/>
          <w:szCs w:val="32"/>
        </w:rPr>
        <w:t>2024</w:t>
      </w:r>
      <w:r>
        <w:rPr>
          <w:rFonts w:hint="eastAsia" w:ascii="仿宋_GB2312" w:eastAsia="仿宋_GB2312"/>
          <w:sz w:val="32"/>
          <w:szCs w:val="32"/>
        </w:rPr>
        <w:t>年区本级预算执行审计发现的部分单位未编制政府采购预算等</w:t>
      </w:r>
      <w:r>
        <w:rPr>
          <w:rFonts w:ascii="仿宋_GB2312" w:eastAsia="仿宋_GB2312"/>
          <w:sz w:val="32"/>
          <w:szCs w:val="32"/>
        </w:rPr>
        <w:t>5</w:t>
      </w:r>
      <w:r>
        <w:rPr>
          <w:rFonts w:hint="eastAsia" w:ascii="仿宋_GB2312" w:eastAsia="仿宋_GB2312"/>
          <w:sz w:val="32"/>
          <w:szCs w:val="32"/>
        </w:rPr>
        <w:t>个问题，财政部门高度重视，立即组织核查，制定整改方案，建立整改台账，实现立行立改，截至9月末，</w:t>
      </w:r>
      <w:r>
        <w:rPr>
          <w:rFonts w:ascii="仿宋_GB2312" w:eastAsia="仿宋_GB2312"/>
          <w:sz w:val="32"/>
          <w:szCs w:val="32"/>
        </w:rPr>
        <w:t>5</w:t>
      </w:r>
      <w:r>
        <w:rPr>
          <w:rFonts w:hint="eastAsia" w:ascii="仿宋_GB2312" w:eastAsia="仿宋_GB2312"/>
          <w:sz w:val="32"/>
          <w:szCs w:val="32"/>
        </w:rPr>
        <w:t>个问题已全部整改完毕，并制定长效机制，避免此类问题再次发生。</w:t>
      </w:r>
    </w:p>
    <w:p w14:paraId="2659B2C5">
      <w:pPr>
        <w:pStyle w:val="16"/>
      </w:pPr>
      <w:r>
        <w:rPr>
          <w:rFonts w:hint="eastAsia"/>
        </w:rPr>
        <w:t>二、2025年落实区人大决议及财政重点工作情况</w:t>
      </w:r>
    </w:p>
    <w:p w14:paraId="35DCEB36">
      <w:pPr>
        <w:topLinePunct/>
        <w:adjustRightInd w:val="0"/>
        <w:snapToGrid w:val="0"/>
        <w:spacing w:line="579" w:lineRule="exact"/>
        <w:ind w:firstLine="640" w:firstLineChars="200"/>
        <w:rPr>
          <w:rFonts w:ascii="仿宋_GB2312" w:hAnsi="仿宋_GB2312" w:eastAsia="仿宋_GB2312"/>
          <w:color w:val="FF0000"/>
          <w:sz w:val="32"/>
          <w:szCs w:val="32"/>
        </w:rPr>
      </w:pPr>
      <w:r>
        <w:rPr>
          <w:rFonts w:hint="eastAsia" w:ascii="仿宋_GB2312" w:eastAsia="仿宋_GB2312"/>
          <w:sz w:val="32"/>
          <w:szCs w:val="32"/>
        </w:rPr>
        <w:t>今年以来，财政面临的风险和挑战有增无减，困难和压力超越以往。为打好“守城”之战，我们锚定区委经济工作会议目标，聚焦资源高效配置，大力做好</w:t>
      </w:r>
      <w:r>
        <w:rPr>
          <w:rFonts w:hint="eastAsia" w:ascii="仿宋_GB2312" w:hAnsi="仿宋_GB2312" w:eastAsia="仿宋_GB2312"/>
          <w:sz w:val="32"/>
          <w:szCs w:val="32"/>
        </w:rPr>
        <w:t>稳收入、助发展、降风险、保民生、增效能等各项工作，</w:t>
      </w:r>
      <w:r>
        <w:rPr>
          <w:rFonts w:hint="eastAsia" w:ascii="仿宋_GB2312" w:eastAsia="仿宋_GB2312"/>
          <w:sz w:val="32"/>
          <w:szCs w:val="32"/>
        </w:rPr>
        <w:t>较好完成区人大三届四次会议议定的总体工作目标，全力保障我区经济社会事业平稳健康发展</w:t>
      </w:r>
      <w:r>
        <w:rPr>
          <w:rFonts w:hint="eastAsia" w:ascii="仿宋_GB2312" w:eastAsia="仿宋_GB2312"/>
        </w:rPr>
        <w:t>。</w:t>
      </w:r>
    </w:p>
    <w:p w14:paraId="678345DE">
      <w:pPr>
        <w:topLinePunct/>
        <w:adjustRightInd w:val="0"/>
        <w:snapToGrid w:val="0"/>
        <w:spacing w:line="579" w:lineRule="exact"/>
        <w:ind w:firstLine="640" w:firstLineChars="200"/>
        <w:rPr>
          <w:rFonts w:ascii="楷体_GB2312" w:eastAsia="楷体_GB2312"/>
          <w:kern w:val="0"/>
          <w:sz w:val="32"/>
          <w:szCs w:val="32"/>
        </w:rPr>
      </w:pPr>
      <w:r>
        <w:rPr>
          <w:rFonts w:hint="eastAsia" w:ascii="楷体_GB2312" w:eastAsia="楷体_GB2312"/>
          <w:kern w:val="0"/>
          <w:sz w:val="32"/>
          <w:szCs w:val="32"/>
        </w:rPr>
        <w:t>（一）坚持“稳”字当头，全力夯实财政保障基础</w:t>
      </w:r>
    </w:p>
    <w:p w14:paraId="16AFAEE3">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hAnsi="楷体_GB2312" w:eastAsia="仿宋_GB2312" w:cs="楷体_GB2312"/>
          <w:snapToGrid w:val="0"/>
          <w:sz w:val="32"/>
          <w:szCs w:val="32"/>
        </w:rPr>
        <w:t>稳收入是确保大盘平稳的前提，</w:t>
      </w:r>
      <w:r>
        <w:rPr>
          <w:rFonts w:hint="eastAsia" w:ascii="仿宋_GB2312" w:eastAsia="仿宋_GB2312"/>
          <w:sz w:val="32"/>
          <w:szCs w:val="32"/>
        </w:rPr>
        <w:t>为有效破解经济转型阵痛期收入增长难题，一年来，</w:t>
      </w:r>
      <w:r>
        <w:rPr>
          <w:rFonts w:hint="eastAsia" w:ascii="仿宋_GB2312" w:hAnsi="楷体_GB2312" w:eastAsia="仿宋_GB2312" w:cs="楷体_GB2312"/>
          <w:snapToGrid w:val="0"/>
          <w:sz w:val="32"/>
          <w:szCs w:val="32"/>
        </w:rPr>
        <w:t>我们多措并举、综合施策，全年</w:t>
      </w:r>
      <w:r>
        <w:rPr>
          <w:rFonts w:hint="eastAsia" w:ascii="仿宋_GB2312" w:eastAsia="仿宋_GB2312"/>
          <w:kern w:val="0"/>
          <w:sz w:val="32"/>
          <w:szCs w:val="32"/>
        </w:rPr>
        <w:t>收入继续稳定在百亿元以上。</w:t>
      </w:r>
    </w:p>
    <w:p w14:paraId="64D4202F">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eastAsia="仿宋_GB2312"/>
          <w:sz w:val="32"/>
          <w:szCs w:val="32"/>
        </w:rPr>
        <w:t>在存量税源中深度挖掘收入增量。</w:t>
      </w:r>
      <w:r>
        <w:rPr>
          <w:rFonts w:hint="eastAsia" w:ascii="仿宋_GB2312" w:eastAsia="仿宋_GB2312"/>
          <w:b/>
          <w:sz w:val="32"/>
          <w:szCs w:val="32"/>
        </w:rPr>
        <w:t>一是</w:t>
      </w:r>
      <w:r>
        <w:rPr>
          <w:rFonts w:hint="eastAsia" w:ascii="仿宋_GB2312" w:eastAsia="仿宋_GB2312"/>
          <w:sz w:val="32"/>
          <w:szCs w:val="32"/>
        </w:rPr>
        <w:t>深化税收大数据应用，完善重点行业、重点企业动态监控模型，追补涉股转让企业所得税</w:t>
      </w:r>
      <w:r>
        <w:rPr>
          <w:rFonts w:ascii="仿宋_GB2312" w:eastAsia="仿宋_GB2312"/>
          <w:sz w:val="32"/>
          <w:szCs w:val="32"/>
        </w:rPr>
        <w:t>4.7</w:t>
      </w:r>
      <w:r>
        <w:rPr>
          <w:rFonts w:hint="eastAsia" w:ascii="仿宋_GB2312" w:eastAsia="仿宋_GB2312"/>
          <w:sz w:val="32"/>
          <w:szCs w:val="32"/>
        </w:rPr>
        <w:t>亿元和房地产清算土地增值税</w:t>
      </w:r>
      <w:r>
        <w:rPr>
          <w:rFonts w:ascii="仿宋_GB2312" w:eastAsia="仿宋_GB2312"/>
          <w:sz w:val="32"/>
          <w:szCs w:val="32"/>
        </w:rPr>
        <w:t>5.9</w:t>
      </w:r>
      <w:r>
        <w:rPr>
          <w:rFonts w:hint="eastAsia" w:ascii="仿宋_GB2312" w:eastAsia="仿宋_GB2312"/>
          <w:sz w:val="32"/>
          <w:szCs w:val="32"/>
        </w:rPr>
        <w:t>亿元。</w:t>
      </w:r>
      <w:r>
        <w:rPr>
          <w:rFonts w:hint="eastAsia" w:ascii="仿宋_GB2312" w:hAnsi="黑体" w:eastAsia="仿宋_GB2312"/>
          <w:b/>
          <w:sz w:val="32"/>
          <w:szCs w:val="32"/>
        </w:rPr>
        <w:t>二是</w:t>
      </w:r>
      <w:r>
        <w:rPr>
          <w:rFonts w:hint="eastAsia" w:ascii="仿宋_GB2312" w:eastAsia="仿宋_GB2312"/>
          <w:sz w:val="32"/>
          <w:szCs w:val="32"/>
        </w:rPr>
        <w:t>建立行业龙头企业“一企一策”税收服务机制，通过与</w:t>
      </w:r>
      <w:r>
        <w:rPr>
          <w:rFonts w:hint="eastAsia" w:ascii="仿宋_GB2312" w:hAnsi="黑体" w:eastAsia="仿宋_GB2312"/>
          <w:sz w:val="32"/>
          <w:szCs w:val="32"/>
        </w:rPr>
        <w:t>重点销售流通企业、重点金融企业的纳税服务，增补税款</w:t>
      </w:r>
      <w:r>
        <w:rPr>
          <w:rFonts w:ascii="仿宋_GB2312" w:hAnsi="黑体" w:eastAsia="仿宋_GB2312"/>
          <w:sz w:val="32"/>
          <w:szCs w:val="32"/>
        </w:rPr>
        <w:t>1.1</w:t>
      </w:r>
      <w:r>
        <w:rPr>
          <w:rFonts w:hint="eastAsia" w:ascii="仿宋_GB2312" w:hAnsi="黑体" w:eastAsia="仿宋_GB2312"/>
          <w:sz w:val="32"/>
          <w:szCs w:val="32"/>
        </w:rPr>
        <w:t>亿元。</w:t>
      </w:r>
      <w:r>
        <w:rPr>
          <w:rFonts w:hint="eastAsia" w:ascii="仿宋_GB2312" w:hAnsi="黑体" w:eastAsia="仿宋_GB2312"/>
          <w:b/>
          <w:sz w:val="32"/>
          <w:szCs w:val="32"/>
        </w:rPr>
        <w:t>三是</w:t>
      </w:r>
      <w:r>
        <w:rPr>
          <w:rFonts w:hint="eastAsia" w:ascii="仿宋_GB2312" w:hAnsi="黑体" w:eastAsia="仿宋_GB2312"/>
          <w:sz w:val="32"/>
          <w:szCs w:val="32"/>
        </w:rPr>
        <w:t>加大欠税清缴力度，通过释放监管账户、查询账户强制扣款、强制拍卖等“组合拳”，入库税款</w:t>
      </w:r>
      <w:r>
        <w:rPr>
          <w:rFonts w:ascii="仿宋_GB2312" w:hAnsi="黑体" w:eastAsia="仿宋_GB2312"/>
          <w:sz w:val="32"/>
          <w:szCs w:val="32"/>
        </w:rPr>
        <w:t>1.3</w:t>
      </w:r>
      <w:r>
        <w:rPr>
          <w:rFonts w:hint="eastAsia" w:ascii="仿宋_GB2312" w:hAnsi="黑体" w:eastAsia="仿宋_GB2312"/>
          <w:sz w:val="32"/>
          <w:szCs w:val="32"/>
        </w:rPr>
        <w:t>亿元。</w:t>
      </w:r>
    </w:p>
    <w:p w14:paraId="736D969D">
      <w:pPr>
        <w:topLinePunct/>
        <w:adjustRightInd w:val="0"/>
        <w:snapToGrid w:val="0"/>
        <w:spacing w:line="579" w:lineRule="exact"/>
        <w:ind w:firstLine="640" w:firstLineChars="200"/>
        <w:rPr>
          <w:rFonts w:ascii="仿宋_GB2312" w:hAnsi="仿宋_GB2312" w:eastAsia="仿宋_GB2312" w:cs="仿宋_GB2312"/>
          <w:sz w:val="32"/>
          <w:szCs w:val="32"/>
        </w:rPr>
      </w:pPr>
      <w:r>
        <w:rPr>
          <w:rFonts w:hint="eastAsia" w:ascii="仿宋_GB2312" w:hAnsi="黑体" w:eastAsia="仿宋_GB2312"/>
          <w:sz w:val="32"/>
          <w:szCs w:val="32"/>
        </w:rPr>
        <w:t>持续推进国有资源资产向收入转化。建立非税收入、“三资”处置、土地出让的专班调度和区领导周例会机制，明确三级责任人，实现目标清单化、时间节点化，纳入政府督办考核项目。通过</w:t>
      </w:r>
      <w:r>
        <w:rPr>
          <w:rFonts w:hint="eastAsia" w:ascii="仿宋_GB2312" w:eastAsia="仿宋_GB2312"/>
          <w:sz w:val="32"/>
          <w:szCs w:val="32"/>
        </w:rPr>
        <w:t>转让旅游资源经营权、土地流转经营权和停车场经营权等，增加收入</w:t>
      </w:r>
      <w:r>
        <w:rPr>
          <w:rFonts w:ascii="仿宋_GB2312" w:eastAsia="仿宋_GB2312"/>
          <w:sz w:val="32"/>
          <w:szCs w:val="32"/>
        </w:rPr>
        <w:t>27</w:t>
      </w:r>
      <w:r>
        <w:rPr>
          <w:rFonts w:hint="eastAsia" w:ascii="仿宋_GB2312" w:eastAsia="仿宋_GB2312"/>
          <w:sz w:val="32"/>
          <w:szCs w:val="32"/>
        </w:rPr>
        <w:t>亿元。其中：</w:t>
      </w:r>
      <w:r>
        <w:rPr>
          <w:rFonts w:hint="eastAsia" w:ascii="仿宋_GB2312" w:hAnsi="仿宋_GB2312" w:eastAsia="仿宋_GB2312" w:cs="仿宋_GB2312"/>
          <w:sz w:val="32"/>
          <w:szCs w:val="32"/>
        </w:rPr>
        <w:t>推进棋盘山环秀湖文旅项目经营权转让，以“国资</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文旅”模式，盘活变现资源</w:t>
      </w:r>
      <w:r>
        <w:rPr>
          <w:rFonts w:ascii="仿宋_GB2312" w:hAnsi="仿宋_GB2312" w:eastAsia="仿宋_GB2312" w:cs="仿宋_GB2312"/>
          <w:sz w:val="32"/>
          <w:szCs w:val="32"/>
        </w:rPr>
        <w:t>10</w:t>
      </w:r>
      <w:r>
        <w:rPr>
          <w:rFonts w:hint="eastAsia" w:ascii="仿宋_GB2312" w:hAnsi="仿宋_GB2312" w:eastAsia="仿宋_GB2312" w:cs="仿宋_GB2312"/>
          <w:sz w:val="32"/>
          <w:szCs w:val="32"/>
        </w:rPr>
        <w:t>亿元，成为全市“以资产促产业”成功典范。</w:t>
      </w:r>
    </w:p>
    <w:p w14:paraId="6DD45518">
      <w:pPr>
        <w:topLinePunct/>
        <w:adjustRightInd w:val="0"/>
        <w:snapToGrid w:val="0"/>
        <w:spacing w:line="579" w:lineRule="exact"/>
        <w:ind w:firstLine="640" w:firstLineChars="200"/>
        <w:rPr>
          <w:rFonts w:ascii="仿宋" w:hAnsi="仿宋" w:eastAsia="仿宋" w:cs="仿宋"/>
          <w:color w:val="FF0000"/>
          <w:sz w:val="32"/>
          <w:szCs w:val="32"/>
        </w:rPr>
      </w:pPr>
      <w:r>
        <w:rPr>
          <w:rFonts w:hint="eastAsia" w:ascii="仿宋_GB2312" w:hAnsi="仿宋_GB2312" w:eastAsia="仿宋_GB2312" w:cs="仿宋_GB2312"/>
          <w:kern w:val="0"/>
          <w:sz w:val="32"/>
          <w:szCs w:val="32"/>
        </w:rPr>
        <w:t>抢抓机遇全力争取上级资金。密切关注国家支持政策，结合区内重点项目、重点产业和其他扶持扶助项目，做到提前预见、提前谋划、提前储备，抢先与上沟通，抢先申报、抢先落地，尽力争取最大额度支持我区重点领域发展。全年共</w:t>
      </w:r>
      <w:r>
        <w:rPr>
          <w:rFonts w:hint="eastAsia" w:ascii="仿宋_GB2312" w:hAnsi="仿宋_GB2312" w:eastAsia="仿宋_GB2312" w:cs="仿宋_GB2312"/>
          <w:sz w:val="32"/>
          <w:szCs w:val="32"/>
        </w:rPr>
        <w:t>争取到上级各项补助和资金支持67.7亿元，包括：重大项目建设地债26亿元，其他各项补助18.2亿元，其他专项债券23.5亿元。</w:t>
      </w:r>
    </w:p>
    <w:p w14:paraId="6E41C36D">
      <w:pPr>
        <w:topLinePunct/>
        <w:adjustRightInd w:val="0"/>
        <w:snapToGrid w:val="0"/>
        <w:spacing w:line="579" w:lineRule="exact"/>
        <w:ind w:firstLine="640" w:firstLineChars="200"/>
        <w:rPr>
          <w:rFonts w:ascii="楷体_GB2312" w:eastAsia="楷体_GB2312"/>
          <w:kern w:val="0"/>
          <w:sz w:val="32"/>
          <w:szCs w:val="32"/>
        </w:rPr>
      </w:pPr>
      <w:r>
        <w:rPr>
          <w:rFonts w:hint="eastAsia" w:ascii="楷体_GB2312" w:eastAsia="楷体_GB2312"/>
          <w:kern w:val="0"/>
          <w:sz w:val="32"/>
          <w:szCs w:val="32"/>
        </w:rPr>
        <w:t>（二）坚持“助”字蓄能，大力实施政策撬动引导</w:t>
      </w:r>
    </w:p>
    <w:p w14:paraId="5D81DF06">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一年来，我们充分利用政策“工具箱”，将着力点放在激发活力、提振信心、扩大内需、提升服务上，积极主动作为，助力经济发展，为经济社会高质量发展蓄积强劲动能。</w:t>
      </w:r>
    </w:p>
    <w:p w14:paraId="62CFFC86">
      <w:pPr>
        <w:topLinePunct/>
        <w:adjustRightInd w:val="0"/>
        <w:snapToGrid w:val="0"/>
        <w:spacing w:line="579" w:lineRule="exact"/>
        <w:ind w:firstLine="640" w:firstLineChars="200"/>
        <w:rPr>
          <w:rFonts w:ascii="仿宋_GB2312" w:hAnsi="黑体" w:eastAsia="仿宋_GB2312"/>
          <w:color w:val="FF0000"/>
          <w:sz w:val="32"/>
          <w:szCs w:val="32"/>
        </w:rPr>
      </w:pPr>
      <w:r>
        <w:rPr>
          <w:rFonts w:hint="eastAsia" w:ascii="仿宋_GB2312" w:hAnsi="黑体" w:eastAsia="仿宋_GB2312"/>
          <w:sz w:val="32"/>
          <w:szCs w:val="32"/>
        </w:rPr>
        <w:t>聚焦实体经济，全面落实减税降费政策。重点支持科技创新、制造业转型升级和中小微企业发展，巩固政策成效，激发市场活力，全年减税降费超过</w:t>
      </w:r>
      <w:r>
        <w:rPr>
          <w:rFonts w:ascii="仿宋_GB2312" w:hAnsi="黑体" w:eastAsia="仿宋_GB2312"/>
          <w:sz w:val="32"/>
          <w:szCs w:val="32"/>
        </w:rPr>
        <w:t>70</w:t>
      </w:r>
      <w:r>
        <w:rPr>
          <w:rFonts w:hint="eastAsia" w:ascii="仿宋_GB2312" w:hAnsi="黑体" w:eastAsia="仿宋_GB2312"/>
          <w:sz w:val="32"/>
          <w:szCs w:val="32"/>
        </w:rPr>
        <w:t>亿元，切实为企业减负增效，为企业降本纾困、加快产业升级增添动力。</w:t>
      </w:r>
    </w:p>
    <w:p w14:paraId="6A3EBA7E">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聚焦消费潜力，全面落实扩大内需政策。继续兑现购房补贴4279万元，推动房地产行业健康回暖。拨付京东手机及平板电脑类线上产品以旧换新等活动补贴</w:t>
      </w:r>
      <w:r>
        <w:rPr>
          <w:rFonts w:ascii="仿宋_GB2312" w:hAnsi="黑体" w:eastAsia="仿宋_GB2312"/>
          <w:sz w:val="32"/>
          <w:szCs w:val="32"/>
        </w:rPr>
        <w:t>4000</w:t>
      </w:r>
      <w:r>
        <w:rPr>
          <w:rFonts w:hint="eastAsia" w:ascii="仿宋_GB2312" w:hAnsi="黑体" w:eastAsia="仿宋_GB2312"/>
          <w:sz w:val="32"/>
          <w:szCs w:val="32"/>
        </w:rPr>
        <w:t>万元，带动“双十一”线上消费，发挥政府补贴的乘数效应和引导作用。</w:t>
      </w:r>
    </w:p>
    <w:p w14:paraId="4B0D7633">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聚焦科技战略，全面落实科技成果转化政策。以科技创新推动中国式现代化，投入5000万元支持</w:t>
      </w:r>
      <w:r>
        <w:rPr>
          <w:rFonts w:hint="eastAsia" w:ascii="仿宋_GB2312" w:hAnsi="楷体_GB2312" w:eastAsia="仿宋_GB2312" w:cs="楷体_GB2312"/>
          <w:bCs/>
          <w:sz w:val="32"/>
          <w:szCs w:val="32"/>
        </w:rPr>
        <w:t>“新东拓</w:t>
      </w:r>
      <w:r>
        <w:rPr>
          <w:rFonts w:ascii="仿宋_GB2312" w:hAnsi="楷体_GB2312" w:eastAsia="仿宋_GB2312" w:cs="楷体_GB2312"/>
          <w:bCs/>
          <w:sz w:val="32"/>
          <w:szCs w:val="32"/>
        </w:rPr>
        <w:t>+</w:t>
      </w:r>
      <w:r>
        <w:rPr>
          <w:rFonts w:hint="eastAsia" w:ascii="仿宋_GB2312" w:hAnsi="楷体_GB2312" w:eastAsia="仿宋_GB2312" w:cs="楷体_GB2312"/>
          <w:bCs/>
          <w:sz w:val="32"/>
          <w:szCs w:val="32"/>
        </w:rPr>
        <w:t>”科技成果转化行动，</w:t>
      </w:r>
      <w:r>
        <w:rPr>
          <w:rFonts w:hint="eastAsia" w:ascii="仿宋_GB2312" w:hAnsi="仿宋_GB2312" w:eastAsia="仿宋_GB2312" w:cs="仿宋_GB2312"/>
          <w:sz w:val="32"/>
          <w:szCs w:val="32"/>
        </w:rPr>
        <w:t>签约落地项目</w:t>
      </w:r>
      <w:r>
        <w:rPr>
          <w:rFonts w:ascii="仿宋_GB2312" w:hAnsi="仿宋_GB2312" w:eastAsia="仿宋_GB2312" w:cs="仿宋_GB2312"/>
          <w:sz w:val="32"/>
          <w:szCs w:val="32"/>
        </w:rPr>
        <w:t>77</w:t>
      </w:r>
      <w:r>
        <w:rPr>
          <w:rFonts w:hint="eastAsia" w:ascii="仿宋_GB2312" w:hAnsi="仿宋_GB2312" w:eastAsia="仿宋_GB2312" w:cs="仿宋_GB2312"/>
          <w:sz w:val="32"/>
          <w:szCs w:val="32"/>
        </w:rPr>
        <w:t>个</w:t>
      </w:r>
      <w:r>
        <w:rPr>
          <w:rFonts w:hint="eastAsia" w:ascii="仿宋_GB2312" w:hAnsi="黑体" w:eastAsia="仿宋_GB2312"/>
          <w:sz w:val="32"/>
          <w:szCs w:val="32"/>
        </w:rPr>
        <w:t>，</w:t>
      </w:r>
      <w:r>
        <w:rPr>
          <w:rFonts w:hint="eastAsia" w:ascii="仿宋_GB2312" w:hAnsi="仿宋_GB2312" w:eastAsia="仿宋_GB2312" w:cs="仿宋_GB2312"/>
          <w:sz w:val="32"/>
          <w:szCs w:val="32"/>
        </w:rPr>
        <w:t>提振科技兴国信心，</w:t>
      </w:r>
      <w:r>
        <w:rPr>
          <w:rFonts w:hint="eastAsia" w:ascii="仿宋_GB2312" w:hAnsi="黑体" w:eastAsia="仿宋_GB2312"/>
          <w:sz w:val="32"/>
          <w:szCs w:val="32"/>
        </w:rPr>
        <w:t>为长远发展积蓄了坚实的产业基础和创新动能。</w:t>
      </w:r>
    </w:p>
    <w:p w14:paraId="3D99803A">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聚焦筑巢引凤，全面落实投资拉动经济政策。争取政府专项债券资金</w:t>
      </w:r>
      <w:r>
        <w:rPr>
          <w:rFonts w:ascii="仿宋_GB2312" w:hAnsi="黑体" w:eastAsia="仿宋_GB2312"/>
          <w:sz w:val="32"/>
          <w:szCs w:val="32"/>
        </w:rPr>
        <w:t>31.2</w:t>
      </w:r>
      <w:r>
        <w:rPr>
          <w:rFonts w:hint="eastAsia" w:ascii="仿宋_GB2312" w:hAnsi="黑体" w:eastAsia="仿宋_GB2312"/>
          <w:sz w:val="32"/>
          <w:szCs w:val="32"/>
        </w:rPr>
        <w:t>亿元，投向王家湾冬运会冰上项目运动中心、科技城孵化器等重大项目、重大基础设施建设，有效带动了上下游产业链发展和周边实体经济进驻。</w:t>
      </w:r>
    </w:p>
    <w:p w14:paraId="37B23A1E">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聚焦营商环境，全面落实政府清欠账款政策。争取和使用新增地债5.3亿元，全部用于</w:t>
      </w:r>
      <w:r>
        <w:rPr>
          <w:rFonts w:hint="eastAsia" w:ascii="仿宋_GB2312" w:hAnsi="仿宋" w:eastAsia="仿宋_GB2312" w:cs="仿宋"/>
          <w:sz w:val="32"/>
          <w:szCs w:val="32"/>
        </w:rPr>
        <w:t>偿还政府拖欠账款，涉及企业2000余家，在优化营商环境的同时，释放财政资金进入生产资料和居民消费领域，激发经济内循环。</w:t>
      </w:r>
    </w:p>
    <w:p w14:paraId="35CE1995">
      <w:pPr>
        <w:topLinePunct/>
        <w:adjustRightInd w:val="0"/>
        <w:snapToGrid w:val="0"/>
        <w:spacing w:line="579" w:lineRule="exact"/>
        <w:ind w:firstLine="640" w:firstLineChars="200"/>
        <w:rPr>
          <w:rFonts w:ascii="楷体_GB2312" w:eastAsia="楷体_GB2312"/>
          <w:kern w:val="0"/>
          <w:sz w:val="32"/>
          <w:szCs w:val="32"/>
        </w:rPr>
      </w:pPr>
      <w:r>
        <w:rPr>
          <w:rFonts w:hint="eastAsia" w:ascii="楷体_GB2312" w:eastAsia="楷体_GB2312"/>
          <w:kern w:val="0"/>
          <w:sz w:val="32"/>
          <w:szCs w:val="32"/>
        </w:rPr>
        <w:t>（三）坚持“降”字为主，努力减少财政风险隐患</w:t>
      </w:r>
    </w:p>
    <w:p w14:paraId="03E873DB">
      <w:pPr>
        <w:topLinePunct/>
        <w:adjustRightInd w:val="0"/>
        <w:snapToGrid w:val="0"/>
        <w:spacing w:line="579"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一年来，为应对各种风险隐患，财政在做好守底线“防御战”的同时，坚决打好降风险“歼灭战”，攻守结合，推进财政降险减负，实现风险总体可控。</w:t>
      </w:r>
    </w:p>
    <w:p w14:paraId="0FED42BA">
      <w:pPr>
        <w:topLinePunct/>
        <w:adjustRightInd w:val="0"/>
        <w:snapToGrid w:val="0"/>
        <w:spacing w:line="579" w:lineRule="exact"/>
        <w:ind w:firstLine="640" w:firstLineChars="200"/>
        <w:rPr>
          <w:rFonts w:ascii="仿宋_GB2312" w:hAnsi="仿宋_GB2312" w:eastAsia="仿宋_GB2312" w:cs="仿宋_GB2312"/>
          <w:kern w:val="0"/>
          <w:sz w:val="32"/>
          <w:szCs w:val="32"/>
          <w:u w:val="single"/>
        </w:rPr>
      </w:pPr>
      <w:r>
        <w:rPr>
          <w:rFonts w:hint="eastAsia" w:ascii="仿宋_GB2312" w:hAnsi="仿宋_GB2312" w:eastAsia="仿宋_GB2312" w:cs="仿宋_GB2312"/>
          <w:kern w:val="0"/>
          <w:sz w:val="32"/>
          <w:szCs w:val="32"/>
        </w:rPr>
        <w:t>在降低债务风险上守底线、减存量、降成本。</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坚决“守住”法定债务限额底线，严控新增隐性债务，建立全口径、动态化债务监测预警机制。</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通过安排预算资金、盘活存量资产、压减非急需支出等方式，降低存量金融债务负担，全年</w:t>
      </w:r>
      <w:r>
        <w:rPr>
          <w:rFonts w:hint="eastAsia" w:ascii="仿宋_GB2312" w:hAnsi="仿宋_GB2312" w:eastAsia="仿宋_GB2312" w:cs="仿宋_GB2312"/>
          <w:sz w:val="32"/>
          <w:szCs w:val="32"/>
        </w:rPr>
        <w:t>偿还到期债务本息</w:t>
      </w:r>
      <w:r>
        <w:rPr>
          <w:rFonts w:ascii="仿宋_GB2312" w:hAnsi="仿宋_GB2312" w:eastAsia="仿宋_GB2312" w:cs="仿宋_GB2312"/>
          <w:sz w:val="32"/>
          <w:szCs w:val="32"/>
        </w:rPr>
        <w:t>28.3</w:t>
      </w:r>
      <w:r>
        <w:rPr>
          <w:rFonts w:hint="eastAsia" w:ascii="仿宋_GB2312" w:hAnsi="仿宋_GB2312" w:eastAsia="仿宋_GB2312" w:cs="仿宋_GB2312"/>
          <w:sz w:val="32"/>
          <w:szCs w:val="32"/>
        </w:rPr>
        <w:t>亿元。</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继续优化债务结构，降低债务成本，全年争取</w:t>
      </w:r>
      <w:r>
        <w:rPr>
          <w:rFonts w:hint="eastAsia" w:ascii="仿宋_GB2312" w:hAnsi="仿宋_GB2312" w:eastAsia="仿宋_GB2312" w:cs="仿宋_GB2312"/>
          <w:sz w:val="32"/>
          <w:szCs w:val="32"/>
        </w:rPr>
        <w:t>再融资债券资金</w:t>
      </w:r>
      <w:r>
        <w:rPr>
          <w:rFonts w:ascii="仿宋_GB2312" w:hAnsi="仿宋_GB2312" w:eastAsia="仿宋_GB2312" w:cs="仿宋_GB2312"/>
          <w:sz w:val="32"/>
          <w:szCs w:val="32"/>
        </w:rPr>
        <w:t>16</w:t>
      </w:r>
      <w:r>
        <w:rPr>
          <w:rFonts w:hint="eastAsia" w:ascii="仿宋_GB2312" w:hAnsi="仿宋_GB2312" w:eastAsia="仿宋_GB2312" w:cs="仿宋_GB2312"/>
          <w:sz w:val="32"/>
          <w:szCs w:val="32"/>
        </w:rPr>
        <w:t>亿元，全部用于置换隐性债务，每年</w:t>
      </w:r>
      <w:r>
        <w:rPr>
          <w:rFonts w:hint="eastAsia" w:ascii="仿宋_GB2312" w:hAnsi="仿宋_GB2312" w:eastAsia="仿宋_GB2312" w:cs="仿宋_GB2312"/>
          <w:kern w:val="0"/>
          <w:sz w:val="32"/>
          <w:szCs w:val="32"/>
        </w:rPr>
        <w:t>有效节约利息成本</w:t>
      </w:r>
      <w:r>
        <w:rPr>
          <w:rFonts w:ascii="仿宋_GB2312" w:hAnsi="仿宋_GB2312" w:eastAsia="仿宋_GB2312" w:cs="仿宋_GB2312"/>
          <w:kern w:val="0"/>
          <w:sz w:val="32"/>
          <w:szCs w:val="32"/>
        </w:rPr>
        <w:t>1300</w:t>
      </w:r>
      <w:r>
        <w:rPr>
          <w:rFonts w:hint="eastAsia" w:ascii="仿宋_GB2312" w:hAnsi="仿宋_GB2312" w:eastAsia="仿宋_GB2312" w:cs="仿宋_GB2312"/>
          <w:kern w:val="0"/>
          <w:sz w:val="32"/>
          <w:szCs w:val="32"/>
        </w:rPr>
        <w:t>万元。</w:t>
      </w:r>
    </w:p>
    <w:p w14:paraId="4159C395">
      <w:pPr>
        <w:topLinePunct/>
        <w:adjustRightInd w:val="0"/>
        <w:snapToGrid w:val="0"/>
        <w:spacing w:line="579" w:lineRule="exact"/>
        <w:ind w:firstLine="640" w:firstLineChars="200"/>
        <w:rPr>
          <w:rFonts w:ascii="仿宋_GB2312" w:hAnsi="仿宋_GB2312" w:eastAsia="仿宋_GB2312" w:cs="仿宋_GB2312"/>
          <w:bCs/>
          <w:sz w:val="32"/>
          <w:szCs w:val="32"/>
        </w:rPr>
      </w:pPr>
      <w:r>
        <w:rPr>
          <w:rFonts w:hint="eastAsia" w:ascii="仿宋_GB2312" w:hAnsi="仿宋_GB2312" w:eastAsia="仿宋_GB2312" w:cs="仿宋_GB2312"/>
          <w:kern w:val="0"/>
          <w:sz w:val="32"/>
          <w:szCs w:val="32"/>
        </w:rPr>
        <w:t>在降低运行风险上守约束、建机制、降无序。</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严格守住预算约束红线，坚持“无预算、不支出”，从源头上规避支付危机。</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编制《浑南区</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年兜牢“三保”底线确保财政平稳运行工作方案》、《浑南区</w:t>
      </w:r>
      <w:r>
        <w:rPr>
          <w:rFonts w:ascii="仿宋_GB2312" w:hAnsi="仿宋_GB2312" w:eastAsia="仿宋_GB2312" w:cs="仿宋_GB2312"/>
          <w:kern w:val="0"/>
          <w:sz w:val="32"/>
          <w:szCs w:val="32"/>
        </w:rPr>
        <w:t>2025</w:t>
      </w:r>
      <w:r>
        <w:rPr>
          <w:rFonts w:hint="eastAsia" w:ascii="仿宋_GB2312" w:hAnsi="仿宋_GB2312" w:eastAsia="仿宋_GB2312" w:cs="仿宋_GB2312"/>
          <w:kern w:val="0"/>
          <w:sz w:val="32"/>
          <w:szCs w:val="32"/>
        </w:rPr>
        <w:t>年“三保”风险防控应急处置预案》，从制度上</w:t>
      </w:r>
      <w:r>
        <w:rPr>
          <w:rFonts w:hint="eastAsia" w:ascii="仿宋_GB2312" w:hAnsi="仿宋_GB2312" w:eastAsia="仿宋_GB2312" w:cs="仿宋_GB2312"/>
          <w:kern w:val="0"/>
          <w:sz w:val="32"/>
          <w:szCs w:val="32"/>
          <w:lang w:eastAsia="zh-CN"/>
        </w:rPr>
        <w:t>防患于未然</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bCs/>
          <w:sz w:val="32"/>
          <w:szCs w:val="32"/>
        </w:rPr>
        <w:t>建立支出“必保清单”，将“三保”等刚性支出逐项纳入清单目录，实现“预算优先安排、资金优先保障、工作优先调度”的“三优先”，降低基本运行出现支付风险。</w:t>
      </w:r>
    </w:p>
    <w:p w14:paraId="1D6062DB">
      <w:pPr>
        <w:topLinePunct/>
        <w:adjustRightInd w:val="0"/>
        <w:snapToGrid w:val="0"/>
        <w:spacing w:line="579" w:lineRule="exact"/>
        <w:ind w:firstLine="640" w:firstLineChars="200"/>
        <w:rPr>
          <w:rFonts w:ascii="仿宋_GB2312" w:hAnsi="黑体" w:eastAsia="仿宋_GB2312" w:cs="仿宋_GB2312"/>
          <w:bCs/>
          <w:sz w:val="32"/>
          <w:szCs w:val="32"/>
        </w:rPr>
      </w:pPr>
      <w:r>
        <w:rPr>
          <w:rFonts w:hint="eastAsia" w:ascii="仿宋_GB2312" w:hAnsi="仿宋_GB2312" w:eastAsia="仿宋_GB2312" w:cs="仿宋_GB2312"/>
          <w:kern w:val="0"/>
          <w:sz w:val="32"/>
          <w:szCs w:val="32"/>
        </w:rPr>
        <w:t>在降低资金风险上守规程、强监管、降沉淀。</w:t>
      </w:r>
      <w:r>
        <w:rPr>
          <w:rFonts w:hint="eastAsia" w:ascii="仿宋_GB2312" w:hAnsi="仿宋_GB2312" w:eastAsia="仿宋_GB2312" w:cs="仿宋_GB2312"/>
          <w:b/>
          <w:kern w:val="0"/>
          <w:sz w:val="32"/>
          <w:szCs w:val="32"/>
        </w:rPr>
        <w:t>一是</w:t>
      </w:r>
      <w:r>
        <w:rPr>
          <w:rFonts w:hint="eastAsia" w:ascii="仿宋_GB2312" w:hAnsi="仿宋_GB2312" w:eastAsia="仿宋_GB2312" w:cs="仿宋_GB2312"/>
          <w:kern w:val="0"/>
          <w:sz w:val="32"/>
          <w:szCs w:val="32"/>
        </w:rPr>
        <w:t>全面守住资金安全防线，依托预算管理一体化系统，对资金分配、拨付、使用进行全流程电子监控、预警和智能拦截。</w:t>
      </w:r>
      <w:r>
        <w:rPr>
          <w:rFonts w:hint="eastAsia" w:ascii="仿宋_GB2312" w:hAnsi="仿宋_GB2312" w:eastAsia="仿宋_GB2312" w:cs="仿宋_GB2312"/>
          <w:b/>
          <w:kern w:val="0"/>
          <w:sz w:val="32"/>
          <w:szCs w:val="32"/>
        </w:rPr>
        <w:t>二是</w:t>
      </w:r>
      <w:r>
        <w:rPr>
          <w:rFonts w:hint="eastAsia" w:ascii="仿宋_GB2312" w:hAnsi="仿宋_GB2312" w:eastAsia="仿宋_GB2312" w:cs="仿宋_GB2312"/>
          <w:kern w:val="0"/>
          <w:sz w:val="32"/>
          <w:szCs w:val="32"/>
        </w:rPr>
        <w:t>强化国库现金和专项资金监管，加强库款资金预判，建立局领导日报、区领导周报、收支计划月报的报表体系，提升监管强度和决策精度。</w:t>
      </w:r>
      <w:r>
        <w:rPr>
          <w:rFonts w:hint="eastAsia" w:ascii="仿宋_GB2312" w:hAnsi="仿宋_GB2312" w:eastAsia="仿宋_GB2312" w:cs="仿宋_GB2312"/>
          <w:b/>
          <w:kern w:val="0"/>
          <w:sz w:val="32"/>
          <w:szCs w:val="32"/>
        </w:rPr>
        <w:t>三是</w:t>
      </w:r>
      <w:r>
        <w:rPr>
          <w:rFonts w:hint="eastAsia" w:ascii="仿宋_GB2312" w:hAnsi="仿宋_GB2312" w:eastAsia="仿宋_GB2312" w:cs="仿宋_GB2312"/>
          <w:kern w:val="0"/>
          <w:sz w:val="32"/>
          <w:szCs w:val="32"/>
        </w:rPr>
        <w:t>持续降低资金的闲置沉淀，常态化清理整合各类财政存量资金和闲置指标，收回闲置资金2.2亿元，</w:t>
      </w:r>
      <w:r>
        <w:rPr>
          <w:rFonts w:hint="eastAsia" w:ascii="仿宋_GB2312" w:hAnsi="仿宋_GB2312" w:eastAsia="仿宋_GB2312" w:cs="仿宋_GB2312"/>
          <w:bCs/>
          <w:sz w:val="32"/>
          <w:szCs w:val="32"/>
        </w:rPr>
        <w:t>对下达到部门超过五个月未使用的额度，冻结收回。</w:t>
      </w:r>
    </w:p>
    <w:p w14:paraId="56BCECBA">
      <w:pPr>
        <w:topLinePunct/>
        <w:adjustRightInd w:val="0"/>
        <w:snapToGrid w:val="0"/>
        <w:spacing w:line="579" w:lineRule="exact"/>
        <w:ind w:firstLine="640" w:firstLineChars="200"/>
        <w:rPr>
          <w:rFonts w:ascii="楷体_GB2312" w:eastAsia="楷体_GB2312"/>
          <w:kern w:val="0"/>
          <w:sz w:val="32"/>
          <w:szCs w:val="32"/>
          <w:u w:val="single"/>
        </w:rPr>
      </w:pPr>
      <w:r>
        <w:rPr>
          <w:rFonts w:hint="eastAsia" w:ascii="楷体_GB2312" w:eastAsia="楷体_GB2312"/>
          <w:kern w:val="0"/>
          <w:sz w:val="32"/>
          <w:szCs w:val="32"/>
        </w:rPr>
        <w:t>（四）坚持“保”字筑底，统筹兼顾增进民生福祉</w:t>
      </w:r>
    </w:p>
    <w:p w14:paraId="01574281">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一年来，我们始终坚持以民为本，持续加大基础性、兜底性民生投入，</w:t>
      </w:r>
      <w:r>
        <w:rPr>
          <w:rFonts w:hint="eastAsia" w:ascii="仿宋_GB2312" w:hAnsi="仿宋" w:eastAsia="仿宋_GB2312"/>
          <w:sz w:val="32"/>
          <w:szCs w:val="32"/>
        </w:rPr>
        <w:t>尽力而为、量力而行，</w:t>
      </w:r>
      <w:r>
        <w:rPr>
          <w:rFonts w:hint="eastAsia" w:ascii="仿宋_GB2312" w:eastAsia="仿宋_GB2312"/>
          <w:sz w:val="32"/>
          <w:szCs w:val="32"/>
        </w:rPr>
        <w:t>织密扎牢民生保障网，民生投入占一般公共预算支出</w:t>
      </w:r>
      <w:r>
        <w:rPr>
          <w:rFonts w:ascii="仿宋_GB2312" w:eastAsia="仿宋_GB2312"/>
          <w:sz w:val="32"/>
          <w:szCs w:val="32"/>
        </w:rPr>
        <w:t>7</w:t>
      </w:r>
      <w:r>
        <w:rPr>
          <w:rFonts w:hint="eastAsia" w:ascii="仿宋_GB2312" w:eastAsia="仿宋_GB2312"/>
          <w:sz w:val="32"/>
          <w:szCs w:val="32"/>
        </w:rPr>
        <w:t>5</w:t>
      </w:r>
      <w:r>
        <w:rPr>
          <w:rFonts w:ascii="仿宋_GB2312" w:eastAsia="仿宋_GB2312"/>
          <w:sz w:val="32"/>
          <w:szCs w:val="32"/>
        </w:rPr>
        <w:t>%</w:t>
      </w:r>
      <w:r>
        <w:rPr>
          <w:rFonts w:hint="eastAsia" w:ascii="仿宋_GB2312" w:eastAsia="仿宋_GB2312"/>
          <w:sz w:val="32"/>
          <w:szCs w:val="32"/>
        </w:rPr>
        <w:t>以上。</w:t>
      </w:r>
    </w:p>
    <w:p w14:paraId="53A8ADA4">
      <w:pPr>
        <w:topLinePunct/>
        <w:adjustRightInd w:val="0"/>
        <w:snapToGrid w:val="0"/>
        <w:spacing w:line="579" w:lineRule="exact"/>
        <w:ind w:firstLine="640" w:firstLineChars="200"/>
        <w:rPr>
          <w:rFonts w:ascii="仿宋_GB2312" w:eastAsia="仿宋_GB2312" w:cs="宋体"/>
          <w:sz w:val="32"/>
          <w:szCs w:val="32"/>
        </w:rPr>
      </w:pPr>
      <w:r>
        <w:rPr>
          <w:rFonts w:hint="eastAsia" w:ascii="仿宋_GB2312" w:eastAsia="仿宋_GB2312" w:cs="宋体"/>
          <w:sz w:val="32"/>
          <w:szCs w:val="32"/>
        </w:rPr>
        <w:t>支持就业优先政策和人才引进战略，全年拨付就业补助资金4183万元。</w:t>
      </w:r>
      <w:r>
        <w:rPr>
          <w:rFonts w:hint="eastAsia" w:ascii="仿宋_GB2312" w:hAnsi="仿宋_GB2312" w:eastAsia="仿宋_GB2312" w:cs="仿宋_GB2312"/>
          <w:sz w:val="32"/>
          <w:szCs w:val="32"/>
        </w:rPr>
        <w:t>发放创业担保贷款</w:t>
      </w:r>
      <w:r>
        <w:rPr>
          <w:rFonts w:ascii="仿宋_GB2312" w:hAnsi="仿宋_GB2312" w:eastAsia="仿宋_GB2312" w:cs="仿宋_GB2312"/>
          <w:sz w:val="32"/>
          <w:szCs w:val="32"/>
        </w:rPr>
        <w:t>7000</w:t>
      </w:r>
      <w:r>
        <w:rPr>
          <w:rFonts w:hint="eastAsia" w:ascii="仿宋_GB2312" w:hAnsi="仿宋_GB2312" w:eastAsia="仿宋_GB2312" w:cs="仿宋_GB2312"/>
          <w:sz w:val="32"/>
          <w:szCs w:val="32"/>
        </w:rPr>
        <w:t>万元，带动就业</w:t>
      </w:r>
      <w:r>
        <w:rPr>
          <w:rFonts w:ascii="仿宋_GB2312" w:hAnsi="仿宋_GB2312" w:eastAsia="仿宋_GB2312" w:cs="仿宋_GB2312"/>
          <w:sz w:val="32"/>
          <w:szCs w:val="32"/>
        </w:rPr>
        <w:t>2800</w:t>
      </w:r>
      <w:r>
        <w:rPr>
          <w:rFonts w:hint="eastAsia" w:ascii="仿宋_GB2312" w:hAnsi="仿宋_GB2312" w:eastAsia="仿宋_GB2312" w:cs="仿宋_GB2312"/>
          <w:sz w:val="32"/>
          <w:szCs w:val="32"/>
        </w:rPr>
        <w:t>人。发放各类补贴约</w:t>
      </w:r>
      <w:r>
        <w:rPr>
          <w:rFonts w:ascii="仿宋_GB2312" w:hAnsi="仿宋_GB2312" w:eastAsia="仿宋_GB2312" w:cs="仿宋_GB2312"/>
          <w:sz w:val="32"/>
          <w:szCs w:val="32"/>
        </w:rPr>
        <w:t>9000</w:t>
      </w:r>
      <w:r>
        <w:rPr>
          <w:rFonts w:hint="eastAsia" w:ascii="仿宋_GB2312" w:hAnsi="仿宋_GB2312" w:eastAsia="仿宋_GB2312" w:cs="仿宋_GB2312"/>
          <w:sz w:val="32"/>
          <w:szCs w:val="32"/>
        </w:rPr>
        <w:t>余万元，吸引1.5万余名高校毕业生留沈就业。</w:t>
      </w:r>
    </w:p>
    <w:p w14:paraId="0541A89C">
      <w:pPr>
        <w:topLinePunct/>
        <w:adjustRightInd w:val="0"/>
        <w:snapToGrid w:val="0"/>
        <w:spacing w:line="579" w:lineRule="exact"/>
        <w:ind w:firstLine="640" w:firstLineChars="200"/>
        <w:rPr>
          <w:rFonts w:ascii="仿宋_GB2312" w:hAnsi="仿宋_GB2312" w:eastAsia="仿宋_GB2312" w:cs="仿宋_GB2312"/>
          <w:sz w:val="32"/>
          <w:szCs w:val="32"/>
        </w:rPr>
      </w:pPr>
      <w:r>
        <w:rPr>
          <w:rFonts w:hint="eastAsia" w:ascii="仿宋_GB2312" w:eastAsia="仿宋_GB2312"/>
          <w:sz w:val="32"/>
          <w:szCs w:val="32"/>
        </w:rPr>
        <w:t>继续加大财政教育投入，全年教育支出8亿元，扣除上年一次性因素，增长14.3</w:t>
      </w:r>
      <w:r>
        <w:rPr>
          <w:rFonts w:ascii="仿宋_GB2312" w:eastAsia="仿宋_GB2312"/>
          <w:sz w:val="32"/>
          <w:szCs w:val="32"/>
        </w:rPr>
        <w:t>%</w:t>
      </w:r>
      <w:r>
        <w:rPr>
          <w:rFonts w:hint="eastAsia" w:ascii="仿宋_GB2312" w:eastAsia="仿宋_GB2312"/>
          <w:sz w:val="32"/>
          <w:szCs w:val="32"/>
        </w:rPr>
        <w:t>。支持教育资源扩容发展，投入1.2亿元，保障东北育才浑南科技城学校、</w:t>
      </w:r>
      <w:r>
        <w:rPr>
          <w:rFonts w:hint="eastAsia" w:ascii="仿宋_GB2312" w:hAnsi="仿宋_GB2312" w:eastAsia="仿宋_GB2312" w:cs="仿宋_GB2312"/>
          <w:sz w:val="32"/>
          <w:szCs w:val="32"/>
        </w:rPr>
        <w:t>东北大学附属小学如期开学，全年新增教师</w:t>
      </w:r>
      <w:r>
        <w:rPr>
          <w:rFonts w:ascii="仿宋_GB2312" w:hAnsi="仿宋_GB2312" w:eastAsia="仿宋_GB2312" w:cs="仿宋_GB2312"/>
          <w:sz w:val="32"/>
          <w:szCs w:val="32"/>
        </w:rPr>
        <w:t>230</w:t>
      </w:r>
      <w:r>
        <w:rPr>
          <w:rFonts w:hint="eastAsia" w:ascii="仿宋_GB2312" w:hAnsi="仿宋_GB2312" w:eastAsia="仿宋_GB2312" w:cs="仿宋_GB2312"/>
          <w:sz w:val="32"/>
          <w:szCs w:val="32"/>
        </w:rPr>
        <w:t>名，新增学位</w:t>
      </w:r>
      <w:r>
        <w:rPr>
          <w:rFonts w:ascii="仿宋_GB2312" w:hAnsi="仿宋_GB2312" w:eastAsia="仿宋_GB2312" w:cs="仿宋_GB2312"/>
          <w:sz w:val="32"/>
          <w:szCs w:val="32"/>
        </w:rPr>
        <w:t>4170</w:t>
      </w:r>
      <w:r>
        <w:rPr>
          <w:rFonts w:hint="eastAsia" w:ascii="仿宋_GB2312" w:hAnsi="仿宋_GB2312" w:eastAsia="仿宋_GB2312" w:cs="仿宋_GB2312"/>
          <w:sz w:val="32"/>
          <w:szCs w:val="32"/>
        </w:rPr>
        <w:t>个，优质初中生源回流，带动</w:t>
      </w:r>
      <w:r>
        <w:rPr>
          <w:rFonts w:hint="eastAsia" w:ascii="仿宋_GB2312" w:eastAsia="仿宋_GB2312"/>
          <w:sz w:val="32"/>
          <w:szCs w:val="32"/>
        </w:rPr>
        <w:t>教育优质均衡发展。</w:t>
      </w:r>
    </w:p>
    <w:p w14:paraId="1B94ACAB">
      <w:pPr>
        <w:topLinePunct/>
        <w:adjustRightInd w:val="0"/>
        <w:snapToGrid w:val="0"/>
        <w:spacing w:line="579" w:lineRule="exact"/>
        <w:ind w:firstLine="640" w:firstLineChars="200"/>
        <w:rPr>
          <w:rFonts w:ascii="仿宋_GB2312" w:eastAsia="仿宋_GB2312" w:cs="宋体"/>
          <w:sz w:val="32"/>
          <w:szCs w:val="32"/>
        </w:rPr>
      </w:pPr>
      <w:r>
        <w:rPr>
          <w:rFonts w:hint="eastAsia" w:ascii="仿宋_GB2312" w:eastAsia="仿宋_GB2312"/>
          <w:sz w:val="32"/>
          <w:szCs w:val="32"/>
        </w:rPr>
        <w:t>支持医疗卫生服务能力提升，</w:t>
      </w:r>
      <w:r>
        <w:rPr>
          <w:rFonts w:hint="eastAsia" w:ascii="仿宋_GB2312" w:eastAsia="仿宋_GB2312" w:cs="宋体"/>
          <w:sz w:val="32"/>
          <w:szCs w:val="32"/>
        </w:rPr>
        <w:t>全年医疗卫生支出2.4亿元，增长2.7</w:t>
      </w:r>
      <w:r>
        <w:rPr>
          <w:rFonts w:ascii="仿宋_GB2312" w:eastAsia="仿宋_GB2312" w:cs="宋体"/>
          <w:sz w:val="32"/>
          <w:szCs w:val="32"/>
        </w:rPr>
        <w:t>%</w:t>
      </w:r>
      <w:r>
        <w:rPr>
          <w:rFonts w:hint="eastAsia" w:ascii="仿宋_GB2312" w:eastAsia="仿宋_GB2312" w:cs="宋体"/>
          <w:sz w:val="32"/>
          <w:szCs w:val="32"/>
        </w:rPr>
        <w:t>。</w:t>
      </w:r>
      <w:r>
        <w:rPr>
          <w:rFonts w:hint="eastAsia" w:ascii="仿宋_GB2312" w:eastAsia="仿宋_GB2312"/>
          <w:sz w:val="32"/>
          <w:szCs w:val="32"/>
        </w:rPr>
        <w:t>加强基层医疗卫生机构建设，</w:t>
      </w:r>
      <w:r>
        <w:rPr>
          <w:rFonts w:hint="eastAsia" w:ascii="仿宋_GB2312" w:eastAsia="仿宋_GB2312" w:cs="宋体"/>
          <w:sz w:val="32"/>
          <w:szCs w:val="32"/>
        </w:rPr>
        <w:t>切实提升医疗保障服务水平。</w:t>
      </w:r>
      <w:r>
        <w:rPr>
          <w:rFonts w:hint="eastAsia" w:ascii="仿宋_GB2312" w:hAnsi="仿宋" w:eastAsia="仿宋_GB2312" w:cs="仿宋"/>
          <w:sz w:val="32"/>
          <w:szCs w:val="32"/>
        </w:rPr>
        <w:t>拨付城乡居民基本医疗保险1850万元，兜实人民群众生命安全防线。</w:t>
      </w:r>
    </w:p>
    <w:p w14:paraId="73E11BB3">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cs="宋体"/>
          <w:sz w:val="32"/>
          <w:szCs w:val="32"/>
        </w:rPr>
        <w:t>支持社会保障体系运转，拨付</w:t>
      </w:r>
      <w:r>
        <w:rPr>
          <w:rFonts w:hint="eastAsia" w:ascii="仿宋_GB2312" w:hAnsi="仿宋" w:eastAsia="仿宋_GB2312" w:cs="仿宋"/>
          <w:sz w:val="32"/>
          <w:szCs w:val="32"/>
        </w:rPr>
        <w:t>城乡居民养老金1.4亿元。</w:t>
      </w:r>
      <w:r>
        <w:rPr>
          <w:rFonts w:hint="eastAsia" w:ascii="仿宋_GB2312" w:eastAsia="仿宋_GB2312" w:cs="宋体"/>
          <w:sz w:val="32"/>
          <w:szCs w:val="32"/>
        </w:rPr>
        <w:t>按时足额发放</w:t>
      </w:r>
      <w:r>
        <w:rPr>
          <w:rFonts w:ascii="仿宋_GB2312" w:eastAsia="仿宋_GB2312" w:cs="宋体"/>
          <w:sz w:val="32"/>
          <w:szCs w:val="32"/>
        </w:rPr>
        <w:t>80</w:t>
      </w:r>
      <w:r>
        <w:rPr>
          <w:rFonts w:hint="eastAsia" w:ascii="仿宋_GB2312" w:eastAsia="仿宋_GB2312" w:cs="宋体"/>
          <w:sz w:val="32"/>
          <w:szCs w:val="32"/>
        </w:rPr>
        <w:t>岁以上老人生活补贴610万元，被征地农民养老保障金发放标准每人每月提高34.8元。</w:t>
      </w:r>
      <w:r>
        <w:rPr>
          <w:rFonts w:hint="eastAsia" w:ascii="仿宋_GB2312" w:hAnsi="黑体" w:eastAsia="仿宋_GB2312"/>
          <w:sz w:val="32"/>
          <w:szCs w:val="32"/>
        </w:rPr>
        <w:t>发放各类补助资金</w:t>
      </w:r>
      <w:r>
        <w:rPr>
          <w:rFonts w:ascii="仿宋_GB2312" w:hAnsi="黑体" w:eastAsia="仿宋_GB2312"/>
          <w:sz w:val="32"/>
          <w:szCs w:val="32"/>
        </w:rPr>
        <w:t>3263</w:t>
      </w:r>
      <w:r>
        <w:rPr>
          <w:rFonts w:hint="eastAsia" w:ascii="仿宋_GB2312" w:hAnsi="黑体" w:eastAsia="仿宋_GB2312"/>
          <w:sz w:val="32"/>
          <w:szCs w:val="32"/>
        </w:rPr>
        <w:t>万元，切实保障困难群众基本生活。</w:t>
      </w:r>
    </w:p>
    <w:p w14:paraId="6CC88726">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大力支持优军优属事业，关注退役军人、困难军属等重点群体，</w:t>
      </w:r>
      <w:r>
        <w:rPr>
          <w:rFonts w:hint="eastAsia" w:ascii="仿宋_GB2312" w:hAnsi="仿宋_GB2312" w:eastAsia="仿宋_GB2312" w:cs="仿宋_GB2312"/>
          <w:sz w:val="32"/>
          <w:szCs w:val="32"/>
        </w:rPr>
        <w:t>发放各类补贴</w:t>
      </w:r>
      <w:r>
        <w:rPr>
          <w:rFonts w:ascii="仿宋_GB2312" w:hAnsi="仿宋_GB2312" w:eastAsia="仿宋_GB2312" w:cs="仿宋_GB2312"/>
          <w:sz w:val="32"/>
          <w:szCs w:val="32"/>
        </w:rPr>
        <w:t>4000</w:t>
      </w:r>
      <w:r>
        <w:rPr>
          <w:rFonts w:hint="eastAsia" w:ascii="仿宋_GB2312" w:hAnsi="仿宋_GB2312" w:eastAsia="仿宋_GB2312" w:cs="仿宋_GB2312"/>
          <w:sz w:val="32"/>
          <w:szCs w:val="32"/>
        </w:rPr>
        <w:t>余万元，惠及</w:t>
      </w:r>
      <w:r>
        <w:rPr>
          <w:rFonts w:ascii="仿宋_GB2312" w:hAnsi="仿宋_GB2312" w:eastAsia="仿宋_GB2312" w:cs="仿宋_GB2312"/>
          <w:sz w:val="32"/>
          <w:szCs w:val="32"/>
        </w:rPr>
        <w:t>1619</w:t>
      </w:r>
      <w:r>
        <w:rPr>
          <w:rFonts w:hint="eastAsia" w:ascii="仿宋_GB2312" w:hAnsi="仿宋_GB2312" w:eastAsia="仿宋_GB2312" w:cs="仿宋_GB2312"/>
          <w:sz w:val="32"/>
          <w:szCs w:val="32"/>
        </w:rPr>
        <w:t>名退役军人和</w:t>
      </w:r>
      <w:r>
        <w:rPr>
          <w:rFonts w:ascii="仿宋_GB2312" w:hAnsi="仿宋_GB2312" w:eastAsia="仿宋_GB2312" w:cs="仿宋_GB2312"/>
          <w:sz w:val="32"/>
          <w:szCs w:val="32"/>
        </w:rPr>
        <w:t>2183</w:t>
      </w:r>
      <w:r>
        <w:rPr>
          <w:rFonts w:hint="eastAsia" w:ascii="仿宋_GB2312" w:hAnsi="仿宋_GB2312" w:eastAsia="仿宋_GB2312" w:cs="仿宋_GB2312"/>
          <w:sz w:val="32"/>
          <w:szCs w:val="32"/>
        </w:rPr>
        <w:t>名优抚对象，政策落实率与经费发放率均为</w:t>
      </w:r>
      <w:r>
        <w:rPr>
          <w:rFonts w:ascii="仿宋_GB2312" w:hAnsi="仿宋_GB2312" w:eastAsia="仿宋_GB2312" w:cs="仿宋_GB2312"/>
          <w:sz w:val="32"/>
          <w:szCs w:val="32"/>
        </w:rPr>
        <w:t>100%</w:t>
      </w:r>
      <w:r>
        <w:rPr>
          <w:rFonts w:hint="eastAsia" w:ascii="仿宋_GB2312" w:hAnsi="仿宋" w:eastAsia="仿宋_GB2312" w:cs="仿宋"/>
          <w:sz w:val="32"/>
          <w:szCs w:val="32"/>
        </w:rPr>
        <w:t>。</w:t>
      </w:r>
      <w:r>
        <w:rPr>
          <w:rFonts w:hint="eastAsia" w:ascii="仿宋_GB2312" w:hAnsi="仿宋_GB2312" w:eastAsia="仿宋_GB2312" w:cs="仿宋_GB2312"/>
          <w:snapToGrid w:val="0"/>
          <w:spacing w:val="6"/>
          <w:kern w:val="0"/>
          <w:sz w:val="32"/>
          <w:szCs w:val="32"/>
        </w:rPr>
        <w:t>组织</w:t>
      </w:r>
      <w:r>
        <w:rPr>
          <w:rFonts w:ascii="仿宋_GB2312" w:hAnsi="仿宋_GB2312" w:eastAsia="仿宋_GB2312" w:cs="仿宋_GB2312"/>
          <w:snapToGrid w:val="0"/>
          <w:spacing w:val="6"/>
          <w:kern w:val="0"/>
          <w:sz w:val="32"/>
          <w:szCs w:val="32"/>
        </w:rPr>
        <w:t>106</w:t>
      </w:r>
      <w:r>
        <w:rPr>
          <w:rFonts w:hint="eastAsia" w:ascii="仿宋_GB2312" w:hAnsi="仿宋_GB2312" w:eastAsia="仿宋_GB2312" w:cs="仿宋_GB2312"/>
          <w:snapToGrid w:val="0"/>
          <w:spacing w:val="6"/>
          <w:kern w:val="0"/>
          <w:sz w:val="32"/>
          <w:szCs w:val="32"/>
        </w:rPr>
        <w:t>名自主就业退役士兵参加适应性培训，</w:t>
      </w:r>
      <w:r>
        <w:rPr>
          <w:rFonts w:hint="eastAsia" w:ascii="仿宋_GB2312" w:hAnsi="仿宋_GB2312" w:eastAsia="仿宋_GB2312" w:cs="仿宋_GB2312"/>
          <w:snapToGrid w:val="0"/>
          <w:spacing w:val="6"/>
          <w:kern w:val="0"/>
          <w:sz w:val="32"/>
          <w:szCs w:val="32"/>
          <w:lang w:eastAsia="zh-CN"/>
        </w:rPr>
        <w:t>消除后顾之忧</w:t>
      </w:r>
      <w:r>
        <w:rPr>
          <w:rFonts w:hint="eastAsia" w:ascii="仿宋_GB2312" w:eastAsia="仿宋_GB2312"/>
          <w:sz w:val="32"/>
          <w:szCs w:val="32"/>
        </w:rPr>
        <w:t>。</w:t>
      </w:r>
    </w:p>
    <w:p w14:paraId="76F5C2CB">
      <w:pPr>
        <w:topLinePunct/>
        <w:adjustRightInd w:val="0"/>
        <w:snapToGrid w:val="0"/>
        <w:spacing w:line="579" w:lineRule="exact"/>
        <w:ind w:firstLine="640" w:firstLineChars="200"/>
        <w:rPr>
          <w:rFonts w:ascii="仿宋_GB2312" w:eastAsia="仿宋_GB2312"/>
          <w:color w:val="FF0000"/>
          <w:kern w:val="0"/>
          <w:sz w:val="32"/>
          <w:szCs w:val="32"/>
        </w:rPr>
      </w:pPr>
      <w:r>
        <w:rPr>
          <w:rFonts w:hint="eastAsia" w:ascii="仿宋_GB2312" w:hAnsi="仿宋" w:eastAsia="仿宋_GB2312" w:cs="仿宋"/>
          <w:sz w:val="32"/>
          <w:szCs w:val="32"/>
        </w:rPr>
        <w:t>支持农业农村事业发展，加大农村公共服务设施建设，投入资金3亿元，续建蒲河、满堂河、桃仙河等农村防涝体系改造工程。全年安排资金4073万元，确保1062名涉农社区干部工资发放到位。落实国家粮食安全战略，</w:t>
      </w:r>
      <w:r>
        <w:rPr>
          <w:rFonts w:hint="eastAsia" w:ascii="仿宋_GB2312" w:hAnsi="仿宋_GB2312" w:eastAsia="仿宋_GB2312" w:cs="仿宋_GB2312"/>
          <w:sz w:val="32"/>
          <w:szCs w:val="32"/>
        </w:rPr>
        <w:t>及时发放耕地地力保护补贴、生</w:t>
      </w:r>
      <w:r>
        <w:rPr>
          <w:rFonts w:hint="eastAsia" w:ascii="仿宋_GB2312" w:eastAsia="仿宋_GB2312"/>
          <w:sz w:val="32"/>
          <w:szCs w:val="32"/>
        </w:rPr>
        <w:t>产者补贴资金</w:t>
      </w:r>
      <w:r>
        <w:rPr>
          <w:rFonts w:ascii="仿宋_GB2312" w:hAnsi="仿宋_GB2312" w:eastAsia="仿宋_GB2312" w:cs="仿宋_GB2312"/>
          <w:sz w:val="32"/>
          <w:szCs w:val="32"/>
        </w:rPr>
        <w:t>3917</w:t>
      </w:r>
      <w:r>
        <w:rPr>
          <w:rFonts w:hint="eastAsia" w:ascii="仿宋_GB2312" w:eastAsia="仿宋_GB2312"/>
          <w:sz w:val="32"/>
          <w:szCs w:val="32"/>
        </w:rPr>
        <w:t>万元。</w:t>
      </w:r>
    </w:p>
    <w:p w14:paraId="1149F212">
      <w:pPr>
        <w:topLinePunct/>
        <w:adjustRightInd w:val="0"/>
        <w:snapToGrid w:val="0"/>
        <w:spacing w:line="579" w:lineRule="exact"/>
        <w:ind w:firstLine="640" w:firstLineChars="200"/>
        <w:rPr>
          <w:rFonts w:ascii="楷体_GB2312" w:eastAsia="楷体_GB2312"/>
          <w:color w:val="FF0000"/>
          <w:kern w:val="0"/>
          <w:sz w:val="32"/>
          <w:szCs w:val="32"/>
        </w:rPr>
      </w:pPr>
      <w:r>
        <w:rPr>
          <w:rFonts w:hint="eastAsia" w:ascii="楷体_GB2312" w:eastAsia="楷体_GB2312"/>
          <w:kern w:val="0"/>
          <w:sz w:val="32"/>
          <w:szCs w:val="32"/>
        </w:rPr>
        <w:t>（五）坚持“严”字贯穿，竭力提升财政管理效能</w:t>
      </w:r>
    </w:p>
    <w:p w14:paraId="51A1ECF8">
      <w:pPr>
        <w:topLinePunct/>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一年来，为适应财政收支“紧平衡”新常态，将“严”字贯穿财政收支管理的各方面、全过程，不断提升财政资金配置效率和使用效益。</w:t>
      </w:r>
    </w:p>
    <w:p w14:paraId="014E342C">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严堵税款流失，继续完善协税护税管理体系。</w:t>
      </w:r>
      <w:r>
        <w:rPr>
          <w:rFonts w:hint="eastAsia" w:ascii="仿宋_GB2312" w:hAnsi="仿宋" w:eastAsia="仿宋_GB2312" w:cs="仿宋"/>
          <w:sz w:val="32"/>
          <w:szCs w:val="32"/>
        </w:rPr>
        <w:t>通过社区网格化体系加强税源服务，迁回、挽留企业62户，避免每年流失税收7200万元。将</w:t>
      </w:r>
      <w:r>
        <w:rPr>
          <w:rFonts w:ascii="仿宋_GB2312" w:hAnsi="仿宋" w:eastAsia="仿宋_GB2312" w:cs="仿宋"/>
          <w:sz w:val="32"/>
          <w:szCs w:val="32"/>
        </w:rPr>
        <w:t>2018</w:t>
      </w:r>
      <w:r>
        <w:rPr>
          <w:rFonts w:hint="eastAsia" w:ascii="仿宋_GB2312" w:hAnsi="仿宋" w:eastAsia="仿宋_GB2312" w:cs="仿宋"/>
          <w:sz w:val="32"/>
          <w:szCs w:val="32"/>
        </w:rPr>
        <w:t>年以来出让土地与新增税源贡献挂钩评价分析，建立基层税源监控台账，防止后续流失。</w:t>
      </w:r>
    </w:p>
    <w:p w14:paraId="005B6055">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严抓政策落实，不打折扣落实“过紧日子”精神。禁止无预算采购、超预算支出。推进零基预算改革，打破预算安排基数，重新按章依规审核，</w:t>
      </w:r>
      <w:r>
        <w:rPr>
          <w:rFonts w:ascii="仿宋_GB2312" w:eastAsia="仿宋_GB2312"/>
          <w:kern w:val="0"/>
          <w:sz w:val="32"/>
          <w:szCs w:val="32"/>
        </w:rPr>
        <w:t>2025</w:t>
      </w:r>
      <w:r>
        <w:rPr>
          <w:rFonts w:hint="eastAsia" w:ascii="仿宋_GB2312" w:eastAsia="仿宋_GB2312"/>
          <w:kern w:val="0"/>
          <w:sz w:val="32"/>
          <w:szCs w:val="32"/>
        </w:rPr>
        <w:t>年部门项目预算同比上年压减</w:t>
      </w:r>
      <w:r>
        <w:rPr>
          <w:rFonts w:ascii="仿宋_GB2312" w:eastAsia="仿宋_GB2312"/>
          <w:kern w:val="0"/>
          <w:sz w:val="32"/>
          <w:szCs w:val="32"/>
        </w:rPr>
        <w:t>40%</w:t>
      </w:r>
      <w:r>
        <w:rPr>
          <w:rFonts w:hint="eastAsia" w:ascii="仿宋_GB2312" w:eastAsia="仿宋_GB2312"/>
          <w:kern w:val="0"/>
          <w:sz w:val="32"/>
          <w:szCs w:val="32"/>
        </w:rPr>
        <w:t>。从严落实</w:t>
      </w:r>
      <w:r>
        <w:rPr>
          <w:rFonts w:hint="eastAsia" w:ascii="仿宋_GB2312" w:eastAsia="仿宋_GB2312"/>
          <w:kern w:val="0"/>
          <w:sz w:val="32"/>
          <w:szCs w:val="32"/>
          <w:lang w:eastAsia="zh-CN"/>
        </w:rPr>
        <w:t>中央八项规定</w:t>
      </w:r>
      <w:r>
        <w:rPr>
          <w:rFonts w:hint="eastAsia" w:ascii="仿宋_GB2312" w:eastAsia="仿宋_GB2312"/>
          <w:kern w:val="0"/>
          <w:sz w:val="32"/>
          <w:szCs w:val="32"/>
        </w:rPr>
        <w:t>要求，</w:t>
      </w:r>
      <w:r>
        <w:rPr>
          <w:rFonts w:ascii="仿宋_GB2312" w:eastAsia="仿宋_GB2312"/>
          <w:kern w:val="0"/>
          <w:sz w:val="32"/>
          <w:szCs w:val="32"/>
        </w:rPr>
        <w:t>2025</w:t>
      </w:r>
      <w:r>
        <w:rPr>
          <w:rFonts w:hint="eastAsia" w:ascii="仿宋_GB2312" w:eastAsia="仿宋_GB2312"/>
          <w:kern w:val="0"/>
          <w:sz w:val="32"/>
          <w:szCs w:val="32"/>
        </w:rPr>
        <w:t>年“三公”经费预算同比上年压减</w:t>
      </w:r>
      <w:r>
        <w:rPr>
          <w:rFonts w:ascii="仿宋_GB2312" w:eastAsia="仿宋_GB2312"/>
          <w:kern w:val="0"/>
          <w:sz w:val="32"/>
          <w:szCs w:val="32"/>
        </w:rPr>
        <w:t>23%</w:t>
      </w:r>
      <w:r>
        <w:rPr>
          <w:rFonts w:hint="eastAsia" w:ascii="仿宋_GB2312" w:eastAsia="仿宋_GB2312"/>
          <w:kern w:val="0"/>
          <w:sz w:val="32"/>
          <w:szCs w:val="32"/>
        </w:rPr>
        <w:t>，年末实现“三公”经费支出零增长。</w:t>
      </w:r>
    </w:p>
    <w:p w14:paraId="63C84B62">
      <w:pPr>
        <w:topLinePunct/>
        <w:adjustRightInd w:val="0"/>
        <w:snapToGrid w:val="0"/>
        <w:spacing w:line="579" w:lineRule="exact"/>
        <w:ind w:firstLine="640" w:firstLineChars="200"/>
        <w:rPr>
          <w:rFonts w:ascii="仿宋_GB2312" w:eastAsia="仿宋_GB2312"/>
          <w:kern w:val="0"/>
          <w:sz w:val="32"/>
          <w:szCs w:val="32"/>
        </w:rPr>
      </w:pPr>
      <w:r>
        <w:rPr>
          <w:rFonts w:hint="eastAsia" w:ascii="仿宋_GB2312" w:eastAsia="仿宋_GB2312"/>
          <w:kern w:val="0"/>
          <w:sz w:val="32"/>
          <w:szCs w:val="32"/>
        </w:rPr>
        <w:t>严格核算管理，进一步完善集中支付管理机制。规范实施会计集中核算向国库集中支付制度转轨，恢复</w:t>
      </w:r>
      <w:r>
        <w:rPr>
          <w:rFonts w:ascii="仿宋_GB2312" w:eastAsia="仿宋_GB2312"/>
          <w:kern w:val="0"/>
          <w:sz w:val="32"/>
          <w:szCs w:val="32"/>
        </w:rPr>
        <w:t>156</w:t>
      </w:r>
      <w:r>
        <w:rPr>
          <w:rFonts w:hint="eastAsia" w:ascii="仿宋_GB2312" w:eastAsia="仿宋_GB2312"/>
          <w:kern w:val="0"/>
          <w:sz w:val="32"/>
          <w:szCs w:val="32"/>
        </w:rPr>
        <w:t>家预算单位会计核算权和财务管理权，将核算中心负责的单位会计核算业务调整为代理记账业务关系。</w:t>
      </w:r>
    </w:p>
    <w:p w14:paraId="56ADEB5B">
      <w:pPr>
        <w:topLinePunct/>
        <w:adjustRightInd w:val="0"/>
        <w:snapToGrid w:val="0"/>
        <w:spacing w:line="579" w:lineRule="exact"/>
        <w:ind w:firstLine="640" w:firstLineChars="200"/>
        <w:rPr>
          <w:rFonts w:ascii="楷体_GB2312" w:eastAsia="楷体_GB2312"/>
          <w:color w:val="FF0000"/>
          <w:kern w:val="0"/>
          <w:sz w:val="32"/>
          <w:szCs w:val="32"/>
          <w:u w:val="single"/>
        </w:rPr>
      </w:pPr>
      <w:r>
        <w:rPr>
          <w:rFonts w:hint="eastAsia" w:ascii="仿宋_GB2312" w:eastAsia="仿宋_GB2312"/>
          <w:kern w:val="0"/>
          <w:sz w:val="32"/>
          <w:szCs w:val="32"/>
        </w:rPr>
        <w:t>严管支出效能，将绩效管理融入财政各方面。</w:t>
      </w:r>
      <w:r>
        <w:rPr>
          <w:rFonts w:hint="eastAsia" w:ascii="仿宋_GB2312" w:eastAsia="仿宋_GB2312"/>
          <w:color w:val="000000"/>
          <w:sz w:val="32"/>
          <w:szCs w:val="32"/>
        </w:rPr>
        <w:t>严格绩效审核，所有预算项目填报科学完整的绩效目标，未达标者一律不予安排预算。严肃结果应用，</w:t>
      </w:r>
      <w:r>
        <w:rPr>
          <w:rFonts w:hint="eastAsia" w:ascii="仿宋_GB2312" w:eastAsia="仿宋_GB2312"/>
          <w:kern w:val="0"/>
          <w:sz w:val="32"/>
          <w:szCs w:val="32"/>
        </w:rPr>
        <w:t>核减低效、无效项目预算，</w:t>
      </w:r>
      <w:r>
        <w:rPr>
          <w:rFonts w:hint="eastAsia" w:ascii="仿宋_GB2312" w:eastAsia="仿宋_GB2312"/>
          <w:color w:val="000000"/>
          <w:sz w:val="32"/>
          <w:szCs w:val="32"/>
        </w:rPr>
        <w:t>合理压减劳务外包预算规模，每年节省财政资金1630万元。</w:t>
      </w:r>
    </w:p>
    <w:p w14:paraId="1BDC0045">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eastAsia="仿宋_GB2312"/>
          <w:kern w:val="0"/>
          <w:sz w:val="32"/>
          <w:szCs w:val="32"/>
        </w:rPr>
        <w:t>严守财政纪律，着力构建规范高效财政监督体系。</w:t>
      </w:r>
      <w:r>
        <w:rPr>
          <w:rFonts w:hint="eastAsia" w:ascii="仿宋_GB2312" w:hAnsi="仿宋" w:eastAsia="仿宋_GB2312" w:cs="仿宋"/>
          <w:sz w:val="32"/>
          <w:szCs w:val="32"/>
        </w:rPr>
        <w:t>借助第三方机构加强支出监管，全年共完成预算（拦标价）审核84项，审减率10.9</w:t>
      </w:r>
      <w:r>
        <w:rPr>
          <w:rFonts w:ascii="仿宋_GB2312" w:hAnsi="仿宋" w:eastAsia="仿宋_GB2312" w:cs="仿宋"/>
          <w:sz w:val="32"/>
          <w:szCs w:val="32"/>
        </w:rPr>
        <w:t>%</w:t>
      </w:r>
      <w:r>
        <w:rPr>
          <w:rFonts w:hint="eastAsia" w:ascii="仿宋_GB2312" w:hAnsi="仿宋" w:eastAsia="仿宋_GB2312" w:cs="仿宋"/>
          <w:sz w:val="32"/>
          <w:szCs w:val="32"/>
        </w:rPr>
        <w:t>，结算</w:t>
      </w:r>
      <w:r>
        <w:rPr>
          <w:rFonts w:hint="eastAsia" w:ascii="仿宋_GB2312" w:hAnsi="仿宋_GB2312" w:eastAsia="仿宋_GB2312" w:cs="仿宋_GB2312"/>
          <w:sz w:val="32"/>
          <w:szCs w:val="32"/>
        </w:rPr>
        <w:t>审核253项，</w:t>
      </w:r>
      <w:r>
        <w:rPr>
          <w:rFonts w:hint="eastAsia" w:ascii="仿宋_GB2312" w:hAnsi="仿宋" w:eastAsia="仿宋_GB2312" w:cs="仿宋"/>
          <w:sz w:val="32"/>
          <w:szCs w:val="32"/>
        </w:rPr>
        <w:t>审减率10.2</w:t>
      </w:r>
      <w:r>
        <w:rPr>
          <w:rFonts w:ascii="仿宋_GB2312" w:hAnsi="仿宋" w:eastAsia="仿宋_GB2312" w:cs="仿宋"/>
          <w:sz w:val="32"/>
          <w:szCs w:val="32"/>
        </w:rPr>
        <w:t>%</w:t>
      </w:r>
      <w:r>
        <w:rPr>
          <w:rFonts w:hint="eastAsia" w:ascii="仿宋_GB2312" w:hAnsi="仿宋" w:eastAsia="仿宋_GB2312" w:cs="仿宋"/>
          <w:sz w:val="32"/>
          <w:szCs w:val="32"/>
        </w:rPr>
        <w:t>。</w:t>
      </w:r>
      <w:r>
        <w:rPr>
          <w:rFonts w:hint="eastAsia" w:ascii="仿宋_GB2312" w:hAnsi="黑体" w:eastAsia="仿宋_GB2312"/>
          <w:bCs/>
          <w:sz w:val="32"/>
          <w:szCs w:val="32"/>
        </w:rPr>
        <w:t>将自我监督与上级监督检查有机贯通，</w:t>
      </w:r>
      <w:r>
        <w:rPr>
          <w:rFonts w:hint="eastAsia" w:ascii="仿宋_GB2312" w:hAnsi="仿宋" w:eastAsia="仿宋_GB2312" w:cs="仿宋"/>
          <w:sz w:val="32"/>
          <w:szCs w:val="32"/>
        </w:rPr>
        <w:t>全年迎接中央、省、市各级巡查、纪检、审计等部门专项监督检查十余批次，在接受监督和整改中</w:t>
      </w:r>
      <w:r>
        <w:rPr>
          <w:rFonts w:hint="eastAsia" w:ascii="仿宋_GB2312" w:hAnsi="黑体" w:eastAsia="仿宋_GB2312"/>
          <w:sz w:val="32"/>
          <w:szCs w:val="32"/>
        </w:rPr>
        <w:t>实现以</w:t>
      </w:r>
      <w:r>
        <w:rPr>
          <w:rFonts w:hint="eastAsia" w:ascii="仿宋_GB2312" w:eastAsia="仿宋_GB2312"/>
          <w:kern w:val="0"/>
          <w:sz w:val="32"/>
          <w:szCs w:val="32"/>
        </w:rPr>
        <w:t>监督促管理、以管理提效能</w:t>
      </w:r>
      <w:r>
        <w:rPr>
          <w:rFonts w:hint="eastAsia" w:ascii="仿宋_GB2312" w:hAnsi="黑体" w:eastAsia="仿宋_GB2312"/>
          <w:sz w:val="32"/>
          <w:szCs w:val="32"/>
        </w:rPr>
        <w:t>。</w:t>
      </w:r>
    </w:p>
    <w:p w14:paraId="794E4C64">
      <w:pPr>
        <w:topLinePunct/>
        <w:adjustRightInd w:val="0"/>
        <w:snapToGrid w:val="0"/>
        <w:spacing w:line="579" w:lineRule="exact"/>
        <w:ind w:firstLine="640" w:firstLineChars="200"/>
        <w:rPr>
          <w:rFonts w:ascii="仿宋_GB2312" w:eastAsia="仿宋_GB2312"/>
          <w:color w:val="FF0000"/>
          <w:sz w:val="32"/>
          <w:szCs w:val="32"/>
        </w:rPr>
      </w:pPr>
      <w:r>
        <w:rPr>
          <w:rFonts w:hint="eastAsia" w:ascii="仿宋_GB2312" w:eastAsia="仿宋_GB2312"/>
          <w:sz w:val="32"/>
          <w:szCs w:val="32"/>
        </w:rPr>
        <w:t>一年来，财政工作顶住了压力和挑战，啃下一个又一个“硬骨头”，取得了不平凡的成绩。同时，也清醒地认识到，财政工作仍存在一些内部压力和难题需要解决，主要包括：科技优势转化、新旧动能转换的收入贡献尚不明显，短期内财政抗御风险能力较为薄弱；国有资源资产可转化项目储备下降，闲置资产可盘活难度加大；偿债资金压力较大，债务风险依然存在；民生保障和公共服务需求逐年增加，财政“紧平衡”状态会持续一段时期；个别部门的“过紧日子”思想、预算绩效管理意识、财政承受能力意识还需提高。针对这些困难和问题，我们将深入研究，在今后工作中寻求务实举措，逐步加以改善直至解决。</w:t>
      </w:r>
    </w:p>
    <w:p w14:paraId="57C7B99F">
      <w:pPr>
        <w:topLinePunct/>
        <w:adjustRightInd w:val="0"/>
        <w:snapToGrid w:val="0"/>
        <w:spacing w:line="579" w:lineRule="exact"/>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2026</w:t>
      </w:r>
      <w:r>
        <w:rPr>
          <w:rFonts w:hint="eastAsia" w:ascii="黑体" w:hAnsi="黑体" w:eastAsia="黑体"/>
          <w:sz w:val="32"/>
          <w:szCs w:val="32"/>
        </w:rPr>
        <w:t>年预算草案</w:t>
      </w:r>
    </w:p>
    <w:p w14:paraId="6E180B01">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lang w:eastAsia="zh-CN"/>
        </w:rPr>
        <w:t>党的二十届四中全会</w:t>
      </w:r>
      <w:r>
        <w:rPr>
          <w:rFonts w:hint="eastAsia" w:ascii="仿宋_GB2312" w:eastAsia="仿宋_GB2312"/>
          <w:sz w:val="32"/>
          <w:szCs w:val="32"/>
        </w:rPr>
        <w:t>指出，“十五五”时期是基本实现社会主义现代化夯实基础、全面发力的关键时期。</w:t>
      </w:r>
      <w:r>
        <w:rPr>
          <w:rFonts w:ascii="仿宋_GB2312" w:eastAsia="仿宋_GB2312"/>
          <w:sz w:val="32"/>
          <w:szCs w:val="32"/>
        </w:rPr>
        <w:t>2026</w:t>
      </w:r>
      <w:r>
        <w:rPr>
          <w:rFonts w:hint="eastAsia" w:ascii="仿宋_GB2312" w:eastAsia="仿宋_GB2312"/>
          <w:sz w:val="32"/>
          <w:szCs w:val="32"/>
        </w:rPr>
        <w:t>年，是“十五五”开局之年，做好财政各项工作，责任重大、使命光荣。</w:t>
      </w:r>
    </w:p>
    <w:p w14:paraId="2ECE3F2D">
      <w:pPr>
        <w:topLinePunct/>
        <w:adjustRightInd w:val="0"/>
        <w:snapToGrid w:val="0"/>
        <w:spacing w:line="579" w:lineRule="exact"/>
        <w:ind w:firstLine="640" w:firstLineChars="200"/>
        <w:rPr>
          <w:rFonts w:ascii="楷体_GB2312" w:eastAsia="楷体_GB2312"/>
          <w:sz w:val="32"/>
          <w:szCs w:val="32"/>
        </w:rPr>
      </w:pPr>
      <w:r>
        <w:rPr>
          <w:rFonts w:hint="eastAsia" w:ascii="楷体_GB2312" w:eastAsia="楷体_GB2312"/>
          <w:sz w:val="32"/>
          <w:szCs w:val="32"/>
        </w:rPr>
        <w:t>（一）</w:t>
      </w:r>
      <w:r>
        <w:rPr>
          <w:rFonts w:ascii="楷体_GB2312" w:eastAsia="楷体_GB2312"/>
          <w:sz w:val="32"/>
          <w:szCs w:val="32"/>
        </w:rPr>
        <w:t>2026</w:t>
      </w:r>
      <w:r>
        <w:rPr>
          <w:rFonts w:hint="eastAsia" w:ascii="楷体_GB2312" w:eastAsia="楷体_GB2312"/>
          <w:sz w:val="32"/>
          <w:szCs w:val="32"/>
        </w:rPr>
        <w:t>年预算编制和财政工作的指导思想</w:t>
      </w:r>
    </w:p>
    <w:p w14:paraId="2CEC5A17">
      <w:pPr>
        <w:topLinePunct/>
        <w:adjustRightInd w:val="0"/>
        <w:snapToGrid w:val="0"/>
        <w:spacing w:line="579" w:lineRule="exact"/>
        <w:ind w:firstLine="643" w:firstLineChars="200"/>
        <w:rPr>
          <w:rFonts w:ascii="仿宋_GB2312" w:eastAsia="仿宋_GB2312"/>
          <w:b/>
          <w:sz w:val="32"/>
          <w:szCs w:val="32"/>
        </w:rPr>
      </w:pPr>
      <w:r>
        <w:rPr>
          <w:rFonts w:hint="eastAsia" w:ascii="仿宋_GB2312" w:eastAsia="仿宋_GB2312"/>
          <w:b/>
          <w:sz w:val="32"/>
          <w:szCs w:val="32"/>
        </w:rPr>
        <w:t>以习近平新时代中国特色社会主义思想为指导，全面贯彻党的二十大和二十届历次全会精神，深入</w:t>
      </w:r>
      <w:r>
        <w:rPr>
          <w:rFonts w:hint="eastAsia" w:ascii="仿宋_GB2312" w:eastAsia="仿宋_GB2312"/>
          <w:b/>
          <w:sz w:val="32"/>
          <w:szCs w:val="32"/>
          <w:lang w:eastAsia="zh-CN"/>
        </w:rPr>
        <w:t>贯彻落实</w:t>
      </w:r>
      <w:r>
        <w:rPr>
          <w:rFonts w:hint="eastAsia" w:ascii="仿宋_GB2312" w:eastAsia="仿宋_GB2312"/>
          <w:b/>
          <w:sz w:val="32"/>
          <w:szCs w:val="32"/>
        </w:rPr>
        <w:t>习近平总书记在辽宁、沈阳考察时的重要讲话和重要指示精神，全面落实党中央关于东北全面振兴的决策部署，按照省委、市委要求，紧紧围绕全面建成社会主义现代化强国、实现第二个百年奋斗目标，以中国式现代化全面推进中华民族伟大复兴，统筹推进“五位一体”总体布局，协调推进“四个全面”战略布局，完整准确全面贯彻新发展理念，积极服务融入新发展格局，坚持稳中求进工作总基调，认真履行维护国家“五大安全”重要使命，坚持以经济建设为中心，以推动高质量发展为主题，以改革创新为根本动力，以满足</w:t>
      </w:r>
      <w:r>
        <w:rPr>
          <w:rFonts w:hint="eastAsia" w:ascii="仿宋_GB2312" w:eastAsia="仿宋_GB2312"/>
          <w:b/>
          <w:sz w:val="32"/>
          <w:szCs w:val="32"/>
          <w:lang w:eastAsia="zh-CN"/>
        </w:rPr>
        <w:t>人民日益增长的美好生活需要</w:t>
      </w:r>
      <w:r>
        <w:rPr>
          <w:rFonts w:hint="eastAsia" w:ascii="仿宋_GB2312" w:eastAsia="仿宋_GB2312"/>
          <w:b/>
          <w:sz w:val="32"/>
          <w:szCs w:val="32"/>
        </w:rPr>
        <w:t>为根本目的，以全面从严治党为根本保障，发挥积极财政政策作用，推动经济实现质的有效提升和量的合理增长，加强财政资金和预算统筹，强化省市战略任务和基本民生财力保障，常态化落实“过紧日子”要求，持续化解存量债务，加强预算绩效管理，推进零基预算改革，完善财政监督管理，为全区经济社会事业平稳可持续发展提供财力保障。</w:t>
      </w:r>
    </w:p>
    <w:p w14:paraId="77659E80">
      <w:pPr>
        <w:topLinePunct/>
        <w:adjustRightInd w:val="0"/>
        <w:snapToGrid w:val="0"/>
        <w:spacing w:line="579" w:lineRule="exact"/>
        <w:ind w:firstLine="640" w:firstLineChars="200"/>
        <w:rPr>
          <w:rFonts w:ascii="楷体_GB2312" w:eastAsia="楷体_GB2312"/>
          <w:sz w:val="32"/>
          <w:szCs w:val="32"/>
        </w:rPr>
      </w:pPr>
      <w:r>
        <w:rPr>
          <w:rFonts w:hint="eastAsia" w:ascii="楷体_GB2312" w:eastAsia="楷体_GB2312"/>
          <w:sz w:val="32"/>
          <w:szCs w:val="32"/>
        </w:rPr>
        <w:t>（二）</w:t>
      </w:r>
      <w:r>
        <w:rPr>
          <w:rFonts w:ascii="楷体_GB2312" w:eastAsia="楷体_GB2312"/>
          <w:sz w:val="32"/>
          <w:szCs w:val="32"/>
        </w:rPr>
        <w:t>2026</w:t>
      </w:r>
      <w:r>
        <w:rPr>
          <w:rFonts w:hint="eastAsia" w:ascii="楷体_GB2312" w:eastAsia="楷体_GB2312"/>
          <w:sz w:val="32"/>
          <w:szCs w:val="32"/>
        </w:rPr>
        <w:t>年预算编制原则</w:t>
      </w:r>
    </w:p>
    <w:p w14:paraId="17EC9D14">
      <w:pPr>
        <w:topLinePunct/>
        <w:adjustRightInd w:val="0"/>
        <w:snapToGrid w:val="0"/>
        <w:spacing w:line="579" w:lineRule="exact"/>
        <w:ind w:firstLine="643" w:firstLineChars="200"/>
        <w:rPr>
          <w:rFonts w:ascii="仿宋_GB2312" w:eastAsia="仿宋_GB2312"/>
          <w:sz w:val="32"/>
          <w:szCs w:val="32"/>
        </w:rPr>
      </w:pPr>
      <w:r>
        <w:rPr>
          <w:rFonts w:hint="eastAsia" w:ascii="仿宋_GB2312" w:eastAsia="仿宋_GB2312"/>
          <w:b/>
          <w:sz w:val="32"/>
          <w:szCs w:val="32"/>
        </w:rPr>
        <w:t>实事求是原则。</w:t>
      </w:r>
      <w:r>
        <w:rPr>
          <w:rFonts w:hint="eastAsia" w:ascii="仿宋_GB2312" w:eastAsia="仿宋_GB2312"/>
          <w:sz w:val="32"/>
          <w:szCs w:val="32"/>
        </w:rPr>
        <w:t>收入预算坚持稳中求进，与“十五五”规划目标相适配，实现质的有效提升和量的合理增长。支出预算坚持零基预算，以实际基本需求为测算依据。</w:t>
      </w:r>
    </w:p>
    <w:p w14:paraId="7098427B">
      <w:pPr>
        <w:topLinePunct/>
        <w:adjustRightInd w:val="0"/>
        <w:snapToGrid w:val="0"/>
        <w:spacing w:line="579" w:lineRule="exact"/>
        <w:ind w:firstLine="643" w:firstLineChars="200"/>
        <w:rPr>
          <w:rFonts w:ascii="仿宋_GB2312" w:eastAsia="仿宋_GB2312"/>
          <w:sz w:val="32"/>
          <w:szCs w:val="32"/>
        </w:rPr>
      </w:pPr>
      <w:r>
        <w:rPr>
          <w:rFonts w:hint="eastAsia" w:ascii="仿宋_GB2312" w:eastAsia="仿宋_GB2312"/>
          <w:b/>
          <w:sz w:val="32"/>
          <w:szCs w:val="32"/>
        </w:rPr>
        <w:t>勤俭节约原则。</w:t>
      </w:r>
      <w:r>
        <w:rPr>
          <w:rFonts w:hint="eastAsia" w:ascii="仿宋_GB2312" w:eastAsia="仿宋_GB2312"/>
          <w:sz w:val="32"/>
          <w:szCs w:val="32"/>
        </w:rPr>
        <w:t>不打折扣落实过紧日子的要求，机关运行经费只减不增，“三公”经费、培训费和会议费只减不增，非急需非刚性项目预算无必要不安排，项目预算在去年压减的基础上争取再压减。</w:t>
      </w:r>
    </w:p>
    <w:p w14:paraId="03E863A6">
      <w:pPr>
        <w:topLinePunct/>
        <w:adjustRightInd w:val="0"/>
        <w:snapToGrid w:val="0"/>
        <w:spacing w:line="579" w:lineRule="exact"/>
        <w:ind w:firstLine="643" w:firstLineChars="200"/>
        <w:rPr>
          <w:rFonts w:ascii="仿宋_GB2312" w:eastAsia="仿宋_GB2312"/>
          <w:sz w:val="32"/>
          <w:szCs w:val="32"/>
        </w:rPr>
      </w:pPr>
      <w:r>
        <w:rPr>
          <w:rFonts w:hint="eastAsia" w:ascii="仿宋_GB2312" w:eastAsia="仿宋_GB2312"/>
          <w:b/>
          <w:sz w:val="32"/>
          <w:szCs w:val="32"/>
        </w:rPr>
        <w:t>零基预算原则。</w:t>
      </w:r>
      <w:r>
        <w:rPr>
          <w:rFonts w:hint="eastAsia" w:ascii="仿宋_GB2312" w:eastAsia="仿宋_GB2312"/>
          <w:sz w:val="32"/>
          <w:szCs w:val="32"/>
        </w:rPr>
        <w:t>坚持以零为基点，打破预算安排和资金分配基数，根据项目实际需要、轻重缓急、绩效评价等情况编制预算，实现从“基数预算”向“零基预算”的根本转变，切实提高预算编制精准性和科学性。</w:t>
      </w:r>
    </w:p>
    <w:p w14:paraId="242A8E21">
      <w:pPr>
        <w:topLinePunct/>
        <w:adjustRightInd w:val="0"/>
        <w:snapToGrid w:val="0"/>
        <w:spacing w:line="579" w:lineRule="exact"/>
        <w:ind w:firstLine="643" w:firstLineChars="200"/>
        <w:rPr>
          <w:rFonts w:ascii="仿宋_GB2312" w:eastAsia="仿宋_GB2312"/>
          <w:color w:val="FF0000"/>
          <w:sz w:val="32"/>
          <w:szCs w:val="32"/>
        </w:rPr>
      </w:pPr>
      <w:r>
        <w:rPr>
          <w:rFonts w:hint="eastAsia" w:ascii="仿宋_GB2312" w:eastAsia="仿宋_GB2312"/>
          <w:b/>
          <w:sz w:val="32"/>
          <w:szCs w:val="32"/>
        </w:rPr>
        <w:t>防范风险原则。</w:t>
      </w:r>
      <w:r>
        <w:rPr>
          <w:rFonts w:hint="eastAsia" w:ascii="仿宋_GB2312" w:eastAsia="仿宋_GB2312"/>
          <w:sz w:val="32"/>
          <w:szCs w:val="32"/>
        </w:rPr>
        <w:t>坚持全口径债务预算，政府债务全部纳入年初预算管理。坚持财政可持续发展，</w:t>
      </w:r>
      <w:r>
        <w:rPr>
          <w:rFonts w:hint="eastAsia" w:ascii="仿宋_GB2312" w:eastAsia="仿宋_GB2312" w:cs="仿宋_GB2312"/>
          <w:sz w:val="32"/>
          <w:szCs w:val="32"/>
        </w:rPr>
        <w:t>量力而行、量财办事，</w:t>
      </w:r>
      <w:r>
        <w:rPr>
          <w:rFonts w:hint="eastAsia" w:ascii="仿宋_GB2312" w:eastAsia="仿宋_GB2312"/>
          <w:sz w:val="32"/>
          <w:szCs w:val="32"/>
        </w:rPr>
        <w:t>支出预算安排与财政可承受能力相适应</w:t>
      </w:r>
      <w:r>
        <w:rPr>
          <w:rFonts w:hint="eastAsia" w:ascii="仿宋_GB2312" w:eastAsia="仿宋_GB2312" w:cs="仿宋_GB2312"/>
          <w:sz w:val="32"/>
          <w:szCs w:val="32"/>
        </w:rPr>
        <w:t>，杜绝过度保障。</w:t>
      </w:r>
    </w:p>
    <w:p w14:paraId="50FB9057">
      <w:pPr>
        <w:topLinePunct/>
        <w:adjustRightInd w:val="0"/>
        <w:snapToGrid w:val="0"/>
        <w:spacing w:line="579" w:lineRule="exact"/>
        <w:ind w:firstLine="643" w:firstLineChars="200"/>
        <w:rPr>
          <w:rFonts w:ascii="仿宋_GB2312" w:eastAsia="仿宋_GB2312"/>
          <w:sz w:val="32"/>
          <w:szCs w:val="32"/>
        </w:rPr>
      </w:pPr>
      <w:r>
        <w:rPr>
          <w:rFonts w:hint="eastAsia" w:ascii="仿宋_GB2312" w:eastAsia="仿宋_GB2312"/>
          <w:b/>
          <w:sz w:val="32"/>
          <w:szCs w:val="32"/>
        </w:rPr>
        <w:t>绩效优先原则。</w:t>
      </w:r>
      <w:r>
        <w:rPr>
          <w:rFonts w:hint="eastAsia" w:ascii="仿宋_GB2312" w:eastAsia="仿宋_GB2312"/>
          <w:sz w:val="32"/>
          <w:szCs w:val="32"/>
        </w:rPr>
        <w:t>项目预算要注重结果导向、强调成本效益、硬化责任约束，重大项目预算要开展绩效事前评估，评估结果等级高的项目优先安排，低效和无效项目一律不予安排。</w:t>
      </w:r>
    </w:p>
    <w:p w14:paraId="554841FD">
      <w:pPr>
        <w:topLinePunct/>
        <w:adjustRightInd w:val="0"/>
        <w:snapToGrid w:val="0"/>
        <w:spacing w:line="579" w:lineRule="exact"/>
        <w:ind w:firstLine="640" w:firstLineChars="200"/>
        <w:rPr>
          <w:rFonts w:ascii="楷体_GB2312" w:hAnsi="黑体" w:eastAsia="楷体_GB2312"/>
          <w:sz w:val="32"/>
          <w:szCs w:val="32"/>
        </w:rPr>
      </w:pPr>
      <w:r>
        <w:rPr>
          <w:rFonts w:hint="eastAsia" w:ascii="楷体_GB2312" w:hAnsi="黑体" w:eastAsia="楷体_GB2312"/>
          <w:sz w:val="32"/>
          <w:szCs w:val="32"/>
        </w:rPr>
        <w:t>（三）</w:t>
      </w:r>
      <w:r>
        <w:rPr>
          <w:rFonts w:ascii="楷体_GB2312" w:hAnsi="黑体" w:eastAsia="楷体_GB2312"/>
          <w:sz w:val="32"/>
          <w:szCs w:val="32"/>
        </w:rPr>
        <w:t>2026</w:t>
      </w:r>
      <w:r>
        <w:rPr>
          <w:rFonts w:hint="eastAsia" w:ascii="楷体_GB2312" w:hAnsi="黑体" w:eastAsia="楷体_GB2312"/>
          <w:sz w:val="32"/>
          <w:szCs w:val="32"/>
        </w:rPr>
        <w:t>年预算收支草案</w:t>
      </w:r>
    </w:p>
    <w:p w14:paraId="02AFA465">
      <w:pPr>
        <w:topLinePunct/>
        <w:adjustRightInd w:val="0"/>
        <w:snapToGrid w:val="0"/>
        <w:spacing w:line="579"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一般公共预算草案</w:t>
      </w:r>
    </w:p>
    <w:p w14:paraId="338A4938">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一般公共预算收入拟安排105亿元，增长1.9</w:t>
      </w:r>
      <w:r>
        <w:rPr>
          <w:rFonts w:ascii="仿宋_GB2312" w:eastAsia="仿宋_GB2312"/>
          <w:sz w:val="32"/>
          <w:szCs w:val="32"/>
        </w:rPr>
        <w:t>%</w:t>
      </w:r>
      <w:r>
        <w:rPr>
          <w:rFonts w:hint="eastAsia" w:ascii="仿宋_GB2312" w:eastAsia="仿宋_GB2312"/>
          <w:sz w:val="32"/>
          <w:szCs w:val="32"/>
        </w:rPr>
        <w:t>，其中：税收收入安排85亿元，增长18.4</w:t>
      </w:r>
      <w:r>
        <w:rPr>
          <w:rFonts w:ascii="仿宋_GB2312" w:eastAsia="仿宋_GB2312"/>
          <w:sz w:val="32"/>
          <w:szCs w:val="32"/>
        </w:rPr>
        <w:t>%</w:t>
      </w:r>
      <w:r>
        <w:rPr>
          <w:rFonts w:hint="eastAsia" w:ascii="仿宋_GB2312" w:eastAsia="仿宋_GB2312"/>
          <w:sz w:val="32"/>
          <w:szCs w:val="32"/>
        </w:rPr>
        <w:t>；非税收入安排20亿元，下降35.9</w:t>
      </w:r>
      <w:r>
        <w:rPr>
          <w:rFonts w:ascii="仿宋_GB2312" w:eastAsia="仿宋_GB2312"/>
          <w:sz w:val="32"/>
          <w:szCs w:val="32"/>
        </w:rPr>
        <w:t>%</w:t>
      </w:r>
      <w:r>
        <w:rPr>
          <w:rFonts w:hint="eastAsia" w:ascii="仿宋_GB2312" w:eastAsia="仿宋_GB2312"/>
          <w:sz w:val="32"/>
          <w:szCs w:val="32"/>
        </w:rPr>
        <w:t>。</w:t>
      </w:r>
    </w:p>
    <w:p w14:paraId="72E678D5">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本级收入93.5亿元，加上级财政补助收入21.7亿元、上年结余0.9亿元和调入资金6.5亿元，扣除上解上级财政支出65.6亿元后，当年可供安排的本级财力规模为57亿元。</w:t>
      </w:r>
    </w:p>
    <w:p w14:paraId="309F5E2E">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一般公共预算支出安排56.1亿元，加上债务还本支出0.9亿元，合计57亿元，当年预算收支平衡。</w:t>
      </w:r>
    </w:p>
    <w:p w14:paraId="3594C08B">
      <w:pPr>
        <w:topLinePunct/>
        <w:adjustRightInd w:val="0"/>
        <w:snapToGrid w:val="0"/>
        <w:spacing w:line="579"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政府性基金预算草案</w:t>
      </w:r>
    </w:p>
    <w:p w14:paraId="09ADB4D6">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政府性基金预算收入拟安排</w:t>
      </w:r>
      <w:r>
        <w:rPr>
          <w:rFonts w:ascii="仿宋_GB2312" w:eastAsia="仿宋_GB2312"/>
          <w:sz w:val="32"/>
          <w:szCs w:val="32"/>
        </w:rPr>
        <w:t>40</w:t>
      </w:r>
      <w:r>
        <w:rPr>
          <w:rFonts w:hint="eastAsia" w:ascii="仿宋_GB2312" w:eastAsia="仿宋_GB2312"/>
          <w:sz w:val="32"/>
          <w:szCs w:val="32"/>
        </w:rPr>
        <w:t>亿元，增长76.5</w:t>
      </w:r>
      <w:r>
        <w:rPr>
          <w:rFonts w:ascii="仿宋_GB2312" w:eastAsia="仿宋_GB2312"/>
          <w:sz w:val="32"/>
          <w:szCs w:val="32"/>
        </w:rPr>
        <w:t>%</w:t>
      </w:r>
      <w:r>
        <w:rPr>
          <w:rFonts w:hint="eastAsia" w:ascii="仿宋_GB2312" w:eastAsia="仿宋_GB2312"/>
          <w:sz w:val="32"/>
          <w:szCs w:val="32"/>
        </w:rPr>
        <w:t>。其中：国有土地使用权出让收入</w:t>
      </w:r>
      <w:r>
        <w:rPr>
          <w:rFonts w:ascii="仿宋_GB2312" w:eastAsia="仿宋_GB2312"/>
          <w:sz w:val="32"/>
          <w:szCs w:val="32"/>
        </w:rPr>
        <w:t>38</w:t>
      </w:r>
      <w:r>
        <w:rPr>
          <w:rFonts w:hint="eastAsia" w:ascii="仿宋_GB2312" w:eastAsia="仿宋_GB2312"/>
          <w:sz w:val="32"/>
          <w:szCs w:val="32"/>
        </w:rPr>
        <w:t>亿元，增长79.8</w:t>
      </w:r>
      <w:r>
        <w:rPr>
          <w:rFonts w:ascii="仿宋_GB2312" w:eastAsia="仿宋_GB2312"/>
          <w:sz w:val="32"/>
          <w:szCs w:val="32"/>
        </w:rPr>
        <w:t>%</w:t>
      </w:r>
      <w:r>
        <w:rPr>
          <w:rFonts w:hint="eastAsia" w:ascii="仿宋_GB2312" w:eastAsia="仿宋_GB2312"/>
          <w:sz w:val="32"/>
          <w:szCs w:val="32"/>
        </w:rPr>
        <w:t>；城市基础设施配套费收入</w:t>
      </w:r>
      <w:r>
        <w:rPr>
          <w:rFonts w:ascii="仿宋_GB2312" w:eastAsia="仿宋_GB2312"/>
          <w:sz w:val="32"/>
          <w:szCs w:val="32"/>
        </w:rPr>
        <w:t>2</w:t>
      </w:r>
      <w:r>
        <w:rPr>
          <w:rFonts w:hint="eastAsia" w:ascii="仿宋_GB2312" w:eastAsia="仿宋_GB2312"/>
          <w:sz w:val="32"/>
          <w:szCs w:val="32"/>
        </w:rPr>
        <w:t>亿元，增长30.7</w:t>
      </w:r>
      <w:r>
        <w:rPr>
          <w:rFonts w:ascii="仿宋_GB2312" w:eastAsia="仿宋_GB2312"/>
          <w:sz w:val="32"/>
          <w:szCs w:val="32"/>
        </w:rPr>
        <w:t>%</w:t>
      </w:r>
      <w:r>
        <w:rPr>
          <w:rFonts w:hint="eastAsia" w:ascii="仿宋_GB2312" w:eastAsia="仿宋_GB2312"/>
          <w:sz w:val="32"/>
          <w:szCs w:val="32"/>
        </w:rPr>
        <w:t>。</w:t>
      </w:r>
    </w:p>
    <w:p w14:paraId="0282DCD5">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政府性基金预算支出拟安排35.4亿元。其中：国有土地使用权出让支出33.5亿元，主要用于土地开发整理、基础设施建设、偿债支出；城市基础设施配套费支出1.9亿元。</w:t>
      </w:r>
    </w:p>
    <w:p w14:paraId="1FA5F6C4">
      <w:pPr>
        <w:topLinePunct/>
        <w:adjustRightInd w:val="0"/>
        <w:snapToGrid w:val="0"/>
        <w:spacing w:line="579"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国有资本经营预算草案</w:t>
      </w:r>
    </w:p>
    <w:p w14:paraId="5A41861D">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国有资本经营收入预算安排56万元，国有资本经营预算支出39万元，剩余17万元调入一般公共预算。</w:t>
      </w:r>
    </w:p>
    <w:p w14:paraId="5C289164">
      <w:pPr>
        <w:topLinePunct/>
        <w:adjustRightInd w:val="0"/>
        <w:snapToGrid w:val="0"/>
        <w:spacing w:line="579"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社会保险基金预算草案</w:t>
      </w:r>
    </w:p>
    <w:p w14:paraId="11CF6D77">
      <w:pPr>
        <w:topLinePunct/>
        <w:adjustRightInd w:val="0"/>
        <w:snapToGrid w:val="0"/>
        <w:spacing w:line="579" w:lineRule="exact"/>
        <w:ind w:firstLine="640" w:firstLineChars="200"/>
      </w:pPr>
      <w:r>
        <w:rPr>
          <w:rFonts w:hint="eastAsia" w:ascii="仿宋_GB2312" w:eastAsia="仿宋_GB2312"/>
          <w:sz w:val="32"/>
          <w:szCs w:val="32"/>
        </w:rPr>
        <w:t>社会保险基金预算收入拟安排1.7亿元。社会保险基金预算支出拟安排1.5亿元，主要用于养老金发放。当年收支结余0.2亿元，结转下年继续使用。</w:t>
      </w:r>
    </w:p>
    <w:p w14:paraId="7F065244">
      <w:pPr>
        <w:topLinePunct/>
        <w:adjustRightInd w:val="0"/>
        <w:snapToGrid w:val="0"/>
        <w:spacing w:line="579" w:lineRule="exact"/>
        <w:ind w:firstLine="640" w:firstLineChars="200"/>
        <w:rPr>
          <w:rFonts w:ascii="楷体_GB2312" w:eastAsia="楷体_GB2312"/>
          <w:sz w:val="32"/>
          <w:szCs w:val="32"/>
        </w:rPr>
      </w:pPr>
      <w:r>
        <w:rPr>
          <w:rFonts w:hint="eastAsia" w:ascii="楷体_GB2312" w:eastAsia="楷体_GB2312"/>
          <w:sz w:val="32"/>
          <w:szCs w:val="32"/>
        </w:rPr>
        <w:t>（四）</w:t>
      </w:r>
      <w:r>
        <w:rPr>
          <w:rFonts w:ascii="楷体_GB2312" w:eastAsia="楷体_GB2312"/>
          <w:sz w:val="32"/>
          <w:szCs w:val="32"/>
        </w:rPr>
        <w:t>2026</w:t>
      </w:r>
      <w:r>
        <w:rPr>
          <w:rFonts w:hint="eastAsia" w:ascii="楷体_GB2312" w:eastAsia="楷体_GB2312"/>
          <w:sz w:val="32"/>
          <w:szCs w:val="32"/>
        </w:rPr>
        <w:t>年“三保”预算情况</w:t>
      </w:r>
    </w:p>
    <w:p w14:paraId="1F623897">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按照上级“三保”目录清单及相关要求，编制浑南区</w:t>
      </w:r>
      <w:r>
        <w:rPr>
          <w:rFonts w:ascii="仿宋_GB2312" w:eastAsia="仿宋_GB2312"/>
          <w:sz w:val="32"/>
          <w:szCs w:val="32"/>
        </w:rPr>
        <w:t>2026</w:t>
      </w:r>
      <w:r>
        <w:rPr>
          <w:rFonts w:hint="eastAsia" w:ascii="仿宋_GB2312" w:eastAsia="仿宋_GB2312"/>
          <w:sz w:val="32"/>
          <w:szCs w:val="32"/>
        </w:rPr>
        <w:t>年“三保”预算如下：</w:t>
      </w:r>
      <w:r>
        <w:rPr>
          <w:rFonts w:ascii="仿宋_GB2312" w:eastAsia="仿宋_GB2312"/>
          <w:sz w:val="32"/>
          <w:szCs w:val="32"/>
        </w:rPr>
        <w:t>2026</w:t>
      </w:r>
      <w:r>
        <w:rPr>
          <w:rFonts w:hint="eastAsia" w:ascii="仿宋_GB2312" w:eastAsia="仿宋_GB2312"/>
          <w:sz w:val="32"/>
          <w:szCs w:val="32"/>
        </w:rPr>
        <w:t>年浑南区“三保”及其他刚性预算安排36.3亿元，其中：人员基本支出9.4亿元，基本运转经费0.7亿元，基本民生支出7.2亿元，其他刚性支出19亿元。</w:t>
      </w:r>
    </w:p>
    <w:p w14:paraId="1EA4D4F4">
      <w:pPr>
        <w:topLinePunct/>
        <w:adjustRightInd w:val="0"/>
        <w:snapToGrid w:val="0"/>
        <w:spacing w:line="579" w:lineRule="exact"/>
        <w:ind w:firstLine="640" w:firstLineChars="200"/>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2026</w:t>
      </w:r>
      <w:r>
        <w:rPr>
          <w:rFonts w:hint="eastAsia" w:ascii="黑体" w:hAnsi="黑体" w:eastAsia="黑体"/>
          <w:sz w:val="32"/>
          <w:szCs w:val="32"/>
        </w:rPr>
        <w:t>年财政重点工作</w:t>
      </w:r>
    </w:p>
    <w:p w14:paraId="5F196B72">
      <w:pPr>
        <w:topLinePunct/>
        <w:adjustRightInd w:val="0"/>
        <w:snapToGrid w:val="0"/>
        <w:spacing w:line="579" w:lineRule="exact"/>
        <w:ind w:firstLine="640" w:firstLineChars="200"/>
        <w:rPr>
          <w:rFonts w:ascii="仿宋_GB2312" w:eastAsia="仿宋_GB2312"/>
          <w:color w:val="FF0000"/>
          <w:sz w:val="32"/>
          <w:szCs w:val="32"/>
        </w:rPr>
      </w:pPr>
      <w:r>
        <w:rPr>
          <w:rFonts w:ascii="仿宋_GB2312" w:eastAsia="仿宋_GB2312"/>
          <w:sz w:val="32"/>
          <w:szCs w:val="32"/>
        </w:rPr>
        <w:t>2026</w:t>
      </w:r>
      <w:r>
        <w:rPr>
          <w:rFonts w:hint="eastAsia" w:ascii="仿宋_GB2312" w:eastAsia="仿宋_GB2312"/>
          <w:sz w:val="32"/>
          <w:szCs w:val="32"/>
        </w:rPr>
        <w:t>年，全区财政工作在</w:t>
      </w:r>
      <w:r>
        <w:rPr>
          <w:rFonts w:hint="eastAsia" w:ascii="仿宋_GB2312" w:eastAsia="仿宋_GB2312"/>
          <w:sz w:val="32"/>
          <w:szCs w:val="32"/>
          <w:lang w:eastAsia="zh-CN"/>
        </w:rPr>
        <w:t>中共二十届四中全会</w:t>
      </w:r>
      <w:r>
        <w:rPr>
          <w:rFonts w:hint="eastAsia" w:ascii="仿宋_GB2312" w:eastAsia="仿宋_GB2312"/>
          <w:sz w:val="32"/>
          <w:szCs w:val="32"/>
        </w:rPr>
        <w:t>精神和“十五五”规划的指引下，紧紧围绕浑南区“十五五”规划纲领，锚定区委部署的工作目标，克难关、战风险、迎挑战，为“十五五”开好局，为打造沈阳东北亚国际化中心城市主城区尽献力量。</w:t>
      </w:r>
    </w:p>
    <w:p w14:paraId="06338137">
      <w:pPr>
        <w:topLinePunct/>
        <w:spacing w:line="579" w:lineRule="exact"/>
        <w:ind w:firstLine="640" w:firstLineChars="200"/>
        <w:rPr>
          <w:rFonts w:ascii="楷体_GB2312" w:eastAsia="楷体_GB2312"/>
          <w:sz w:val="32"/>
          <w:szCs w:val="32"/>
        </w:rPr>
      </w:pPr>
      <w:r>
        <w:rPr>
          <w:rFonts w:hint="eastAsia" w:ascii="楷体_GB2312" w:eastAsia="楷体_GB2312"/>
          <w:sz w:val="32"/>
          <w:szCs w:val="32"/>
        </w:rPr>
        <w:t>（一）强化统筹、拓展渠道，推动收入量质齐升</w:t>
      </w:r>
    </w:p>
    <w:p w14:paraId="493D656A">
      <w:pPr>
        <w:topLinePunct/>
        <w:spacing w:line="579" w:lineRule="exact"/>
        <w:ind w:firstLine="645"/>
        <w:rPr>
          <w:rFonts w:ascii="仿宋" w:hAnsi="仿宋" w:eastAsia="仿宋" w:cs="仿宋"/>
          <w:sz w:val="32"/>
          <w:szCs w:val="32"/>
        </w:rPr>
      </w:pPr>
      <w:r>
        <w:rPr>
          <w:rFonts w:hint="eastAsia" w:ascii="仿宋_GB2312" w:eastAsia="仿宋_GB2312"/>
          <w:sz w:val="32"/>
          <w:szCs w:val="32"/>
        </w:rPr>
        <w:t>强化税收支柱作用，充分利用税收数据分析优势，及时跟踪可疑税源，挖掘存量税源。锚定收入预期，强化多部门协同联动，推进重点企业走访、优质财源培育工作。紧盯重点扶持项目，关注智能制造、生物医疗等行业税收动态</w:t>
      </w:r>
      <w:r>
        <w:rPr>
          <w:rFonts w:hint="eastAsia" w:ascii="仿宋_GB2312" w:eastAsia="仿宋_GB2312"/>
          <w:b/>
          <w:sz w:val="32"/>
          <w:szCs w:val="32"/>
        </w:rPr>
        <w:t>，</w:t>
      </w:r>
      <w:r>
        <w:rPr>
          <w:rFonts w:hint="eastAsia" w:ascii="仿宋_GB2312" w:eastAsia="仿宋_GB2312"/>
          <w:sz w:val="32"/>
          <w:szCs w:val="32"/>
        </w:rPr>
        <w:t>持续拓展税收增收渠道，</w:t>
      </w:r>
      <w:r>
        <w:rPr>
          <w:rFonts w:hint="eastAsia" w:ascii="仿宋_GB2312" w:hAnsi="仿宋" w:eastAsia="仿宋_GB2312" w:cs="仿宋"/>
          <w:sz w:val="32"/>
          <w:szCs w:val="32"/>
        </w:rPr>
        <w:t>力争税收增幅超过</w:t>
      </w:r>
      <w:r>
        <w:rPr>
          <w:rFonts w:ascii="仿宋_GB2312" w:hAnsi="仿宋" w:eastAsia="仿宋_GB2312" w:cs="仿宋"/>
          <w:sz w:val="32"/>
          <w:szCs w:val="32"/>
        </w:rPr>
        <w:t>10%</w:t>
      </w:r>
      <w:r>
        <w:rPr>
          <w:rFonts w:hint="eastAsia" w:ascii="仿宋_GB2312" w:hAnsi="仿宋" w:eastAsia="仿宋_GB2312" w:cs="仿宋"/>
          <w:sz w:val="32"/>
          <w:szCs w:val="32"/>
        </w:rPr>
        <w:t>，提高税收占比，增强收入“含金量”。</w:t>
      </w:r>
    </w:p>
    <w:p w14:paraId="5F007882">
      <w:pPr>
        <w:topLinePunct/>
        <w:spacing w:line="579" w:lineRule="exact"/>
        <w:ind w:firstLine="640" w:firstLineChars="200"/>
        <w:rPr>
          <w:rFonts w:ascii="仿宋_GB2312" w:eastAsia="仿宋_GB2312"/>
          <w:color w:val="FF0000"/>
          <w:sz w:val="32"/>
          <w:szCs w:val="32"/>
        </w:rPr>
      </w:pPr>
      <w:r>
        <w:rPr>
          <w:rFonts w:hint="eastAsia" w:ascii="仿宋_GB2312" w:hAnsi="仿宋" w:eastAsia="仿宋_GB2312" w:cs="仿宋"/>
          <w:sz w:val="32"/>
          <w:szCs w:val="32"/>
        </w:rPr>
        <w:t>持续完善国有资产盘活长效机制，开展各行业各领域资产资源筛查，</w:t>
      </w:r>
      <w:r>
        <w:rPr>
          <w:rFonts w:hint="eastAsia" w:ascii="仿宋_GB2312" w:eastAsia="仿宋_GB2312"/>
          <w:sz w:val="32"/>
          <w:szCs w:val="32"/>
        </w:rPr>
        <w:t>横向扩面，纵向挖潜。加大政府部门自有资金资产、国有企业可用资源、公共资源有偿使用等统筹力度，</w:t>
      </w:r>
      <w:r>
        <w:rPr>
          <w:rFonts w:hint="eastAsia" w:ascii="仿宋_GB2312" w:hAnsi="仿宋" w:eastAsia="仿宋_GB2312" w:cs="仿宋"/>
          <w:sz w:val="32"/>
          <w:szCs w:val="32"/>
        </w:rPr>
        <w:t>通过多元化处置方式盘活存量资产，为财政收入提供必要补充。</w:t>
      </w:r>
    </w:p>
    <w:p w14:paraId="61923246">
      <w:pPr>
        <w:topLinePunct/>
        <w:spacing w:line="579" w:lineRule="exact"/>
        <w:ind w:firstLine="640" w:firstLineChars="200"/>
        <w:rPr>
          <w:rFonts w:ascii="仿宋_GB2312" w:eastAsia="仿宋_GB2312"/>
          <w:b/>
          <w:color w:val="FF0000"/>
          <w:sz w:val="32"/>
          <w:szCs w:val="32"/>
        </w:rPr>
      </w:pPr>
      <w:r>
        <w:rPr>
          <w:rFonts w:hint="eastAsia" w:ascii="仿宋_GB2312" w:eastAsia="仿宋_GB2312"/>
          <w:sz w:val="32"/>
          <w:szCs w:val="32"/>
        </w:rPr>
        <w:t>继续抢抓政策窗口期，积极争取上级资金。向上发力，做好政策解读、提前预判和项目对接。加强项目库动态管理，多部门协作，挑选周期短、效益高的项目及时申报。继续申报建设地债，</w:t>
      </w:r>
      <w:r>
        <w:rPr>
          <w:rFonts w:hint="eastAsia" w:ascii="仿宋_GB2312" w:hAnsi="仿宋" w:eastAsia="仿宋_GB2312" w:cs="仿宋"/>
          <w:sz w:val="32"/>
          <w:szCs w:val="32"/>
        </w:rPr>
        <w:t>重点支持科技城、王家湾等重大项目建设</w:t>
      </w:r>
      <w:r>
        <w:rPr>
          <w:rFonts w:hint="eastAsia" w:ascii="仿宋_GB2312" w:eastAsia="仿宋_GB2312"/>
          <w:sz w:val="32"/>
          <w:szCs w:val="32"/>
        </w:rPr>
        <w:t>。</w:t>
      </w:r>
    </w:p>
    <w:p w14:paraId="567C4A2B">
      <w:pPr>
        <w:topLinePunct/>
        <w:spacing w:line="579" w:lineRule="exact"/>
        <w:ind w:firstLine="640" w:firstLineChars="200"/>
        <w:rPr>
          <w:rFonts w:ascii="楷体_GB2312" w:eastAsia="楷体_GB2312"/>
          <w:sz w:val="32"/>
          <w:szCs w:val="32"/>
        </w:rPr>
      </w:pPr>
      <w:r>
        <w:rPr>
          <w:rFonts w:hint="eastAsia" w:ascii="楷体_GB2312" w:eastAsia="楷体_GB2312"/>
          <w:sz w:val="32"/>
          <w:szCs w:val="32"/>
        </w:rPr>
        <w:t>（二）优化结构、坚守底线，确保债务风险可控</w:t>
      </w:r>
    </w:p>
    <w:p w14:paraId="2873DA82">
      <w:pPr>
        <w:topLinePunct/>
        <w:spacing w:line="579" w:lineRule="exact"/>
        <w:ind w:firstLine="640" w:firstLineChars="200"/>
        <w:rPr>
          <w:rFonts w:ascii="仿宋_GB2312" w:hAnsi="黑体" w:eastAsia="仿宋_GB2312"/>
          <w:sz w:val="32"/>
          <w:szCs w:val="32"/>
        </w:rPr>
      </w:pPr>
      <w:r>
        <w:rPr>
          <w:rFonts w:hint="eastAsia" w:ascii="仿宋_GB2312" w:hAnsi="黑体" w:eastAsia="仿宋_GB2312"/>
          <w:bCs/>
          <w:sz w:val="32"/>
          <w:szCs w:val="32"/>
        </w:rPr>
        <w:t>继续优化债务结构。</w:t>
      </w:r>
      <w:r>
        <w:rPr>
          <w:rFonts w:hint="eastAsia" w:ascii="仿宋_GB2312" w:hAnsi="仿宋" w:eastAsia="仿宋_GB2312" w:cs="仿宋"/>
          <w:sz w:val="32"/>
          <w:szCs w:val="32"/>
        </w:rPr>
        <w:t>密切跟踪国家及省市债务管理政策导向，</w:t>
      </w:r>
      <w:r>
        <w:rPr>
          <w:rFonts w:hint="eastAsia" w:ascii="仿宋_GB2312" w:hAnsi="黑体" w:eastAsia="仿宋_GB2312"/>
          <w:sz w:val="32"/>
          <w:szCs w:val="32"/>
        </w:rPr>
        <w:t>积极申报再融资债券置换存量隐性债务</w:t>
      </w:r>
      <w:r>
        <w:rPr>
          <w:rFonts w:ascii="仿宋_GB2312" w:hAnsi="仿宋" w:eastAsia="仿宋_GB2312" w:cs="仿宋"/>
          <w:sz w:val="32"/>
          <w:szCs w:val="32"/>
        </w:rPr>
        <w:t>17.9</w:t>
      </w:r>
      <w:r>
        <w:rPr>
          <w:rFonts w:hint="eastAsia" w:ascii="仿宋_GB2312" w:hAnsi="黑体" w:eastAsia="仿宋_GB2312"/>
          <w:sz w:val="32"/>
          <w:szCs w:val="32"/>
        </w:rPr>
        <w:t>亿元，置换后完成融资平台清退任务。</w:t>
      </w:r>
    </w:p>
    <w:p w14:paraId="590586E9">
      <w:pPr>
        <w:topLinePunct/>
        <w:spacing w:line="579" w:lineRule="exact"/>
        <w:ind w:firstLine="640" w:firstLineChars="200"/>
        <w:rPr>
          <w:rFonts w:ascii="仿宋_GB2312" w:eastAsia="仿宋_GB2312"/>
          <w:b/>
          <w:sz w:val="32"/>
          <w:szCs w:val="32"/>
        </w:rPr>
      </w:pPr>
      <w:r>
        <w:rPr>
          <w:rFonts w:hint="eastAsia" w:ascii="仿宋_GB2312" w:eastAsia="仿宋_GB2312"/>
          <w:sz w:val="32"/>
          <w:szCs w:val="32"/>
        </w:rPr>
        <w:t>加强风险防控管理。完善债务生命全周期、全流程、动态化管控机制，对债务规模、结构、成本等关键要素予以严密把控。科学规划资金，妥善降低风险。及时跟踪银行利率变化，努力降低债务成本。</w:t>
      </w:r>
    </w:p>
    <w:p w14:paraId="3AB184BF">
      <w:pPr>
        <w:topLinePunct/>
        <w:spacing w:line="579" w:lineRule="exact"/>
        <w:ind w:firstLine="640" w:firstLineChars="200"/>
        <w:rPr>
          <w:rFonts w:ascii="仿宋" w:hAnsi="仿宋" w:eastAsia="仿宋" w:cs="仿宋"/>
          <w:sz w:val="32"/>
          <w:szCs w:val="32"/>
        </w:rPr>
      </w:pPr>
      <w:r>
        <w:rPr>
          <w:rFonts w:hint="eastAsia" w:ascii="仿宋_GB2312" w:hAnsi="黑体" w:eastAsia="仿宋_GB2312"/>
          <w:sz w:val="32"/>
          <w:szCs w:val="32"/>
        </w:rPr>
        <w:t>加强资金计划管理。通过预算安排、盘活存量资产及资产抵顶等方式统筹资金，确保按时足额偿还到期政府债务，</w:t>
      </w:r>
      <w:r>
        <w:rPr>
          <w:rFonts w:hint="eastAsia" w:ascii="仿宋_GB2312" w:hAnsi="仿宋" w:eastAsia="仿宋_GB2312" w:cs="仿宋"/>
          <w:sz w:val="32"/>
          <w:szCs w:val="32"/>
        </w:rPr>
        <w:t>坚决守住不发生系统性债务风险的底线。</w:t>
      </w:r>
    </w:p>
    <w:p w14:paraId="472C93E5">
      <w:pPr>
        <w:topLinePunct/>
        <w:spacing w:line="579" w:lineRule="exact"/>
        <w:ind w:firstLine="640" w:firstLineChars="200"/>
        <w:rPr>
          <w:rFonts w:ascii="仿宋_GB2312" w:eastAsia="仿宋_GB2312"/>
          <w:sz w:val="32"/>
          <w:szCs w:val="32"/>
        </w:rPr>
      </w:pPr>
      <w:r>
        <w:rPr>
          <w:rFonts w:hint="eastAsia" w:ascii="楷体_GB2312" w:eastAsia="楷体_GB2312"/>
          <w:sz w:val="32"/>
          <w:szCs w:val="32"/>
        </w:rPr>
        <w:t>（三）提振经济、激活动力，财政政策积极有为</w:t>
      </w:r>
    </w:p>
    <w:p w14:paraId="14773E98">
      <w:pPr>
        <w:topLinePunct/>
        <w:adjustRightInd w:val="0"/>
        <w:snapToGrid w:val="0"/>
        <w:spacing w:line="579" w:lineRule="exact"/>
        <w:ind w:firstLine="640" w:firstLineChars="200"/>
        <w:rPr>
          <w:rFonts w:ascii="仿宋_GB2312" w:hAnsi="黑体" w:eastAsia="仿宋_GB2312"/>
          <w:sz w:val="32"/>
          <w:szCs w:val="32"/>
        </w:rPr>
      </w:pPr>
      <w:r>
        <w:rPr>
          <w:rFonts w:hint="eastAsia" w:ascii="仿宋_GB2312" w:hAnsi="黑体" w:eastAsia="仿宋_GB2312"/>
          <w:sz w:val="32"/>
          <w:szCs w:val="32"/>
        </w:rPr>
        <w:t>新的一年里，财政政策从积极到更加积极，将政策着力点放在实体经济上。继续深入落实国家减税降费政策，切实降低企业成本。</w:t>
      </w:r>
      <w:r>
        <w:rPr>
          <w:rFonts w:hint="eastAsia" w:ascii="仿宋_GB2312" w:eastAsia="仿宋_GB2312"/>
          <w:sz w:val="32"/>
          <w:szCs w:val="32"/>
        </w:rPr>
        <w:t>安排预算资金</w:t>
      </w:r>
      <w:r>
        <w:rPr>
          <w:rFonts w:ascii="仿宋_GB2312" w:eastAsia="仿宋_GB2312"/>
          <w:sz w:val="32"/>
          <w:szCs w:val="32"/>
        </w:rPr>
        <w:t>2</w:t>
      </w:r>
      <w:r>
        <w:rPr>
          <w:rFonts w:hint="eastAsia" w:ascii="仿宋_GB2312" w:eastAsia="仿宋_GB2312"/>
          <w:sz w:val="32"/>
          <w:szCs w:val="32"/>
        </w:rPr>
        <w:t>亿元，支持主导产业做大做强，选择市场广、见效快的科技项目，精准滴灌，加速产业布局调整。</w:t>
      </w:r>
    </w:p>
    <w:p w14:paraId="79D8F305">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加大消费和投资拉动效应，助力经济回升。预算安排文旅发展资金、活动展会资金合计28</w:t>
      </w:r>
      <w:r>
        <w:rPr>
          <w:rFonts w:ascii="仿宋_GB2312" w:eastAsia="仿宋_GB2312"/>
          <w:sz w:val="32"/>
          <w:szCs w:val="32"/>
        </w:rPr>
        <w:t>00</w:t>
      </w:r>
      <w:r>
        <w:rPr>
          <w:rFonts w:hint="eastAsia" w:ascii="仿宋_GB2312" w:eastAsia="仿宋_GB2312"/>
          <w:sz w:val="32"/>
          <w:szCs w:val="32"/>
        </w:rPr>
        <w:t>万元，支持“爱上浑南”促</w:t>
      </w:r>
      <w:r>
        <w:rPr>
          <w:rFonts w:hint="eastAsia" w:ascii="仿宋_GB2312" w:eastAsia="仿宋_GB2312"/>
          <w:sz w:val="32"/>
          <w:szCs w:val="32"/>
          <w:lang w:eastAsia="zh-CN"/>
        </w:rPr>
        <w:t>消费</w:t>
      </w:r>
      <w:r>
        <w:rPr>
          <w:rFonts w:hint="eastAsia" w:ascii="仿宋_GB2312" w:eastAsia="仿宋_GB2312"/>
          <w:sz w:val="32"/>
          <w:szCs w:val="32"/>
        </w:rPr>
        <w:t>活动，支持夜经济、冰雪经济等新业态。加大冬运会场馆、浑南科技城周边基础设施投入，续建城市排洪治涝基础设施。</w:t>
      </w:r>
      <w:bookmarkStart w:id="0" w:name="_GoBack"/>
      <w:bookmarkEnd w:id="0"/>
    </w:p>
    <w:p w14:paraId="673B0EEF">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持续优化营商环境。新的一年里，落实国家新的解决企业拖欠账款政策，利用新增地债、政府配比和企业自筹等方式，解决多年积重难返问题，鼓励企业继续将政策红利释放到生产和消费领域。</w:t>
      </w:r>
    </w:p>
    <w:p w14:paraId="3FC7F5E9">
      <w:pPr>
        <w:topLinePunct/>
        <w:adjustRightInd w:val="0"/>
        <w:snapToGrid w:val="0"/>
        <w:spacing w:line="579" w:lineRule="exact"/>
        <w:ind w:firstLine="640" w:firstLineChars="200"/>
        <w:rPr>
          <w:rFonts w:ascii="楷体_GB2312" w:eastAsia="楷体_GB2312"/>
          <w:sz w:val="32"/>
          <w:szCs w:val="32"/>
        </w:rPr>
      </w:pPr>
      <w:r>
        <w:rPr>
          <w:rFonts w:hint="eastAsia" w:ascii="楷体_GB2312" w:eastAsia="楷体_GB2312"/>
          <w:sz w:val="32"/>
          <w:szCs w:val="32"/>
        </w:rPr>
        <w:t>（四）保障基本、改善民生，全力打造幸福浑南</w:t>
      </w:r>
    </w:p>
    <w:p w14:paraId="456918D9">
      <w:pPr>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bCs/>
          <w:sz w:val="32"/>
          <w:szCs w:val="32"/>
        </w:rPr>
        <w:t>加大保障和改善民生力度，扎实推进全体人民共同富裕，坚持尽力而为、量力而行，支持普惠性、基础性、兜底性民生建设，力争</w:t>
      </w:r>
      <w:r>
        <w:rPr>
          <w:rFonts w:hint="eastAsia" w:ascii="仿宋_GB2312" w:hAnsi="仿宋" w:eastAsia="仿宋_GB2312" w:cs="仿宋"/>
          <w:sz w:val="32"/>
          <w:szCs w:val="32"/>
        </w:rPr>
        <w:t>民生投入占比达到</w:t>
      </w:r>
      <w:r>
        <w:rPr>
          <w:rFonts w:ascii="仿宋_GB2312" w:hAnsi="仿宋" w:eastAsia="仿宋_GB2312" w:cs="仿宋"/>
          <w:sz w:val="32"/>
          <w:szCs w:val="32"/>
        </w:rPr>
        <w:t>75%</w:t>
      </w:r>
      <w:r>
        <w:rPr>
          <w:rFonts w:hint="eastAsia" w:ascii="仿宋_GB2312" w:hAnsi="仿宋" w:eastAsia="仿宋_GB2312" w:cs="仿宋"/>
          <w:sz w:val="32"/>
          <w:szCs w:val="32"/>
        </w:rPr>
        <w:t>以上。</w:t>
      </w:r>
    </w:p>
    <w:p w14:paraId="5E07FAA7">
      <w:pPr>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推进教育事业发展，安排预算支出8.2亿元，增长2.4</w:t>
      </w:r>
      <w:r>
        <w:rPr>
          <w:rFonts w:ascii="仿宋_GB2312" w:hAnsi="仿宋" w:eastAsia="仿宋_GB2312" w:cs="仿宋"/>
          <w:sz w:val="32"/>
          <w:szCs w:val="32"/>
        </w:rPr>
        <w:t>%</w:t>
      </w:r>
      <w:r>
        <w:rPr>
          <w:rFonts w:hint="eastAsia" w:ascii="仿宋_GB2312" w:hAnsi="仿宋" w:eastAsia="仿宋_GB2312" w:cs="仿宋"/>
          <w:sz w:val="32"/>
          <w:szCs w:val="32"/>
        </w:rPr>
        <w:t>。支持人才兴区战略，安排人才发展资金</w:t>
      </w:r>
      <w:r>
        <w:rPr>
          <w:rFonts w:ascii="仿宋_GB2312" w:hAnsi="仿宋" w:eastAsia="仿宋_GB2312" w:cs="仿宋"/>
          <w:sz w:val="32"/>
          <w:szCs w:val="32"/>
        </w:rPr>
        <w:t>8000</w:t>
      </w:r>
      <w:r>
        <w:rPr>
          <w:rFonts w:hint="eastAsia" w:ascii="仿宋_GB2312" w:hAnsi="仿宋" w:eastAsia="仿宋_GB2312" w:cs="仿宋"/>
          <w:sz w:val="32"/>
          <w:szCs w:val="32"/>
        </w:rPr>
        <w:t>万元。支持“舒心就业”工程，促进高质量充分就业。完善社会保障体系，重点关注社会低保、失能老人、残疾儿童等特殊群体，统筹资源，稳步推进基本公共服务均等化，切实解决群众急难愁盼问题。</w:t>
      </w:r>
    </w:p>
    <w:p w14:paraId="78CABF6F">
      <w:pPr>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夯实农业农村投入。安排农业发展资金</w:t>
      </w:r>
      <w:r>
        <w:rPr>
          <w:rFonts w:ascii="仿宋_GB2312" w:hAnsi="仿宋" w:eastAsia="仿宋_GB2312" w:cs="仿宋"/>
          <w:sz w:val="32"/>
          <w:szCs w:val="32"/>
        </w:rPr>
        <w:t>3000</w:t>
      </w:r>
      <w:r>
        <w:rPr>
          <w:rFonts w:hint="eastAsia" w:ascii="仿宋_GB2312" w:hAnsi="仿宋" w:eastAsia="仿宋_GB2312" w:cs="仿宋"/>
          <w:sz w:val="32"/>
          <w:szCs w:val="32"/>
        </w:rPr>
        <w:t>万元，支持富农产业壮大，推进宜居乡村建设。加强农村环境治理，安排农村道路环卫扫保支出预算3234万元。全年安排预算4300万元，确保村干部工资及时统一发放。支持建设</w:t>
      </w:r>
      <w:r>
        <w:rPr>
          <w:rFonts w:ascii="仿宋_GB2312" w:hAnsi="仿宋" w:eastAsia="仿宋_GB2312" w:cs="仿宋"/>
          <w:sz w:val="32"/>
          <w:szCs w:val="32"/>
        </w:rPr>
        <w:t>10</w:t>
      </w:r>
      <w:r>
        <w:rPr>
          <w:rFonts w:hint="eastAsia" w:ascii="仿宋_GB2312" w:hAnsi="仿宋" w:eastAsia="仿宋_GB2312" w:cs="仿宋"/>
          <w:sz w:val="32"/>
          <w:szCs w:val="32"/>
        </w:rPr>
        <w:t>万亩高标准农田。预算安排3200万元，支持林业防火防灾体系运转，确保“东部青山半入城”的完美展现。</w:t>
      </w:r>
    </w:p>
    <w:p w14:paraId="5051F417">
      <w:pPr>
        <w:topLinePunct/>
        <w:adjustRightInd w:val="0"/>
        <w:snapToGrid w:val="0"/>
        <w:spacing w:line="579" w:lineRule="exact"/>
        <w:ind w:firstLine="640" w:firstLineChars="200"/>
        <w:rPr>
          <w:rFonts w:ascii="楷体_GB2312" w:eastAsia="楷体_GB2312"/>
          <w:sz w:val="32"/>
          <w:szCs w:val="32"/>
        </w:rPr>
      </w:pPr>
      <w:r>
        <w:rPr>
          <w:rFonts w:hint="eastAsia" w:ascii="楷体_GB2312" w:eastAsia="楷体_GB2312"/>
          <w:sz w:val="32"/>
          <w:szCs w:val="32"/>
        </w:rPr>
        <w:t>（五）完善机制、提质增效，加强财政精细管理</w:t>
      </w:r>
    </w:p>
    <w:p w14:paraId="3D8D8F2E">
      <w:pPr>
        <w:adjustRightInd w:val="0"/>
        <w:snapToGrid w:val="0"/>
        <w:spacing w:line="579"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牢固树立过“紧日子”思想，</w:t>
      </w:r>
      <w:r>
        <w:rPr>
          <w:rFonts w:hint="eastAsia" w:ascii="仿宋_GB2312" w:eastAsia="仿宋_GB2312"/>
          <w:color w:val="000000"/>
          <w:sz w:val="32"/>
          <w:szCs w:val="32"/>
        </w:rPr>
        <w:t>推进零基预算改革，</w:t>
      </w:r>
      <w:r>
        <w:rPr>
          <w:rFonts w:hint="eastAsia" w:ascii="仿宋_GB2312" w:hAnsi="仿宋_GB2312" w:eastAsia="仿宋_GB2312" w:cs="仿宋_GB2312"/>
          <w:kern w:val="0"/>
          <w:sz w:val="32"/>
          <w:szCs w:val="32"/>
        </w:rPr>
        <w:t>着力“降低”财政运行负担，大幅压减非急需、非刚性支出，清理规范过高承诺、过度保障的支出政策，将节省的财力用于发展紧要处和民生关键点，切实增强了财政的可持续性。</w:t>
      </w:r>
    </w:p>
    <w:p w14:paraId="41907CA7">
      <w:pPr>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继续完善协税护税网格建设，落实街道主体责任，提升服务企业的精准度，完善税源监控体系。建立与税务部门、政府职能部门的沟通反馈机制，切实解决企业难题。多部门协同，建立税收与其他经济指标衔接对比分析机制。</w:t>
      </w:r>
    </w:p>
    <w:p w14:paraId="255656B4">
      <w:pPr>
        <w:adjustRightInd w:val="0"/>
        <w:snapToGrid w:val="0"/>
        <w:spacing w:line="579" w:lineRule="exact"/>
        <w:ind w:firstLine="640" w:firstLineChars="200"/>
        <w:rPr>
          <w:rFonts w:ascii="仿宋_GB2312" w:eastAsia="仿宋_GB2312"/>
          <w:color w:val="000000"/>
          <w:sz w:val="32"/>
          <w:szCs w:val="32"/>
        </w:rPr>
      </w:pPr>
      <w:r>
        <w:rPr>
          <w:rFonts w:hint="eastAsia" w:ascii="仿宋_GB2312" w:eastAsia="仿宋_GB2312"/>
          <w:color w:val="000000"/>
          <w:sz w:val="32"/>
          <w:szCs w:val="32"/>
        </w:rPr>
        <w:t>加快构建事前、事中、事后绩效管理闭环体系，将评价结果与预算安排、改进管理和完善政策的挂钩。将政府购买服务绩效结果与预算安排挂钩。对低效无效支出严肃追责问责，确保财政资金用在刀刃上、花出实效来。</w:t>
      </w:r>
    </w:p>
    <w:p w14:paraId="5312872C">
      <w:pPr>
        <w:topLinePunct/>
        <w:autoSpaceDE w:val="0"/>
        <w:adjustRightInd w:val="0"/>
        <w:snapToGrid w:val="0"/>
        <w:spacing w:line="579" w:lineRule="exact"/>
        <w:ind w:firstLine="640" w:firstLineChars="200"/>
        <w:rPr>
          <w:rFonts w:ascii="仿宋_GB2312" w:hAnsi="仿宋" w:eastAsia="仿宋_GB2312" w:cs="仿宋"/>
          <w:sz w:val="32"/>
          <w:szCs w:val="32"/>
        </w:rPr>
      </w:pPr>
      <w:r>
        <w:rPr>
          <w:rFonts w:hint="eastAsia" w:ascii="仿宋_GB2312" w:hAnsi="仿宋" w:eastAsia="仿宋_GB2312" w:cs="仿宋"/>
          <w:sz w:val="32"/>
          <w:szCs w:val="32"/>
        </w:rPr>
        <w:t>强化财政监督工作。加强政府投资项目造价审核制度规范和全流程监管，提高第三方机构管理约束能力。推动“阳光财政”，深化预决算信息公开，持续扩大预决算公开范围与细化程度，主动接受人大、审计和社会监督，认真及时反馈人大代表和政协委员的提案和建议，</w:t>
      </w:r>
    </w:p>
    <w:p w14:paraId="5BFB1048">
      <w:pPr>
        <w:topLinePunct/>
        <w:adjustRightInd w:val="0"/>
        <w:snapToGrid w:val="0"/>
        <w:spacing w:line="579" w:lineRule="exact"/>
        <w:ind w:firstLine="640" w:firstLineChars="200"/>
        <w:rPr>
          <w:rFonts w:ascii="仿宋_GB2312" w:eastAsia="仿宋_GB2312"/>
          <w:sz w:val="32"/>
          <w:szCs w:val="32"/>
        </w:rPr>
      </w:pPr>
      <w:r>
        <w:rPr>
          <w:rFonts w:hint="eastAsia" w:ascii="仿宋_GB2312" w:eastAsia="仿宋_GB2312"/>
          <w:sz w:val="32"/>
          <w:szCs w:val="32"/>
        </w:rPr>
        <w:t>各位代表，</w:t>
      </w:r>
      <w:r>
        <w:rPr>
          <w:rFonts w:ascii="仿宋_GB2312" w:eastAsia="仿宋_GB2312"/>
          <w:sz w:val="32"/>
          <w:szCs w:val="32"/>
        </w:rPr>
        <w:t>2026</w:t>
      </w:r>
      <w:r>
        <w:rPr>
          <w:rFonts w:hint="eastAsia" w:ascii="仿宋_GB2312" w:eastAsia="仿宋_GB2312"/>
          <w:sz w:val="32"/>
          <w:szCs w:val="32"/>
        </w:rPr>
        <w:t>年，我们在习近平新时代中国特色社会主义思想指引下，坚决贯彻落实区委二届十一次全会要求，自觉接受人大的监督指导，认真听取政协的意见建议，以承继过往奋斗之志，凝聚万众一心之力，</w:t>
      </w:r>
      <w:r>
        <w:rPr>
          <w:rFonts w:hint="eastAsia" w:ascii="仿宋_GB2312" w:hAnsi="仿宋" w:eastAsia="仿宋_GB2312"/>
          <w:sz w:val="32"/>
          <w:szCs w:val="32"/>
        </w:rPr>
        <w:t>以“千淘万漉虽辛苦，吹尽狂沙始到金”的决胜信念，接续奋斗</w:t>
      </w:r>
      <w:r>
        <w:rPr>
          <w:rFonts w:hint="eastAsia" w:ascii="仿宋_GB2312" w:eastAsia="仿宋_GB2312"/>
          <w:sz w:val="32"/>
          <w:szCs w:val="32"/>
        </w:rPr>
        <w:t>，砥砺前行，为谱写中国式现代化浑南篇章贡献财政力量！</w:t>
      </w:r>
    </w:p>
    <w:sectPr>
      <w:footerReference r:id="rId3" w:type="default"/>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algun Gothic Semilight">
    <w:altName w:val="宋体"/>
    <w:panose1 w:val="00000000000000000000"/>
    <w:charset w:val="86"/>
    <w:family w:val="swiss"/>
    <w:pitch w:val="default"/>
    <w:sig w:usb0="00000000" w:usb1="00000000" w:usb2="00000010" w:usb3="00000000" w:csb0="00040000" w:csb1="00000000"/>
  </w:font>
  <w:font w:name="Arial Unicode MS">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28A70">
    <w:pPr>
      <w:pStyle w:val="4"/>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20 -</w:t>
    </w:r>
    <w:r>
      <w:rPr>
        <w:sz w:val="24"/>
        <w:szCs w:val="24"/>
      </w:rPr>
      <w:fldChar w:fldCharType="end"/>
    </w:r>
  </w:p>
  <w:p w14:paraId="6F150A77">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193"/>
    <w:rsid w:val="00001379"/>
    <w:rsid w:val="00002347"/>
    <w:rsid w:val="00003A05"/>
    <w:rsid w:val="00005051"/>
    <w:rsid w:val="00005172"/>
    <w:rsid w:val="00005630"/>
    <w:rsid w:val="000057AB"/>
    <w:rsid w:val="00011EFE"/>
    <w:rsid w:val="00016371"/>
    <w:rsid w:val="00031951"/>
    <w:rsid w:val="000319B7"/>
    <w:rsid w:val="000504C8"/>
    <w:rsid w:val="000559A2"/>
    <w:rsid w:val="00056EC8"/>
    <w:rsid w:val="00061410"/>
    <w:rsid w:val="00064CE2"/>
    <w:rsid w:val="00066577"/>
    <w:rsid w:val="000709C1"/>
    <w:rsid w:val="00072ADD"/>
    <w:rsid w:val="00074DAC"/>
    <w:rsid w:val="00082344"/>
    <w:rsid w:val="00082EF6"/>
    <w:rsid w:val="00091994"/>
    <w:rsid w:val="000920C0"/>
    <w:rsid w:val="000947D9"/>
    <w:rsid w:val="000966EB"/>
    <w:rsid w:val="00097FEB"/>
    <w:rsid w:val="000A260E"/>
    <w:rsid w:val="000B0672"/>
    <w:rsid w:val="000C2386"/>
    <w:rsid w:val="000C491B"/>
    <w:rsid w:val="000C67CB"/>
    <w:rsid w:val="000C7CD8"/>
    <w:rsid w:val="000D2853"/>
    <w:rsid w:val="000E2E4A"/>
    <w:rsid w:val="000E3464"/>
    <w:rsid w:val="000E7EB8"/>
    <w:rsid w:val="000F0F0F"/>
    <w:rsid w:val="000F747A"/>
    <w:rsid w:val="00103D12"/>
    <w:rsid w:val="00103D4A"/>
    <w:rsid w:val="001062D5"/>
    <w:rsid w:val="00107308"/>
    <w:rsid w:val="00115AA7"/>
    <w:rsid w:val="001170FD"/>
    <w:rsid w:val="001313B5"/>
    <w:rsid w:val="00137258"/>
    <w:rsid w:val="001405C7"/>
    <w:rsid w:val="0014341B"/>
    <w:rsid w:val="00143BA1"/>
    <w:rsid w:val="001457A3"/>
    <w:rsid w:val="00145C43"/>
    <w:rsid w:val="00146FF5"/>
    <w:rsid w:val="00147485"/>
    <w:rsid w:val="00154787"/>
    <w:rsid w:val="00161ED2"/>
    <w:rsid w:val="0016215E"/>
    <w:rsid w:val="0016705B"/>
    <w:rsid w:val="001727B6"/>
    <w:rsid w:val="0017717A"/>
    <w:rsid w:val="00177184"/>
    <w:rsid w:val="001832BF"/>
    <w:rsid w:val="001859D3"/>
    <w:rsid w:val="001864F5"/>
    <w:rsid w:val="00187EE9"/>
    <w:rsid w:val="00194981"/>
    <w:rsid w:val="00195DE2"/>
    <w:rsid w:val="001B253E"/>
    <w:rsid w:val="001B453C"/>
    <w:rsid w:val="001C4788"/>
    <w:rsid w:val="001D006B"/>
    <w:rsid w:val="001D0C56"/>
    <w:rsid w:val="001D2AC6"/>
    <w:rsid w:val="001D41C1"/>
    <w:rsid w:val="001D72C8"/>
    <w:rsid w:val="001D7337"/>
    <w:rsid w:val="001E0E29"/>
    <w:rsid w:val="001E0F43"/>
    <w:rsid w:val="001E1C1E"/>
    <w:rsid w:val="001E5691"/>
    <w:rsid w:val="001E586D"/>
    <w:rsid w:val="001E5979"/>
    <w:rsid w:val="001E6FF5"/>
    <w:rsid w:val="001E7093"/>
    <w:rsid w:val="001F17B5"/>
    <w:rsid w:val="001F3605"/>
    <w:rsid w:val="001F6522"/>
    <w:rsid w:val="00202188"/>
    <w:rsid w:val="002035D8"/>
    <w:rsid w:val="00204DE6"/>
    <w:rsid w:val="002066F6"/>
    <w:rsid w:val="00213FA9"/>
    <w:rsid w:val="00216F13"/>
    <w:rsid w:val="002207FC"/>
    <w:rsid w:val="00223757"/>
    <w:rsid w:val="00226359"/>
    <w:rsid w:val="0022662D"/>
    <w:rsid w:val="00235AA6"/>
    <w:rsid w:val="00237752"/>
    <w:rsid w:val="002414F3"/>
    <w:rsid w:val="002448FD"/>
    <w:rsid w:val="002538D4"/>
    <w:rsid w:val="00255415"/>
    <w:rsid w:val="002559D0"/>
    <w:rsid w:val="0025666B"/>
    <w:rsid w:val="00257148"/>
    <w:rsid w:val="0026386A"/>
    <w:rsid w:val="00267C50"/>
    <w:rsid w:val="00271BCA"/>
    <w:rsid w:val="00274195"/>
    <w:rsid w:val="002774E1"/>
    <w:rsid w:val="00280C52"/>
    <w:rsid w:val="002819BF"/>
    <w:rsid w:val="00281BBE"/>
    <w:rsid w:val="00292B61"/>
    <w:rsid w:val="00293B2A"/>
    <w:rsid w:val="002965FB"/>
    <w:rsid w:val="002A05E3"/>
    <w:rsid w:val="002A1395"/>
    <w:rsid w:val="002A14AE"/>
    <w:rsid w:val="002A4D0C"/>
    <w:rsid w:val="002A6C66"/>
    <w:rsid w:val="002B0FB5"/>
    <w:rsid w:val="002B1901"/>
    <w:rsid w:val="002B2758"/>
    <w:rsid w:val="002B7053"/>
    <w:rsid w:val="002C6B11"/>
    <w:rsid w:val="002C76CD"/>
    <w:rsid w:val="002D0645"/>
    <w:rsid w:val="002D442E"/>
    <w:rsid w:val="002E135C"/>
    <w:rsid w:val="002E14B3"/>
    <w:rsid w:val="002E2587"/>
    <w:rsid w:val="002E3091"/>
    <w:rsid w:val="002E75E3"/>
    <w:rsid w:val="002F310B"/>
    <w:rsid w:val="002F33DC"/>
    <w:rsid w:val="002F3CEB"/>
    <w:rsid w:val="002F60AE"/>
    <w:rsid w:val="002F7A48"/>
    <w:rsid w:val="0030009F"/>
    <w:rsid w:val="00301B67"/>
    <w:rsid w:val="003039DD"/>
    <w:rsid w:val="003056F3"/>
    <w:rsid w:val="003073FC"/>
    <w:rsid w:val="003129CA"/>
    <w:rsid w:val="00313C2A"/>
    <w:rsid w:val="00315993"/>
    <w:rsid w:val="00320CBA"/>
    <w:rsid w:val="0032121E"/>
    <w:rsid w:val="003219AE"/>
    <w:rsid w:val="00322B89"/>
    <w:rsid w:val="003246BB"/>
    <w:rsid w:val="00326129"/>
    <w:rsid w:val="00332293"/>
    <w:rsid w:val="00334ABC"/>
    <w:rsid w:val="00335F4A"/>
    <w:rsid w:val="00336F67"/>
    <w:rsid w:val="00337041"/>
    <w:rsid w:val="00340661"/>
    <w:rsid w:val="003417EF"/>
    <w:rsid w:val="0034224F"/>
    <w:rsid w:val="003435B4"/>
    <w:rsid w:val="00344D44"/>
    <w:rsid w:val="00347815"/>
    <w:rsid w:val="00351193"/>
    <w:rsid w:val="00351462"/>
    <w:rsid w:val="003515C4"/>
    <w:rsid w:val="00352DEF"/>
    <w:rsid w:val="003553AA"/>
    <w:rsid w:val="00356EEA"/>
    <w:rsid w:val="003635B9"/>
    <w:rsid w:val="00371D28"/>
    <w:rsid w:val="00372971"/>
    <w:rsid w:val="00380B92"/>
    <w:rsid w:val="00390089"/>
    <w:rsid w:val="00396018"/>
    <w:rsid w:val="0039601F"/>
    <w:rsid w:val="003965FE"/>
    <w:rsid w:val="00397E17"/>
    <w:rsid w:val="003A6BD5"/>
    <w:rsid w:val="003B0F1B"/>
    <w:rsid w:val="003B23A1"/>
    <w:rsid w:val="003B2C41"/>
    <w:rsid w:val="003B331B"/>
    <w:rsid w:val="003C28ED"/>
    <w:rsid w:val="003C3B4A"/>
    <w:rsid w:val="003C4A8F"/>
    <w:rsid w:val="003C5750"/>
    <w:rsid w:val="003D5968"/>
    <w:rsid w:val="003E5EDC"/>
    <w:rsid w:val="003E67BB"/>
    <w:rsid w:val="003E686B"/>
    <w:rsid w:val="003E7C3B"/>
    <w:rsid w:val="003F0EC5"/>
    <w:rsid w:val="003F5027"/>
    <w:rsid w:val="003F6358"/>
    <w:rsid w:val="00400370"/>
    <w:rsid w:val="00401D65"/>
    <w:rsid w:val="00402735"/>
    <w:rsid w:val="0040430D"/>
    <w:rsid w:val="00411EA2"/>
    <w:rsid w:val="00412DDA"/>
    <w:rsid w:val="004179C9"/>
    <w:rsid w:val="00422947"/>
    <w:rsid w:val="00431290"/>
    <w:rsid w:val="0043248F"/>
    <w:rsid w:val="00441BE6"/>
    <w:rsid w:val="004424BB"/>
    <w:rsid w:val="00455FA1"/>
    <w:rsid w:val="0047316B"/>
    <w:rsid w:val="00474111"/>
    <w:rsid w:val="00476811"/>
    <w:rsid w:val="004779D6"/>
    <w:rsid w:val="00480F86"/>
    <w:rsid w:val="00491690"/>
    <w:rsid w:val="00493084"/>
    <w:rsid w:val="0049396E"/>
    <w:rsid w:val="004A265B"/>
    <w:rsid w:val="004A4631"/>
    <w:rsid w:val="004A7370"/>
    <w:rsid w:val="004B7214"/>
    <w:rsid w:val="004C38B9"/>
    <w:rsid w:val="004D0BA4"/>
    <w:rsid w:val="004D34E8"/>
    <w:rsid w:val="004D48BA"/>
    <w:rsid w:val="004D5346"/>
    <w:rsid w:val="004F133F"/>
    <w:rsid w:val="005004DB"/>
    <w:rsid w:val="00500540"/>
    <w:rsid w:val="00500D3E"/>
    <w:rsid w:val="0050339C"/>
    <w:rsid w:val="00503D06"/>
    <w:rsid w:val="00503D67"/>
    <w:rsid w:val="005066F6"/>
    <w:rsid w:val="005076E7"/>
    <w:rsid w:val="00513627"/>
    <w:rsid w:val="00513821"/>
    <w:rsid w:val="00513F2A"/>
    <w:rsid w:val="0051665F"/>
    <w:rsid w:val="00525635"/>
    <w:rsid w:val="0052721B"/>
    <w:rsid w:val="00527880"/>
    <w:rsid w:val="00533C6B"/>
    <w:rsid w:val="00535756"/>
    <w:rsid w:val="00536A23"/>
    <w:rsid w:val="005375F9"/>
    <w:rsid w:val="00540E70"/>
    <w:rsid w:val="00541648"/>
    <w:rsid w:val="005422AE"/>
    <w:rsid w:val="00552846"/>
    <w:rsid w:val="0055341B"/>
    <w:rsid w:val="0055485C"/>
    <w:rsid w:val="00555691"/>
    <w:rsid w:val="0056372A"/>
    <w:rsid w:val="00564BED"/>
    <w:rsid w:val="00575C0D"/>
    <w:rsid w:val="00581FF5"/>
    <w:rsid w:val="00585409"/>
    <w:rsid w:val="0059106A"/>
    <w:rsid w:val="00591A7B"/>
    <w:rsid w:val="0059653B"/>
    <w:rsid w:val="005B1127"/>
    <w:rsid w:val="005B16C3"/>
    <w:rsid w:val="005B196A"/>
    <w:rsid w:val="005D0CE5"/>
    <w:rsid w:val="005D3ED1"/>
    <w:rsid w:val="005D6A98"/>
    <w:rsid w:val="005E0876"/>
    <w:rsid w:val="005E3F46"/>
    <w:rsid w:val="005E58AE"/>
    <w:rsid w:val="005F1732"/>
    <w:rsid w:val="005F1A58"/>
    <w:rsid w:val="005F520C"/>
    <w:rsid w:val="006010FB"/>
    <w:rsid w:val="00602ED6"/>
    <w:rsid w:val="00604A5B"/>
    <w:rsid w:val="006053F9"/>
    <w:rsid w:val="006077DB"/>
    <w:rsid w:val="006156FB"/>
    <w:rsid w:val="00615B91"/>
    <w:rsid w:val="00615D91"/>
    <w:rsid w:val="00621863"/>
    <w:rsid w:val="00625F6D"/>
    <w:rsid w:val="00630F2C"/>
    <w:rsid w:val="00631C5D"/>
    <w:rsid w:val="00633EAB"/>
    <w:rsid w:val="00645994"/>
    <w:rsid w:val="00647E7E"/>
    <w:rsid w:val="00650F37"/>
    <w:rsid w:val="00651651"/>
    <w:rsid w:val="0065639F"/>
    <w:rsid w:val="00662C4F"/>
    <w:rsid w:val="00665A1C"/>
    <w:rsid w:val="006674BC"/>
    <w:rsid w:val="0066773F"/>
    <w:rsid w:val="0067018A"/>
    <w:rsid w:val="00671ED2"/>
    <w:rsid w:val="006751E1"/>
    <w:rsid w:val="0068241C"/>
    <w:rsid w:val="00684AE6"/>
    <w:rsid w:val="00685481"/>
    <w:rsid w:val="00690DA0"/>
    <w:rsid w:val="00690ECE"/>
    <w:rsid w:val="00692060"/>
    <w:rsid w:val="00694D94"/>
    <w:rsid w:val="006A4028"/>
    <w:rsid w:val="006A4CE7"/>
    <w:rsid w:val="006A533E"/>
    <w:rsid w:val="006B608D"/>
    <w:rsid w:val="006C015D"/>
    <w:rsid w:val="006C321E"/>
    <w:rsid w:val="006C3813"/>
    <w:rsid w:val="006C5087"/>
    <w:rsid w:val="006D0DB3"/>
    <w:rsid w:val="006D2072"/>
    <w:rsid w:val="006D4D12"/>
    <w:rsid w:val="006D6E9D"/>
    <w:rsid w:val="006E11F3"/>
    <w:rsid w:val="006E5E03"/>
    <w:rsid w:val="006F2108"/>
    <w:rsid w:val="006F5A6E"/>
    <w:rsid w:val="006F76FC"/>
    <w:rsid w:val="00702394"/>
    <w:rsid w:val="007046D2"/>
    <w:rsid w:val="007057EE"/>
    <w:rsid w:val="00707951"/>
    <w:rsid w:val="0071119F"/>
    <w:rsid w:val="007113E7"/>
    <w:rsid w:val="00713AF2"/>
    <w:rsid w:val="00717582"/>
    <w:rsid w:val="00720E95"/>
    <w:rsid w:val="0072376A"/>
    <w:rsid w:val="00724174"/>
    <w:rsid w:val="00746C3D"/>
    <w:rsid w:val="007515BD"/>
    <w:rsid w:val="0075772F"/>
    <w:rsid w:val="007640F9"/>
    <w:rsid w:val="007655F6"/>
    <w:rsid w:val="007667A0"/>
    <w:rsid w:val="00767114"/>
    <w:rsid w:val="007716A0"/>
    <w:rsid w:val="007718DE"/>
    <w:rsid w:val="00772175"/>
    <w:rsid w:val="0077403B"/>
    <w:rsid w:val="00774AFF"/>
    <w:rsid w:val="00776FFE"/>
    <w:rsid w:val="007801F5"/>
    <w:rsid w:val="007808B0"/>
    <w:rsid w:val="00780B5A"/>
    <w:rsid w:val="00780FD6"/>
    <w:rsid w:val="00783A93"/>
    <w:rsid w:val="00787EE0"/>
    <w:rsid w:val="00787F0B"/>
    <w:rsid w:val="0079218E"/>
    <w:rsid w:val="00792288"/>
    <w:rsid w:val="007A3F0D"/>
    <w:rsid w:val="007A6193"/>
    <w:rsid w:val="007A7927"/>
    <w:rsid w:val="007B1866"/>
    <w:rsid w:val="007B5C46"/>
    <w:rsid w:val="007C3B8D"/>
    <w:rsid w:val="007C4612"/>
    <w:rsid w:val="007D0814"/>
    <w:rsid w:val="007D0AD2"/>
    <w:rsid w:val="007D5CC8"/>
    <w:rsid w:val="007E7A03"/>
    <w:rsid w:val="007F0ECC"/>
    <w:rsid w:val="007F616F"/>
    <w:rsid w:val="00800A20"/>
    <w:rsid w:val="0080121E"/>
    <w:rsid w:val="0080595E"/>
    <w:rsid w:val="00811763"/>
    <w:rsid w:val="00812127"/>
    <w:rsid w:val="00817DBD"/>
    <w:rsid w:val="008201F2"/>
    <w:rsid w:val="00822AF4"/>
    <w:rsid w:val="00822BF5"/>
    <w:rsid w:val="008316F9"/>
    <w:rsid w:val="0083197F"/>
    <w:rsid w:val="0083415A"/>
    <w:rsid w:val="008349EF"/>
    <w:rsid w:val="00843DF0"/>
    <w:rsid w:val="00846A8C"/>
    <w:rsid w:val="008501F2"/>
    <w:rsid w:val="0085027C"/>
    <w:rsid w:val="008654C5"/>
    <w:rsid w:val="00865665"/>
    <w:rsid w:val="008668D4"/>
    <w:rsid w:val="00866BC6"/>
    <w:rsid w:val="00866FD2"/>
    <w:rsid w:val="00870143"/>
    <w:rsid w:val="00870D19"/>
    <w:rsid w:val="008713ED"/>
    <w:rsid w:val="008717ED"/>
    <w:rsid w:val="008727CA"/>
    <w:rsid w:val="00874BFD"/>
    <w:rsid w:val="008758E2"/>
    <w:rsid w:val="00875D5A"/>
    <w:rsid w:val="008811A5"/>
    <w:rsid w:val="00884FA6"/>
    <w:rsid w:val="0089279D"/>
    <w:rsid w:val="0089465F"/>
    <w:rsid w:val="00895B62"/>
    <w:rsid w:val="008A494D"/>
    <w:rsid w:val="008A4F1E"/>
    <w:rsid w:val="008A5929"/>
    <w:rsid w:val="008A6464"/>
    <w:rsid w:val="008A679E"/>
    <w:rsid w:val="008B06AD"/>
    <w:rsid w:val="008B23F4"/>
    <w:rsid w:val="008B38C5"/>
    <w:rsid w:val="008B3D52"/>
    <w:rsid w:val="008B51ED"/>
    <w:rsid w:val="008B623F"/>
    <w:rsid w:val="008C0DA3"/>
    <w:rsid w:val="008C0E4C"/>
    <w:rsid w:val="008C3375"/>
    <w:rsid w:val="008D013C"/>
    <w:rsid w:val="008D25B9"/>
    <w:rsid w:val="008D26E5"/>
    <w:rsid w:val="008E1F75"/>
    <w:rsid w:val="008E4DDE"/>
    <w:rsid w:val="008E514D"/>
    <w:rsid w:val="008E78F9"/>
    <w:rsid w:val="008F3109"/>
    <w:rsid w:val="00904996"/>
    <w:rsid w:val="009131E5"/>
    <w:rsid w:val="0092112A"/>
    <w:rsid w:val="00923956"/>
    <w:rsid w:val="00932A51"/>
    <w:rsid w:val="009333C0"/>
    <w:rsid w:val="00934961"/>
    <w:rsid w:val="00934F0C"/>
    <w:rsid w:val="0093526E"/>
    <w:rsid w:val="009425F2"/>
    <w:rsid w:val="0094272B"/>
    <w:rsid w:val="009432BD"/>
    <w:rsid w:val="0094465D"/>
    <w:rsid w:val="00945BD9"/>
    <w:rsid w:val="0094693B"/>
    <w:rsid w:val="00955D17"/>
    <w:rsid w:val="00973EC1"/>
    <w:rsid w:val="0097460C"/>
    <w:rsid w:val="00977EF7"/>
    <w:rsid w:val="00983D84"/>
    <w:rsid w:val="00984799"/>
    <w:rsid w:val="00986618"/>
    <w:rsid w:val="00993E3A"/>
    <w:rsid w:val="009947BE"/>
    <w:rsid w:val="0099499C"/>
    <w:rsid w:val="009958CD"/>
    <w:rsid w:val="00995EAE"/>
    <w:rsid w:val="009A69C2"/>
    <w:rsid w:val="009B1586"/>
    <w:rsid w:val="009B1B7A"/>
    <w:rsid w:val="009B2084"/>
    <w:rsid w:val="009B3968"/>
    <w:rsid w:val="009B436E"/>
    <w:rsid w:val="009C368B"/>
    <w:rsid w:val="009D0DB2"/>
    <w:rsid w:val="009D25D5"/>
    <w:rsid w:val="009D2C37"/>
    <w:rsid w:val="009D2E2E"/>
    <w:rsid w:val="009D300F"/>
    <w:rsid w:val="009D3338"/>
    <w:rsid w:val="009E0484"/>
    <w:rsid w:val="009E2D3A"/>
    <w:rsid w:val="00A016EF"/>
    <w:rsid w:val="00A03A81"/>
    <w:rsid w:val="00A1487E"/>
    <w:rsid w:val="00A211B4"/>
    <w:rsid w:val="00A228C9"/>
    <w:rsid w:val="00A304C7"/>
    <w:rsid w:val="00A308E3"/>
    <w:rsid w:val="00A33784"/>
    <w:rsid w:val="00A3662C"/>
    <w:rsid w:val="00A37AB0"/>
    <w:rsid w:val="00A37E7E"/>
    <w:rsid w:val="00A41292"/>
    <w:rsid w:val="00A41460"/>
    <w:rsid w:val="00A42353"/>
    <w:rsid w:val="00A42F5A"/>
    <w:rsid w:val="00A478FA"/>
    <w:rsid w:val="00A52C91"/>
    <w:rsid w:val="00A54B8D"/>
    <w:rsid w:val="00A57951"/>
    <w:rsid w:val="00A60604"/>
    <w:rsid w:val="00A66CA2"/>
    <w:rsid w:val="00A70161"/>
    <w:rsid w:val="00A72491"/>
    <w:rsid w:val="00A754BD"/>
    <w:rsid w:val="00A803AC"/>
    <w:rsid w:val="00A8376F"/>
    <w:rsid w:val="00A866D4"/>
    <w:rsid w:val="00A9011C"/>
    <w:rsid w:val="00A96055"/>
    <w:rsid w:val="00AA0411"/>
    <w:rsid w:val="00AA1D07"/>
    <w:rsid w:val="00AA2F62"/>
    <w:rsid w:val="00AB1BDC"/>
    <w:rsid w:val="00AB6366"/>
    <w:rsid w:val="00AB775A"/>
    <w:rsid w:val="00AD1B9E"/>
    <w:rsid w:val="00AD2D2C"/>
    <w:rsid w:val="00AD2F6E"/>
    <w:rsid w:val="00AE5CAD"/>
    <w:rsid w:val="00AE62FA"/>
    <w:rsid w:val="00AE63A6"/>
    <w:rsid w:val="00AE6B9E"/>
    <w:rsid w:val="00AF067F"/>
    <w:rsid w:val="00AF1BE9"/>
    <w:rsid w:val="00AF3511"/>
    <w:rsid w:val="00AF4EEB"/>
    <w:rsid w:val="00B00EFB"/>
    <w:rsid w:val="00B017D4"/>
    <w:rsid w:val="00B025FD"/>
    <w:rsid w:val="00B04787"/>
    <w:rsid w:val="00B05251"/>
    <w:rsid w:val="00B0595A"/>
    <w:rsid w:val="00B06FB0"/>
    <w:rsid w:val="00B144DC"/>
    <w:rsid w:val="00B14A29"/>
    <w:rsid w:val="00B24124"/>
    <w:rsid w:val="00B25E29"/>
    <w:rsid w:val="00B26276"/>
    <w:rsid w:val="00B4109D"/>
    <w:rsid w:val="00B45982"/>
    <w:rsid w:val="00B46EA8"/>
    <w:rsid w:val="00B522AC"/>
    <w:rsid w:val="00B552F1"/>
    <w:rsid w:val="00B630A2"/>
    <w:rsid w:val="00B645B2"/>
    <w:rsid w:val="00B64651"/>
    <w:rsid w:val="00B70EE9"/>
    <w:rsid w:val="00B738A5"/>
    <w:rsid w:val="00B81360"/>
    <w:rsid w:val="00B92CEA"/>
    <w:rsid w:val="00B96DC2"/>
    <w:rsid w:val="00B97627"/>
    <w:rsid w:val="00BA1B49"/>
    <w:rsid w:val="00BA7A29"/>
    <w:rsid w:val="00BB1AA2"/>
    <w:rsid w:val="00BB6C68"/>
    <w:rsid w:val="00BB7EDD"/>
    <w:rsid w:val="00BC2A8E"/>
    <w:rsid w:val="00BC3447"/>
    <w:rsid w:val="00BC3791"/>
    <w:rsid w:val="00BC3C3E"/>
    <w:rsid w:val="00BC49B5"/>
    <w:rsid w:val="00BC4E37"/>
    <w:rsid w:val="00BC6B40"/>
    <w:rsid w:val="00BC7A95"/>
    <w:rsid w:val="00BD3A22"/>
    <w:rsid w:val="00BE1FAB"/>
    <w:rsid w:val="00BE2BE7"/>
    <w:rsid w:val="00BE3261"/>
    <w:rsid w:val="00BF0083"/>
    <w:rsid w:val="00C00311"/>
    <w:rsid w:val="00C038F7"/>
    <w:rsid w:val="00C05811"/>
    <w:rsid w:val="00C144A1"/>
    <w:rsid w:val="00C14689"/>
    <w:rsid w:val="00C22D96"/>
    <w:rsid w:val="00C24995"/>
    <w:rsid w:val="00C36D1D"/>
    <w:rsid w:val="00C420E6"/>
    <w:rsid w:val="00C42BFC"/>
    <w:rsid w:val="00C42F14"/>
    <w:rsid w:val="00C46DC2"/>
    <w:rsid w:val="00C51E9E"/>
    <w:rsid w:val="00C53B82"/>
    <w:rsid w:val="00C57EDC"/>
    <w:rsid w:val="00C62DCD"/>
    <w:rsid w:val="00C67F97"/>
    <w:rsid w:val="00C73871"/>
    <w:rsid w:val="00C8045F"/>
    <w:rsid w:val="00C839EA"/>
    <w:rsid w:val="00C8432D"/>
    <w:rsid w:val="00C854E0"/>
    <w:rsid w:val="00C85ED1"/>
    <w:rsid w:val="00C863A0"/>
    <w:rsid w:val="00C87756"/>
    <w:rsid w:val="00C92372"/>
    <w:rsid w:val="00C9412A"/>
    <w:rsid w:val="00C946E3"/>
    <w:rsid w:val="00C9695A"/>
    <w:rsid w:val="00CA02A0"/>
    <w:rsid w:val="00CA15BE"/>
    <w:rsid w:val="00CA7720"/>
    <w:rsid w:val="00CA7AF5"/>
    <w:rsid w:val="00CB07ED"/>
    <w:rsid w:val="00CB40AD"/>
    <w:rsid w:val="00CB55AE"/>
    <w:rsid w:val="00CB69A9"/>
    <w:rsid w:val="00CB6D7F"/>
    <w:rsid w:val="00CB7B68"/>
    <w:rsid w:val="00CC1838"/>
    <w:rsid w:val="00CC24F5"/>
    <w:rsid w:val="00CC4505"/>
    <w:rsid w:val="00CC5F73"/>
    <w:rsid w:val="00CC7991"/>
    <w:rsid w:val="00CD1A01"/>
    <w:rsid w:val="00CD343D"/>
    <w:rsid w:val="00CD55C5"/>
    <w:rsid w:val="00CE07E1"/>
    <w:rsid w:val="00CE4249"/>
    <w:rsid w:val="00CE611F"/>
    <w:rsid w:val="00CF1569"/>
    <w:rsid w:val="00CF26D5"/>
    <w:rsid w:val="00CF4506"/>
    <w:rsid w:val="00CF5A7B"/>
    <w:rsid w:val="00CF6C23"/>
    <w:rsid w:val="00D028C4"/>
    <w:rsid w:val="00D06C65"/>
    <w:rsid w:val="00D074A8"/>
    <w:rsid w:val="00D079E5"/>
    <w:rsid w:val="00D10403"/>
    <w:rsid w:val="00D1125E"/>
    <w:rsid w:val="00D12DAB"/>
    <w:rsid w:val="00D166F8"/>
    <w:rsid w:val="00D22CE2"/>
    <w:rsid w:val="00D23B03"/>
    <w:rsid w:val="00D25A59"/>
    <w:rsid w:val="00D346AC"/>
    <w:rsid w:val="00D348BA"/>
    <w:rsid w:val="00D351C1"/>
    <w:rsid w:val="00D355B6"/>
    <w:rsid w:val="00D36CAD"/>
    <w:rsid w:val="00D379CA"/>
    <w:rsid w:val="00D42A53"/>
    <w:rsid w:val="00D461C8"/>
    <w:rsid w:val="00D50DB4"/>
    <w:rsid w:val="00D517E0"/>
    <w:rsid w:val="00D52F13"/>
    <w:rsid w:val="00D534AF"/>
    <w:rsid w:val="00D60BEB"/>
    <w:rsid w:val="00D60BFD"/>
    <w:rsid w:val="00D6565F"/>
    <w:rsid w:val="00D66482"/>
    <w:rsid w:val="00D71602"/>
    <w:rsid w:val="00D71CFD"/>
    <w:rsid w:val="00D74179"/>
    <w:rsid w:val="00D77068"/>
    <w:rsid w:val="00D83691"/>
    <w:rsid w:val="00D855ED"/>
    <w:rsid w:val="00D952F3"/>
    <w:rsid w:val="00D95E47"/>
    <w:rsid w:val="00DA18CF"/>
    <w:rsid w:val="00DA2D43"/>
    <w:rsid w:val="00DB25AA"/>
    <w:rsid w:val="00DB360B"/>
    <w:rsid w:val="00DB7366"/>
    <w:rsid w:val="00DC0290"/>
    <w:rsid w:val="00DC115E"/>
    <w:rsid w:val="00DC2BD7"/>
    <w:rsid w:val="00DC6579"/>
    <w:rsid w:val="00DD358A"/>
    <w:rsid w:val="00DD7701"/>
    <w:rsid w:val="00DE58C2"/>
    <w:rsid w:val="00DE73A9"/>
    <w:rsid w:val="00DF25BD"/>
    <w:rsid w:val="00DF5566"/>
    <w:rsid w:val="00E01B9A"/>
    <w:rsid w:val="00E06386"/>
    <w:rsid w:val="00E07700"/>
    <w:rsid w:val="00E122C0"/>
    <w:rsid w:val="00E254FC"/>
    <w:rsid w:val="00E3584B"/>
    <w:rsid w:val="00E40CC6"/>
    <w:rsid w:val="00E445E1"/>
    <w:rsid w:val="00E45879"/>
    <w:rsid w:val="00E46B85"/>
    <w:rsid w:val="00E512EA"/>
    <w:rsid w:val="00E570E9"/>
    <w:rsid w:val="00E577FB"/>
    <w:rsid w:val="00E57E74"/>
    <w:rsid w:val="00E6499B"/>
    <w:rsid w:val="00E66A92"/>
    <w:rsid w:val="00E67343"/>
    <w:rsid w:val="00E67703"/>
    <w:rsid w:val="00E709AC"/>
    <w:rsid w:val="00E73461"/>
    <w:rsid w:val="00E7458A"/>
    <w:rsid w:val="00E77FF9"/>
    <w:rsid w:val="00E8132D"/>
    <w:rsid w:val="00E81D18"/>
    <w:rsid w:val="00E822DC"/>
    <w:rsid w:val="00E86CBC"/>
    <w:rsid w:val="00E90BA3"/>
    <w:rsid w:val="00E90FB9"/>
    <w:rsid w:val="00E92CD2"/>
    <w:rsid w:val="00EA0CD7"/>
    <w:rsid w:val="00EA15BD"/>
    <w:rsid w:val="00EB45C2"/>
    <w:rsid w:val="00EB5A11"/>
    <w:rsid w:val="00EC090E"/>
    <w:rsid w:val="00ED2EBB"/>
    <w:rsid w:val="00ED2FAD"/>
    <w:rsid w:val="00ED4583"/>
    <w:rsid w:val="00ED4DFC"/>
    <w:rsid w:val="00EE41E2"/>
    <w:rsid w:val="00EF097D"/>
    <w:rsid w:val="00EF4378"/>
    <w:rsid w:val="00EF4893"/>
    <w:rsid w:val="00EF4C49"/>
    <w:rsid w:val="00EF6BD6"/>
    <w:rsid w:val="00F0562D"/>
    <w:rsid w:val="00F06D83"/>
    <w:rsid w:val="00F10603"/>
    <w:rsid w:val="00F1393B"/>
    <w:rsid w:val="00F16C2F"/>
    <w:rsid w:val="00F24C1D"/>
    <w:rsid w:val="00F3438A"/>
    <w:rsid w:val="00F343FE"/>
    <w:rsid w:val="00F417C2"/>
    <w:rsid w:val="00F460EC"/>
    <w:rsid w:val="00F53939"/>
    <w:rsid w:val="00F566E2"/>
    <w:rsid w:val="00F7238B"/>
    <w:rsid w:val="00F72526"/>
    <w:rsid w:val="00F743C0"/>
    <w:rsid w:val="00F77D4A"/>
    <w:rsid w:val="00F85827"/>
    <w:rsid w:val="00F876ED"/>
    <w:rsid w:val="00F90F9E"/>
    <w:rsid w:val="00F92768"/>
    <w:rsid w:val="00F9283F"/>
    <w:rsid w:val="00F9307A"/>
    <w:rsid w:val="00F93643"/>
    <w:rsid w:val="00F9574F"/>
    <w:rsid w:val="00FA09CB"/>
    <w:rsid w:val="00FA6F2E"/>
    <w:rsid w:val="00FA70ED"/>
    <w:rsid w:val="00FB41B3"/>
    <w:rsid w:val="00FC291D"/>
    <w:rsid w:val="00FC3F09"/>
    <w:rsid w:val="00FC5272"/>
    <w:rsid w:val="00FC70B9"/>
    <w:rsid w:val="00FC754B"/>
    <w:rsid w:val="00FC7E14"/>
    <w:rsid w:val="00FD251D"/>
    <w:rsid w:val="00FD6349"/>
    <w:rsid w:val="00FE28CE"/>
    <w:rsid w:val="00FE2E75"/>
    <w:rsid w:val="00FF0778"/>
    <w:rsid w:val="00FF34B2"/>
    <w:rsid w:val="00FF5790"/>
    <w:rsid w:val="00FF7DBD"/>
    <w:rsid w:val="09132ED4"/>
    <w:rsid w:val="18726C74"/>
    <w:rsid w:val="3482595C"/>
    <w:rsid w:val="4C9723C6"/>
    <w:rsid w:val="54F742E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nhideWhenUsed="0"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Body Text"/>
    <w:basedOn w:val="1"/>
    <w:link w:val="9"/>
    <w:semiHidden/>
    <w:uiPriority w:val="99"/>
    <w:pPr>
      <w:spacing w:after="120"/>
    </w:pPr>
  </w:style>
  <w:style w:type="paragraph" w:styleId="3">
    <w:name w:val="Balloon Text"/>
    <w:basedOn w:val="1"/>
    <w:link w:val="10"/>
    <w:semiHidden/>
    <w:uiPriority w:val="99"/>
    <w:rPr>
      <w:sz w:val="18"/>
      <w:szCs w:val="18"/>
    </w:rPr>
  </w:style>
  <w:style w:type="paragraph" w:styleId="4">
    <w:name w:val="footer"/>
    <w:basedOn w:val="1"/>
    <w:link w:val="11"/>
    <w:uiPriority w:val="99"/>
    <w:pPr>
      <w:tabs>
        <w:tab w:val="center" w:pos="4153"/>
        <w:tab w:val="right" w:pos="8306"/>
      </w:tabs>
      <w:snapToGrid w:val="0"/>
      <w:jc w:val="left"/>
    </w:pPr>
    <w:rPr>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sz w:val="18"/>
      <w:szCs w:val="18"/>
    </w:rPr>
  </w:style>
  <w:style w:type="paragraph" w:styleId="6">
    <w:name w:val="Body Text First Indent"/>
    <w:basedOn w:val="2"/>
    <w:link w:val="13"/>
    <w:uiPriority w:val="99"/>
    <w:pPr>
      <w:spacing w:line="312" w:lineRule="auto"/>
      <w:ind w:firstLine="420"/>
      <w:jc w:val="center"/>
    </w:pPr>
    <w:rPr>
      <w:rFonts w:eastAsia="仿宋_GB2312"/>
      <w:b/>
      <w:kern w:val="0"/>
      <w:sz w:val="44"/>
      <w:szCs w:val="20"/>
    </w:rPr>
  </w:style>
  <w:style w:type="character" w:customStyle="1" w:styleId="9">
    <w:name w:val="正文文本 Char"/>
    <w:link w:val="2"/>
    <w:locked/>
    <w:uiPriority w:val="99"/>
    <w:rPr>
      <w:rFonts w:cs="Times New Roman"/>
    </w:rPr>
  </w:style>
  <w:style w:type="character" w:customStyle="1" w:styleId="10">
    <w:name w:val="批注框文本 Char"/>
    <w:link w:val="3"/>
    <w:semiHidden/>
    <w:locked/>
    <w:uiPriority w:val="99"/>
    <w:rPr>
      <w:rFonts w:cs="Times New Roman"/>
      <w:sz w:val="18"/>
      <w:szCs w:val="18"/>
    </w:rPr>
  </w:style>
  <w:style w:type="character" w:customStyle="1" w:styleId="11">
    <w:name w:val="页脚 Char"/>
    <w:link w:val="4"/>
    <w:qFormat/>
    <w:locked/>
    <w:uiPriority w:val="99"/>
    <w:rPr>
      <w:rFonts w:cs="Times New Roman"/>
      <w:sz w:val="18"/>
      <w:szCs w:val="18"/>
    </w:rPr>
  </w:style>
  <w:style w:type="character" w:customStyle="1" w:styleId="12">
    <w:name w:val="页眉 Char"/>
    <w:link w:val="5"/>
    <w:locked/>
    <w:uiPriority w:val="99"/>
    <w:rPr>
      <w:rFonts w:cs="Times New Roman"/>
      <w:sz w:val="18"/>
      <w:szCs w:val="18"/>
    </w:rPr>
  </w:style>
  <w:style w:type="character" w:customStyle="1" w:styleId="13">
    <w:name w:val="正文首行缩进 Char"/>
    <w:link w:val="6"/>
    <w:locked/>
    <w:uiPriority w:val="99"/>
    <w:rPr>
      <w:rFonts w:eastAsia="仿宋_GB2312" w:cs="Times New Roman"/>
      <w:b/>
      <w:sz w:val="44"/>
    </w:rPr>
  </w:style>
  <w:style w:type="character" w:customStyle="1" w:styleId="14">
    <w:name w:val="Body Text First Indent Char1"/>
    <w:semiHidden/>
    <w:uiPriority w:val="99"/>
    <w:rPr>
      <w:rFonts w:cs="Times New Roman"/>
    </w:rPr>
  </w:style>
  <w:style w:type="character" w:customStyle="1" w:styleId="15">
    <w:name w:val="正文首行缩进 Char1"/>
    <w:semiHidden/>
    <w:uiPriority w:val="99"/>
    <w:rPr>
      <w:rFonts w:cs="Times New Roman"/>
    </w:rPr>
  </w:style>
  <w:style w:type="paragraph" w:customStyle="1" w:styleId="16">
    <w:name w:val="正文文本1"/>
    <w:basedOn w:val="1"/>
    <w:uiPriority w:val="99"/>
    <w:pPr>
      <w:topLinePunct/>
      <w:adjustRightInd w:val="0"/>
      <w:snapToGrid w:val="0"/>
      <w:spacing w:line="579" w:lineRule="exact"/>
      <w:ind w:firstLine="640" w:firstLineChars="200"/>
    </w:pPr>
    <w:rPr>
      <w:rFonts w:ascii="黑体" w:hAnsi="黑体" w:eastAsia="黑体"/>
      <w:bCs/>
      <w:kern w:val="0"/>
      <w:sz w:val="32"/>
      <w:szCs w:val="32"/>
      <w:shd w:val="clear" w:color="auto" w:fill="FFFFFF"/>
    </w:rPr>
  </w:style>
  <w:style w:type="paragraph" w:styleId="17">
    <w:name w:val="List Paragraph"/>
    <w:basedOn w:val="1"/>
    <w:qFormat/>
    <w:uiPriority w:val="99"/>
    <w:pPr>
      <w:ind w:firstLine="420" w:firstLineChars="200"/>
    </w:pPr>
  </w:style>
  <w:style w:type="paragraph" w:customStyle="1" w:styleId="18">
    <w:name w:val="正文首行缩进1"/>
    <w:basedOn w:val="16"/>
    <w:qFormat/>
    <w:uiPriority w:val="99"/>
    <w:pPr>
      <w:adjustRightInd/>
    </w:pPr>
    <w:rPr>
      <w:rFonts w:ascii="仿宋_GB2312" w:hAnsi="Times New Roman" w:eastAsia="仿宋_GB2312"/>
    </w:rPr>
  </w:style>
  <w:style w:type="character" w:customStyle="1" w:styleId="19">
    <w:name w:val="强调1"/>
    <w:qFormat/>
    <w:uiPriority w:val="99"/>
    <w:rPr>
      <w:i/>
    </w:rPr>
  </w:style>
  <w:style w:type="character" w:customStyle="1" w:styleId="20">
    <w:name w:val="要点1"/>
    <w:qFormat/>
    <w:uiPriority w:val="99"/>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Hewlett-Packard Company</Company>
  <Pages>20</Pages>
  <Words>10067</Words>
  <Characters>10690</Characters>
  <Lines>76</Lines>
  <Paragraphs>21</Paragraphs>
  <TotalTime>10</TotalTime>
  <ScaleCrop>false</ScaleCrop>
  <LinksUpToDate>false</LinksUpToDate>
  <CharactersWithSpaces>10697</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2025-12-25T05:41:00Z</dcterms:created>
  <dc:creator>user</dc:creator>
  <cp:lastModifiedBy>杨洋</cp:lastModifiedBy>
  <cp:lastPrinted>2025-12-14T10:34:00Z</cp:lastPrinted>
  <dcterms:modified xsi:type="dcterms:W3CDTF">2026-01-28T06:50:26Z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KSOTemplateDocerSaveRecord">
    <vt:lpwstr>eyJoZGlkIjoiNzZiZTQ3ZmI1OTFmODUzNzgwMGRlNDBmMWZiZDQzMjEiLCJ1c2VySWQiOiIyMzQ0MjI2NjQifQ==</vt:lpwstr>
  </property>
  <property fmtid="{D5CDD505-2E9C-101B-9397-08002B2CF9AE}" pid="4" name="ICV">
    <vt:lpwstr>31FA8C4978B749F6B098219405A5245E_12</vt:lpwstr>
  </property>
</Properties>
</file>