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ordWrap/>
        <w:overflowPunct/>
        <w:topLinePunct w:val="0"/>
        <w:bidi w:val="0"/>
        <w:spacing w:line="579" w:lineRule="exact"/>
        <w:jc w:val="center"/>
        <w:rPr>
          <w:rFonts w:hint="eastAsia" w:ascii="宋体" w:hAnsi="宋体" w:eastAsia="宋体" w:cs="宋体"/>
          <w:b/>
          <w:bCs/>
          <w:color w:val="000000"/>
          <w:kern w:val="0"/>
          <w:sz w:val="44"/>
          <w:szCs w:val="44"/>
        </w:rPr>
      </w:pPr>
      <w:bookmarkStart w:id="0" w:name="_GoBack"/>
      <w:bookmarkEnd w:id="0"/>
      <w:r>
        <w:rPr>
          <w:rFonts w:hint="eastAsia" w:ascii="宋体" w:hAnsi="宋体" w:eastAsia="宋体" w:cs="宋体"/>
          <w:b/>
          <w:bCs/>
          <w:color w:val="000000"/>
          <w:kern w:val="0"/>
          <w:sz w:val="44"/>
          <w:szCs w:val="44"/>
        </w:rPr>
        <w:t>王滨街道小微工业企业安全生产集中</w:t>
      </w:r>
    </w:p>
    <w:p>
      <w:pPr>
        <w:pStyle w:val="6"/>
        <w:keepNext w:val="0"/>
        <w:keepLines w:val="0"/>
        <w:pageBreakBefore w:val="0"/>
        <w:wordWrap/>
        <w:overflowPunct/>
        <w:topLinePunct w:val="0"/>
        <w:bidi w:val="0"/>
        <w:spacing w:line="579" w:lineRule="exact"/>
        <w:jc w:val="center"/>
      </w:pPr>
      <w:r>
        <w:rPr>
          <w:rFonts w:hint="eastAsia" w:ascii="宋体" w:hAnsi="宋体" w:eastAsia="宋体" w:cs="宋体"/>
          <w:b/>
          <w:bCs/>
          <w:color w:val="000000"/>
          <w:kern w:val="0"/>
          <w:sz w:val="44"/>
          <w:szCs w:val="44"/>
        </w:rPr>
        <w:t>攻坚整治专项行动方案</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left"/>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《按照全</w:t>
      </w:r>
      <w:r>
        <w:rPr>
          <w:rFonts w:hint="default" w:ascii="仿宋_GB2312" w:hAnsi="仿宋_GB2312" w:eastAsia="仿宋_GB2312" w:cs="仿宋_GB2312"/>
          <w:snapToGrid/>
          <w:color w:val="222222"/>
          <w:spacing w:val="8"/>
          <w:kern w:val="0"/>
          <w:sz w:val="32"/>
          <w:szCs w:val="32"/>
          <w:shd w:val="clear" w:fill="FFFFFF"/>
          <w:lang w:eastAsia="zh-CN" w:bidi="ar"/>
        </w:rPr>
        <w:t>区</w:t>
      </w:r>
      <w:r>
        <w:rPr>
          <w:rFonts w:hint="eastAsia" w:ascii="仿宋_GB2312" w:hAnsi="仿宋_GB2312" w:eastAsia="仿宋_GB2312" w:cs="仿宋_GB2312"/>
          <w:snapToGrid/>
          <w:color w:val="222222"/>
          <w:spacing w:val="8"/>
          <w:kern w:val="0"/>
          <w:sz w:val="32"/>
          <w:szCs w:val="32"/>
          <w:shd w:val="clear" w:fill="FFFFFF"/>
          <w:lang w:val="en-US" w:eastAsia="zh-CN" w:bidi="ar"/>
        </w:rPr>
        <w:t>中小微工业企业安全生产集中攻坚整治专项行动方案》通知要求，为深入推进全区安全生产治本攻坚三年行动，进一步加强小微工业企业安全管理规章制度建设，规范作业现场和员工安全行为，推动企业有效落实安全生产主体责任，防范遏制生产安全事故，制定本方案。</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黑体" w:hAnsi="黑体" w:eastAsia="黑体" w:cs="黑体"/>
          <w:snapToGrid/>
          <w:color w:val="222222"/>
          <w:spacing w:val="8"/>
          <w:kern w:val="0"/>
          <w:sz w:val="32"/>
          <w:szCs w:val="32"/>
          <w:shd w:val="clear" w:fill="FFFFFF"/>
          <w:lang w:val="en-US" w:eastAsia="zh-CN" w:bidi="ar"/>
        </w:rPr>
      </w:pPr>
      <w:r>
        <w:rPr>
          <w:rFonts w:hint="eastAsia" w:ascii="黑体" w:hAnsi="黑体" w:eastAsia="黑体" w:cs="黑体"/>
          <w:snapToGrid/>
          <w:color w:val="222222"/>
          <w:spacing w:val="8"/>
          <w:kern w:val="0"/>
          <w:sz w:val="32"/>
          <w:szCs w:val="32"/>
          <w:shd w:val="clear" w:fill="FFFFFF"/>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黑体" w:hAnsi="黑体" w:eastAsia="黑体" w:cs="黑体"/>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推动安全风险管控由政府推动为主向企业自主开展转变，隐患排查治理由部门行政执法为主向企业日常自查自纠转变，实现企业安全管理更完善、作业现场更规范，坚决遏制中小微工业企业一般事故多发势头，坚决杜绝较大及以上生产安全事故。</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黑体" w:hAnsi="黑体" w:eastAsia="黑体" w:cs="黑体"/>
          <w:snapToGrid/>
          <w:color w:val="222222"/>
          <w:spacing w:val="8"/>
          <w:kern w:val="0"/>
          <w:sz w:val="32"/>
          <w:szCs w:val="32"/>
          <w:shd w:val="clear" w:fill="FFFFFF"/>
          <w:lang w:val="en-US" w:eastAsia="zh-CN" w:bidi="ar"/>
        </w:rPr>
      </w:pPr>
      <w:r>
        <w:rPr>
          <w:rFonts w:hint="eastAsia" w:ascii="黑体" w:hAnsi="黑体" w:eastAsia="黑体" w:cs="黑体"/>
          <w:snapToGrid/>
          <w:color w:val="222222"/>
          <w:spacing w:val="8"/>
          <w:kern w:val="0"/>
          <w:sz w:val="32"/>
          <w:szCs w:val="32"/>
          <w:shd w:val="clear" w:fill="FFFFFF"/>
          <w:lang w:val="en-US" w:eastAsia="zh-CN" w:bidi="ar"/>
        </w:rPr>
        <w:t>二、整治范围</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黑体" w:hAnsi="黑体" w:eastAsia="黑体" w:cs="黑体"/>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从即日起至5月底，在全街道建材、机械、轻工行业组织开展小微工业企业安全生产集中攻坚整治行动，重点整治企业主要负责人履行安全生产第一责任人责任心不强、能力弱；企业安全管理制度和操作规程缺失，涉险环节风险管控不到位，隐患自查自改流于形式；“三违”行为纠正不到位，长期失管失控造成习惯性违章行为；危险作业场所风险辨识不全面，作业人员教育培训不到位、作业审批流程执行和作业过程管理不严格；相关方安全管理制度缺失，安全生产管理协议未明确双方职责，未确定专人现场统一指挥和监督等行为。</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黑体" w:hAnsi="黑体" w:eastAsia="黑体" w:cs="黑体"/>
          <w:snapToGrid/>
          <w:color w:val="222222"/>
          <w:spacing w:val="8"/>
          <w:kern w:val="0"/>
          <w:sz w:val="32"/>
          <w:szCs w:val="32"/>
          <w:shd w:val="clear" w:fill="FFFFFF"/>
          <w:lang w:val="en-US" w:eastAsia="zh-CN" w:bidi="ar"/>
        </w:rPr>
      </w:pPr>
      <w:r>
        <w:rPr>
          <w:rFonts w:hint="eastAsia" w:ascii="黑体" w:hAnsi="黑体" w:eastAsia="黑体" w:cs="黑体"/>
          <w:snapToGrid/>
          <w:color w:val="222222"/>
          <w:spacing w:val="8"/>
          <w:kern w:val="0"/>
          <w:sz w:val="32"/>
          <w:szCs w:val="32"/>
          <w:shd w:val="clear" w:fill="FFFFFF"/>
          <w:lang w:val="en-US" w:eastAsia="zh-CN" w:bidi="ar"/>
        </w:rPr>
        <w:t>三、组织机构</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街道应急管理办公室成立小微工业企业安全生产集中攻坚整治专项行动专班。专班主任由街道综合事务服务中心主任尚尔红担任，副主任由应急科负责人李明担任。专班办公室设在应急科，负责全街道小微工业企业安全生产集中攻坚专项行动的组织推动、协调调度、督导考核等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黑体" w:hAnsi="黑体" w:eastAsia="黑体" w:cs="黑体"/>
          <w:snapToGrid/>
          <w:color w:val="222222"/>
          <w:spacing w:val="8"/>
          <w:kern w:val="0"/>
          <w:sz w:val="32"/>
          <w:szCs w:val="32"/>
          <w:shd w:val="clear" w:fill="FFFFFF"/>
          <w:lang w:val="en-US" w:eastAsia="zh-CN" w:bidi="ar"/>
        </w:rPr>
      </w:pPr>
      <w:r>
        <w:rPr>
          <w:rFonts w:hint="eastAsia" w:ascii="黑体" w:hAnsi="黑体" w:eastAsia="黑体" w:cs="黑体"/>
          <w:snapToGrid/>
          <w:color w:val="222222"/>
          <w:spacing w:val="8"/>
          <w:kern w:val="0"/>
          <w:sz w:val="32"/>
          <w:szCs w:val="32"/>
          <w:shd w:val="clear" w:fill="FFFFFF"/>
          <w:lang w:val="en-US" w:eastAsia="zh-CN" w:bidi="ar"/>
        </w:rPr>
        <w:t>四、重点任务</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1.制度管理提质升级专项行动。推动运行以企业主要负责人履行安全生产管理责任为核心、安全技术管理团队为骨干、全员岗位安全生产职责为主线的主体责任网格体系，建立完善企业各项安全生产规章制度。各企业要对标区应急管理局推送典型企业《企业落实安全生产主体责任指导手册》的271个规章制度模板，组织自查自改，完善已有、补充缺失，制定切合实际、可操作性强、便于掌握、实用管用的岗位安全生产责任清单，加大安全投入，改善安全生产条件，用制度规范作业现场和员工作业行为。4月30日前，街道应急科及应急中队指导列入2024年行政检查计划内的16家企业全面建立完善安全生产规章制度和安全操作规程；5月15日前，推进计划外33家企业建立完善安全生产规章制度和安全操作规程；5月底前，开展评估总结，梳理薄弱环节，巩固提升工作成果。（此后常态推进）</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2.双控机制标杆引领专项行动。推动企业开展全员岗位安全风险辨识，建立危险有害因素管理台账，按照《沈阳市一般安全生产风险目录（工业类）》和《沈阳市较大级以上安全生产风险目录（工业类）》要求，及时录入《沈阳市风险报告动态管理系统》，根据风险等级，确定重点检查部位，明确检查人员层级频次，促进企业自查自纠自改，不断提升企业自主防范化解安全风险能力。4月30日前，街道应急办督促列入2024年行政检查计划内的16家企业全部录入《沈阳市风险报告动态管理系统》，并有效开展风险辨识管控；5月底前，实现全街道工业企业依托系统开展隐患自查自报自改，风险管控能力进一步提升。（此后常态推进）</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3.危险作业安全管理专项行动。推动企业根据生产工艺实际以及安全技改预期，建立动火（爆破）、进入受限空间、高处吊装、临时用电、动土、检维修等危险作业台账。在全面辨识安全风险的前提下，制定危险作业审批制度，明确审批流程，实行作业票管理。特种作业人员必须持证上岗。企业每年至少组织一次危险作业应急演练，开展效果评估，完善应急预案。进行危险作业，必须由主要负责人审定或授权，重点时段和必要时实行双审批、双监督、双验收。4月30日前，督促企业全面梳理危险作业管控情况，建立危险作业安全管理台账，明确危险作业流程，落实审批安全管理制度；5月底前，基本形成危险作业风险得到有效管控，危险作业环节得到有效改善。（此后常态推进）</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left"/>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4.相关方安全管理专项行动。推动企业强化承租承包单位安全管理，针对相关方作业主要承担企业非主要生产工艺、多数承担检维修等危险性较高的实际，企业与相关方签订合同必须明确相应安全职责或另行签订安全生产管理协议，明确双方各自管理的区域范围、管理职责和协议期限。全面加强企业外委作业内部审批制度，开展风险评估，制定应急救援预案或现场处置方案，明确现场作业条件、安全操作规程、作业人员资格、劳动防护用品、应急装备配备等符合安全防范要求，确定专人现场统一指挥和监督。发现直接危及人身安全的紧急情况时，采取应急措施，确保绝对安全。4月30日前，督促企业建立相关方安全管理台账，落实相关方安全管理制度，明确相关方安全协议管理职责，高危作业得到有效改善；5月底前，督促企业完善相关方全链条安全管控，盯住委外工程重点环节，推动企业安全管理水平提升。（此后常态推进）</w:t>
      </w:r>
    </w:p>
    <w:p>
      <w:pPr>
        <w:keepNext w:val="0"/>
        <w:keepLines w:val="0"/>
        <w:pageBreakBefore w:val="0"/>
        <w:widowControl/>
        <w:kinsoku w:val="0"/>
        <w:wordWrap/>
        <w:overflowPunct/>
        <w:topLinePunct w:val="0"/>
        <w:autoSpaceDE w:val="0"/>
        <w:autoSpaceDN w:val="0"/>
        <w:bidi w:val="0"/>
        <w:adjustRightInd w:val="0"/>
        <w:snapToGrid w:val="0"/>
        <w:spacing w:before="217" w:line="579" w:lineRule="exact"/>
        <w:ind w:left="634"/>
        <w:textAlignment w:val="baseline"/>
        <w:outlineLvl w:val="0"/>
        <w:rPr>
          <w:rFonts w:ascii="黑体" w:hAnsi="黑体" w:eastAsia="黑体" w:cs="黑体"/>
          <w:b w:val="0"/>
          <w:bCs w:val="0"/>
          <w:spacing w:val="-2"/>
          <w:sz w:val="32"/>
          <w:szCs w:val="32"/>
        </w:rPr>
      </w:pPr>
      <w:r>
        <w:rPr>
          <w:rFonts w:ascii="黑体" w:hAnsi="黑体" w:eastAsia="黑体" w:cs="黑体"/>
          <w:b w:val="0"/>
          <w:bCs w:val="0"/>
          <w:spacing w:val="-2"/>
          <w:sz w:val="32"/>
          <w:szCs w:val="32"/>
        </w:rPr>
        <w:t>五、工作步骤</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left"/>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从即日起至2024年5月底，分三个阶段进行。</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楷体" w:hAnsi="楷体" w:eastAsia="楷体" w:cs="楷体"/>
          <w:snapToGrid/>
          <w:color w:val="222222"/>
          <w:spacing w:val="8"/>
          <w:kern w:val="0"/>
          <w:sz w:val="32"/>
          <w:szCs w:val="32"/>
          <w:shd w:val="clear" w:fill="FFFFFF"/>
          <w:lang w:val="en-US" w:eastAsia="zh-CN" w:bidi="ar"/>
        </w:rPr>
      </w:pPr>
      <w:r>
        <w:rPr>
          <w:rFonts w:hint="eastAsia" w:ascii="楷体" w:hAnsi="楷体" w:eastAsia="楷体" w:cs="楷体"/>
          <w:snapToGrid/>
          <w:color w:val="222222"/>
          <w:spacing w:val="8"/>
          <w:kern w:val="0"/>
          <w:sz w:val="32"/>
          <w:szCs w:val="32"/>
          <w:shd w:val="clear" w:fill="FFFFFF"/>
          <w:lang w:val="en-US" w:eastAsia="zh-CN" w:bidi="ar"/>
        </w:rPr>
        <w:t>（一）动员部署阶段（2024年4月30日前）。</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街道应急管理办公室盯紧盯牢属地辖区重点区域涉及粉尘涉爆场所</w:t>
      </w:r>
      <w:r>
        <w:rPr>
          <w:rFonts w:hint="eastAsia" w:ascii="仿宋_GB2312" w:hAnsi="仿宋_GB2312" w:eastAsia="仿宋_GB2312" w:cs="仿宋_GB2312"/>
          <w:b/>
          <w:bCs/>
          <w:snapToGrid/>
          <w:color w:val="222222"/>
          <w:spacing w:val="8"/>
          <w:kern w:val="0"/>
          <w:sz w:val="32"/>
          <w:szCs w:val="32"/>
          <w:shd w:val="clear" w:fill="FFFFFF"/>
          <w:lang w:val="en-US" w:eastAsia="zh-CN" w:bidi="ar"/>
        </w:rPr>
        <w:t>（保利嘉木制品加工厂、丰源盛开展示柜经销处）</w:t>
      </w:r>
      <w:r>
        <w:rPr>
          <w:rFonts w:hint="eastAsia" w:ascii="仿宋_GB2312" w:hAnsi="仿宋_GB2312" w:eastAsia="仿宋_GB2312" w:cs="仿宋_GB2312"/>
          <w:snapToGrid/>
          <w:color w:val="222222"/>
          <w:spacing w:val="8"/>
          <w:kern w:val="0"/>
          <w:sz w:val="32"/>
          <w:szCs w:val="32"/>
          <w:shd w:val="clear" w:fill="FFFFFF"/>
          <w:lang w:val="en-US" w:eastAsia="zh-CN" w:bidi="ar"/>
        </w:rPr>
        <w:t>、建材</w:t>
      </w:r>
      <w:r>
        <w:rPr>
          <w:rFonts w:hint="eastAsia" w:ascii="仿宋_GB2312" w:hAnsi="仿宋_GB2312" w:eastAsia="仿宋_GB2312" w:cs="仿宋_GB2312"/>
          <w:b/>
          <w:bCs/>
          <w:snapToGrid/>
          <w:color w:val="222222"/>
          <w:spacing w:val="8"/>
          <w:kern w:val="0"/>
          <w:sz w:val="32"/>
          <w:szCs w:val="32"/>
          <w:shd w:val="clear" w:fill="FFFFFF"/>
          <w:lang w:val="en-US" w:eastAsia="zh-CN" w:bidi="ar"/>
        </w:rPr>
        <w:t>（双勇鑫水泥厂、吉祥水泥管厂、宇通水泥管厂、信达新型建筑材料有限公司、众磊道桥有限公司）</w:t>
      </w:r>
      <w:r>
        <w:rPr>
          <w:rFonts w:hint="eastAsia" w:ascii="仿宋_GB2312" w:hAnsi="仿宋_GB2312" w:eastAsia="仿宋_GB2312" w:cs="仿宋_GB2312"/>
          <w:snapToGrid/>
          <w:color w:val="222222"/>
          <w:spacing w:val="8"/>
          <w:kern w:val="0"/>
          <w:sz w:val="32"/>
          <w:szCs w:val="32"/>
          <w:shd w:val="clear" w:fill="FFFFFF"/>
          <w:lang w:val="en-US" w:eastAsia="zh-CN" w:bidi="ar"/>
        </w:rPr>
        <w:t>、机械</w:t>
      </w:r>
      <w:r>
        <w:rPr>
          <w:rFonts w:hint="eastAsia" w:ascii="仿宋_GB2312" w:hAnsi="仿宋_GB2312" w:eastAsia="仿宋_GB2312" w:cs="仿宋_GB2312"/>
          <w:b/>
          <w:bCs/>
          <w:snapToGrid/>
          <w:color w:val="222222"/>
          <w:spacing w:val="8"/>
          <w:kern w:val="0"/>
          <w:sz w:val="32"/>
          <w:szCs w:val="32"/>
          <w:shd w:val="clear" w:fill="FFFFFF"/>
          <w:lang w:val="en-US" w:eastAsia="zh-CN" w:bidi="ar"/>
        </w:rPr>
        <w:t>（滨城真空设备厂、千汇链条制造有限公司、国铨农机齿轮链轮厂）</w:t>
      </w:r>
      <w:r>
        <w:rPr>
          <w:rFonts w:hint="eastAsia" w:ascii="仿宋_GB2312" w:hAnsi="仿宋_GB2312" w:eastAsia="仿宋_GB2312" w:cs="仿宋_GB2312"/>
          <w:snapToGrid/>
          <w:color w:val="222222"/>
          <w:spacing w:val="8"/>
          <w:kern w:val="0"/>
          <w:sz w:val="32"/>
          <w:szCs w:val="32"/>
          <w:shd w:val="clear" w:fill="FFFFFF"/>
          <w:lang w:val="en-US" w:eastAsia="zh-CN" w:bidi="ar"/>
        </w:rPr>
        <w:t>、轻工</w:t>
      </w:r>
      <w:r>
        <w:rPr>
          <w:rFonts w:hint="eastAsia" w:ascii="仿宋_GB2312" w:hAnsi="仿宋_GB2312" w:eastAsia="仿宋_GB2312" w:cs="仿宋_GB2312"/>
          <w:b/>
          <w:bCs/>
          <w:snapToGrid/>
          <w:color w:val="222222"/>
          <w:spacing w:val="8"/>
          <w:kern w:val="0"/>
          <w:sz w:val="32"/>
          <w:szCs w:val="32"/>
          <w:shd w:val="clear" w:fill="FFFFFF"/>
          <w:lang w:val="en-US" w:eastAsia="zh-CN" w:bidi="ar"/>
        </w:rPr>
        <w:t>（润香坊酒厂、美迪申鞋业、晟鑫纸业）</w:t>
      </w:r>
      <w:r>
        <w:rPr>
          <w:rFonts w:hint="eastAsia" w:ascii="仿宋_GB2312" w:hAnsi="仿宋_GB2312" w:eastAsia="仿宋_GB2312" w:cs="仿宋_GB2312"/>
          <w:snapToGrid/>
          <w:color w:val="222222"/>
          <w:spacing w:val="8"/>
          <w:kern w:val="0"/>
          <w:sz w:val="32"/>
          <w:szCs w:val="32"/>
          <w:shd w:val="clear" w:fill="FFFFFF"/>
          <w:lang w:val="en-US" w:eastAsia="zh-CN" w:bidi="ar"/>
        </w:rPr>
        <w:t>等重点行业；制定有针对性的工作方案，明确具体目标任务和时间进度，全面部署安排，分级分层广泛宣传发动，做好集中攻坚整治各项准备。</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楷体" w:hAnsi="楷体" w:eastAsia="楷体" w:cs="楷体"/>
          <w:snapToGrid/>
          <w:color w:val="222222"/>
          <w:spacing w:val="8"/>
          <w:kern w:val="0"/>
          <w:sz w:val="32"/>
          <w:szCs w:val="32"/>
          <w:shd w:val="clear" w:fill="FFFFFF"/>
          <w:lang w:val="en-US" w:eastAsia="zh-CN" w:bidi="ar"/>
        </w:rPr>
      </w:pPr>
      <w:r>
        <w:rPr>
          <w:rFonts w:hint="eastAsia" w:ascii="楷体" w:hAnsi="楷体" w:eastAsia="楷体" w:cs="楷体"/>
          <w:snapToGrid/>
          <w:color w:val="222222"/>
          <w:spacing w:val="8"/>
          <w:kern w:val="0"/>
          <w:sz w:val="32"/>
          <w:szCs w:val="32"/>
          <w:shd w:val="clear" w:fill="FFFFFF"/>
          <w:lang w:val="en-US" w:eastAsia="zh-CN" w:bidi="ar"/>
        </w:rPr>
        <w:t>（二）集中攻坚阶段（2024年5月1日至2024年5月20日）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街道应急办、应急中队对发现的隐患问题依法下达责令限期整改，对未按期整改的，依法实施行政处罚。在组织企业自查的基础上，聘请专家对本地区重点领域、重点企业开展专项帮扶指导，明确工作标准，细化工作任务，坚决遏制小微企业事故多发频发态势。</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left"/>
        <w:textAlignment w:val="auto"/>
        <w:rPr>
          <w:rFonts w:hint="eastAsia" w:ascii="楷体" w:hAnsi="楷体" w:eastAsia="楷体" w:cs="楷体"/>
          <w:snapToGrid/>
          <w:color w:val="222222"/>
          <w:spacing w:val="8"/>
          <w:kern w:val="0"/>
          <w:sz w:val="32"/>
          <w:szCs w:val="32"/>
          <w:shd w:val="clear" w:fill="FFFFFF"/>
          <w:lang w:val="en-US" w:eastAsia="zh-CN" w:bidi="ar"/>
        </w:rPr>
      </w:pPr>
      <w:r>
        <w:rPr>
          <w:rFonts w:hint="eastAsia" w:ascii="楷体" w:hAnsi="楷体" w:eastAsia="楷体" w:cs="楷体"/>
          <w:snapToGrid/>
          <w:color w:val="222222"/>
          <w:spacing w:val="8"/>
          <w:kern w:val="0"/>
          <w:sz w:val="32"/>
          <w:szCs w:val="32"/>
          <w:shd w:val="clear" w:fill="FFFFFF"/>
          <w:lang w:val="en-US" w:eastAsia="zh-CN" w:bidi="ar"/>
        </w:rPr>
        <w:t>（三）巩固提升阶段（2024年5月21日至5月31日）。</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72" w:firstLineChars="200"/>
        <w:jc w:val="both"/>
        <w:textAlignment w:val="auto"/>
        <w:rPr>
          <w:rFonts w:hint="eastAsia" w:ascii="仿宋_GB2312" w:hAnsi="仿宋_GB2312" w:eastAsia="仿宋_GB2312" w:cs="仿宋_GB2312"/>
          <w:snapToGrid/>
          <w:color w:val="222222"/>
          <w:spacing w:val="8"/>
          <w:kern w:val="0"/>
          <w:sz w:val="32"/>
          <w:szCs w:val="32"/>
          <w:shd w:val="clear" w:fill="FFFFFF"/>
          <w:lang w:val="en-US" w:eastAsia="zh-CN" w:bidi="ar"/>
        </w:rPr>
      </w:pPr>
      <w:r>
        <w:rPr>
          <w:rFonts w:hint="eastAsia" w:ascii="仿宋_GB2312" w:hAnsi="仿宋_GB2312" w:eastAsia="仿宋_GB2312" w:cs="仿宋_GB2312"/>
          <w:snapToGrid/>
          <w:color w:val="222222"/>
          <w:spacing w:val="8"/>
          <w:kern w:val="0"/>
          <w:sz w:val="32"/>
          <w:szCs w:val="32"/>
          <w:shd w:val="clear" w:fill="FFFFFF"/>
          <w:lang w:val="en-US" w:eastAsia="zh-CN" w:bidi="ar"/>
        </w:rPr>
        <w:t>街道应急办认真总结专项行动经验做法，将选树标杆企业，以点带线，以线扩面，梳理总结一批典型经验、打击一批黑心企业、曝光一批典型案例、宣传一批好的做法，固化优带好、好带差机制措施，提升企业自我安全管理水平。</w:t>
      </w:r>
    </w:p>
    <w:p>
      <w:pPr>
        <w:keepNext w:val="0"/>
        <w:keepLines w:val="0"/>
        <w:pageBreakBefore w:val="0"/>
        <w:wordWrap/>
        <w:overflowPunct/>
        <w:topLinePunct w:val="0"/>
        <w:bidi w:val="0"/>
        <w:spacing w:before="101" w:line="579" w:lineRule="exact"/>
        <w:rPr>
          <w:rFonts w:ascii="仿宋" w:hAnsi="仿宋" w:eastAsia="仿宋" w:cs="仿宋"/>
          <w:spacing w:val="6"/>
          <w:sz w:val="31"/>
          <w:szCs w:val="31"/>
        </w:rPr>
      </w:pPr>
    </w:p>
    <w:p>
      <w:pPr>
        <w:keepNext w:val="0"/>
        <w:keepLines w:val="0"/>
        <w:pageBreakBefore w:val="0"/>
        <w:wordWrap/>
        <w:overflowPunct/>
        <w:topLinePunct w:val="0"/>
        <w:bidi w:val="0"/>
        <w:spacing w:before="101" w:line="579" w:lineRule="exact"/>
        <w:ind w:firstLine="644" w:firstLineChars="200"/>
        <w:rPr>
          <w:rFonts w:ascii="仿宋" w:hAnsi="仿宋" w:eastAsia="仿宋" w:cs="仿宋"/>
          <w:sz w:val="31"/>
          <w:szCs w:val="31"/>
        </w:rPr>
      </w:pPr>
      <w:r>
        <w:rPr>
          <w:rFonts w:ascii="仿宋" w:hAnsi="仿宋" w:eastAsia="仿宋" w:cs="仿宋"/>
          <w:spacing w:val="6"/>
          <w:sz w:val="31"/>
          <w:szCs w:val="31"/>
        </w:rPr>
        <w:t>附件：安全生产重点检查建议清单</w:t>
      </w:r>
    </w:p>
    <w:p>
      <w:pPr>
        <w:keepNext w:val="0"/>
        <w:keepLines w:val="0"/>
        <w:pageBreakBefore w:val="0"/>
        <w:wordWrap/>
        <w:overflowPunct/>
        <w:topLinePunct w:val="0"/>
        <w:bidi w:val="0"/>
        <w:spacing w:before="7" w:line="579" w:lineRule="exact"/>
      </w:pPr>
    </w:p>
    <w:p>
      <w:pPr>
        <w:keepNext w:val="0"/>
        <w:keepLines w:val="0"/>
        <w:pageBreakBefore w:val="0"/>
        <w:wordWrap/>
        <w:overflowPunct/>
        <w:topLinePunct w:val="0"/>
        <w:bidi w:val="0"/>
        <w:spacing w:before="7" w:line="579" w:lineRule="exact"/>
      </w:pPr>
    </w:p>
    <w:p>
      <w:pPr>
        <w:keepNext w:val="0"/>
        <w:keepLines w:val="0"/>
        <w:pageBreakBefore w:val="0"/>
        <w:wordWrap/>
        <w:overflowPunct/>
        <w:topLinePunct w:val="0"/>
        <w:bidi w:val="0"/>
        <w:spacing w:before="7" w:line="579" w:lineRule="exact"/>
      </w:pPr>
    </w:p>
    <w:p>
      <w:pPr>
        <w:spacing w:before="7"/>
      </w:pPr>
    </w:p>
    <w:p>
      <w:pPr>
        <w:spacing w:before="7"/>
      </w:pPr>
    </w:p>
    <w:p>
      <w:pPr>
        <w:spacing w:before="7"/>
      </w:pPr>
    </w:p>
    <w:p>
      <w:pPr>
        <w:spacing w:before="7"/>
      </w:pPr>
    </w:p>
    <w:p>
      <w:pPr>
        <w:spacing w:before="6"/>
        <w:rPr>
          <w:rFonts w:hint="eastAsia"/>
          <w:sz w:val="32"/>
          <w:szCs w:val="32"/>
          <w:lang w:val="en-US" w:eastAsia="zh-CN"/>
        </w:rPr>
      </w:pPr>
    </w:p>
    <w:p>
      <w:pPr>
        <w:spacing w:before="6"/>
        <w:rPr>
          <w:rFonts w:hint="eastAsia" w:eastAsiaTheme="minorEastAsia"/>
          <w:sz w:val="32"/>
          <w:szCs w:val="32"/>
          <w:lang w:val="en-US" w:eastAsia="zh-CN"/>
        </w:rPr>
      </w:pPr>
      <w:r>
        <w:rPr>
          <w:rFonts w:hint="eastAsia"/>
          <w:sz w:val="32"/>
          <w:szCs w:val="32"/>
          <w:lang w:val="en-US" w:eastAsia="zh-CN"/>
        </w:rPr>
        <w:t>附件：</w:t>
      </w:r>
    </w:p>
    <w:tbl>
      <w:tblPr>
        <w:tblStyle w:val="10"/>
        <w:tblW w:w="93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875"/>
        <w:gridCol w:w="975"/>
        <w:gridCol w:w="97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34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snapToGrid w:val="0"/>
                <w:color w:val="000000"/>
                <w:kern w:val="0"/>
                <w:sz w:val="28"/>
                <w:szCs w:val="28"/>
                <w:u w:val="none"/>
                <w:lang w:val="en-US" w:eastAsia="zh-CN" w:bidi="ar"/>
              </w:rPr>
              <w:t>安全生产重点检查建议清单（基础管理方面）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4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检查内容</w:t>
            </w:r>
          </w:p>
        </w:tc>
        <w:tc>
          <w:tcPr>
            <w:tcW w:w="195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检查结果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4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是</w:t>
            </w:r>
          </w:p>
        </w:tc>
        <w:tc>
          <w:tcPr>
            <w:tcW w:w="9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主要负责人定期召开安全生产工作会议，分析研究解决安全生产问题，并形成会议记录。每年组织开展一次安全生产标准化自评。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制定全员安全生产责任制，覆盖安全生产全过程、全层级、全岗位，责任制由主要负责人签发，并逐级签订《安全生产责任书》。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建立健全各项安全生产管理制度，如：全员安全生产责任制、隐患排查治理制度、教育培训制度、危险作业审批制度、相关方安全管理制度等。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开展风险辨识，对辨识出的风险进行分级，制订管控措施，录入《沈阳市风险报告动态管理系统》。主要负责人定期开展重大事故隐患专项检查，发现问题隐患进行有效整改。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制订年度安全生产培训计划，对新员工、主要负责人、安全管理人员、转换工种、“四新”等人员分类进行安全培训教育，并进行考试。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实行危险作业审批制度，对动火动焊、有限空间、高处作业、大型吊装等危险作业进行审核，制订施工安全方案或明确现场处置措施，专人现场进行监护。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制定并下发所有岗位安全操作规程。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制订应急救援预案或现场处置方案，编制并组织实施应急演练计划，并对演练效果进行评估，形成评估记录。按照规定配备应急救援物资，并定期进行检查和更换。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建立相关方管理台账，合同或安全管理协议明确双方职责，对相关方作业人员进行安全告知，并对相关方定期进行检查并如实记录。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制定事故调查相关制度，对生产安全责任事故开展事故调查，进行原因分析、措施整改、责任追究，形成事故调查分析报告。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both"/>
        <w:textAlignment w:val="auto"/>
      </w:pPr>
    </w:p>
    <w:sectPr>
      <w:footerReference r:id="rId3" w:type="default"/>
      <w:pgSz w:w="11900" w:h="16830"/>
      <w:pgMar w:top="1430" w:right="1573" w:bottom="1270" w:left="1450" w:header="0" w:footer="107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YzhlMWJiM2I3NTY2Y2E2NzcxNGMxMDY0MjM2N2YifQ=="/>
  </w:docVars>
  <w:rsids>
    <w:rsidRoot w:val="217E5F11"/>
    <w:rsid w:val="0BEC359B"/>
    <w:rsid w:val="10CD77C6"/>
    <w:rsid w:val="217E5F11"/>
    <w:rsid w:val="27660389"/>
    <w:rsid w:val="277F1578"/>
    <w:rsid w:val="2ED522CF"/>
    <w:rsid w:val="305E134E"/>
    <w:rsid w:val="3E192C3C"/>
    <w:rsid w:val="41775519"/>
    <w:rsid w:val="58A550E1"/>
    <w:rsid w:val="5D751961"/>
    <w:rsid w:val="697E44F6"/>
    <w:rsid w:val="7568458E"/>
    <w:rsid w:val="7FBE5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ind w:left="420" w:leftChars="200" w:firstLine="420" w:firstLineChars="200"/>
    </w:pPr>
    <w:rPr>
      <w:rFonts w:eastAsia="宋体"/>
      <w:sz w:val="21"/>
    </w:rPr>
  </w:style>
  <w:style w:type="paragraph" w:styleId="3">
    <w:name w:val="Body Text Indent"/>
    <w:basedOn w:val="1"/>
    <w:next w:val="4"/>
    <w:autoRedefine/>
    <w:qFormat/>
    <w:uiPriority w:val="0"/>
    <w:pPr>
      <w:ind w:firstLine="645"/>
    </w:pPr>
    <w:rPr>
      <w:rFonts w:eastAsia="仿宋_GB2312"/>
      <w:sz w:val="32"/>
    </w:rPr>
  </w:style>
  <w:style w:type="paragraph" w:styleId="4">
    <w:name w:val="Normal Indent"/>
    <w:basedOn w:val="1"/>
    <w:next w:val="1"/>
    <w:autoRedefine/>
    <w:qFormat/>
    <w:uiPriority w:val="0"/>
    <w:pPr>
      <w:ind w:firstLine="420" w:firstLineChars="200"/>
    </w:pPr>
    <w:rPr>
      <w:rFonts w:ascii="Calibri" w:hAnsi="Calibri" w:eastAsia="仿宋" w:cs="宋体"/>
      <w:sz w:val="32"/>
    </w:r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paragraph" w:customStyle="1" w:styleId="13">
    <w:name w:val="0正文"/>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2024-04-02T02:37:00Z</dcterms:created>
  <dc:creator>霸气永恒</dc:creator>
  <cp:lastModifiedBy>霸气永恒</cp:lastModifiedBy>
  <cp:lastPrinted>2024-04-10T08:55:00Z</cp:lastPrinted>
  <dcterms:modified xsi:type="dcterms:W3CDTF">2024-04-30T03:09:04Z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6A8EF0C42A874A12A13D094474D8C491_11</vt:lpwstr>
  </property>
</Properties>
</file>