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0" w:after="0" w:line="201" w:lineRule="auto"/>
        <w:jc w:val="center"/>
        <w:rPr>
          <w:sz w:val="40"/>
        </w:rPr>
      </w:pPr>
      <w:r>
        <w:rPr>
          <w:rFonts w:hint="eastAsia" w:ascii="宋体" w:hAnsi="宋体" w:eastAsia="宋体"/>
          <w:b/>
          <w:color w:val="000000"/>
          <w:sz w:val="40"/>
        </w:rPr>
        <w:t>辽宁省药品网络销售监督管理办法实施细则</w:t>
      </w:r>
    </w:p>
    <w:p>
      <w:pPr>
        <w:wordWrap w:val="0"/>
        <w:spacing w:before="0" w:after="0" w:line="240" w:lineRule="auto"/>
        <w:ind w:firstLine="0"/>
        <w:jc w:val="both"/>
        <w:rPr>
          <w:rFonts w:hint="eastAsia" w:ascii="宋体" w:hAnsi="宋体" w:eastAsia="宋体"/>
          <w:color w:val="000000"/>
          <w:sz w:val="21"/>
        </w:rPr>
      </w:pPr>
    </w:p>
    <w:p>
      <w:pPr>
        <w:wordWrap w:val="0"/>
        <w:spacing w:before="0" w:after="0" w:line="240" w:lineRule="auto"/>
        <w:ind w:firstLine="0"/>
        <w:jc w:val="both"/>
        <w:rPr>
          <w:rFonts w:hint="eastAsia" w:ascii="宋体" w:hAnsi="宋体" w:eastAsia="宋体"/>
          <w:color w:val="000000"/>
          <w:sz w:val="21"/>
        </w:rPr>
      </w:pPr>
    </w:p>
    <w:p>
      <w:pPr>
        <w:wordWrap w:val="0"/>
        <w:spacing w:before="0" w:after="0" w:line="191" w:lineRule="auto"/>
        <w:ind w:firstLine="3380"/>
        <w:jc w:val="both"/>
        <w:rPr>
          <w:sz w:val="40"/>
        </w:rPr>
      </w:pPr>
      <w:r>
        <w:rPr>
          <w:rFonts w:hint="eastAsia" w:ascii="宋体" w:hAnsi="宋体" w:eastAsia="宋体"/>
          <w:b/>
          <w:color w:val="000000"/>
          <w:sz w:val="40"/>
        </w:rPr>
        <w:t>第一章 总则</w:t>
      </w:r>
    </w:p>
    <w:p>
      <w:pPr>
        <w:wordWrap w:val="0"/>
        <w:spacing w:before="0" w:after="0" w:line="324" w:lineRule="auto"/>
        <w:ind w:left="40" w:right="320" w:firstLine="660"/>
        <w:jc w:val="both"/>
        <w:rPr>
          <w:sz w:val="32"/>
        </w:rPr>
      </w:pPr>
      <w:r>
        <w:rPr>
          <w:rFonts w:hint="eastAsia" w:ascii="宋体" w:hAnsi="宋体" w:eastAsia="宋体"/>
          <w:b/>
          <w:color w:val="000000"/>
          <w:sz w:val="32"/>
        </w:rPr>
        <w:t>第一条</w:t>
      </w:r>
      <w:r>
        <w:rPr>
          <w:rFonts w:hint="eastAsia" w:ascii="宋体" w:hAnsi="宋体" w:eastAsia="宋体"/>
          <w:color w:val="000000"/>
          <w:sz w:val="32"/>
        </w:rPr>
        <w:t xml:space="preserve"> 为加强药品网络销售和药品网络交易平台服务监督管理，规范药品网络销售和药品网络交易平台服务活动，保障公众用药安全有效，根据《中华人民共和国药品管理法》《药品经营和使用质量监督管理办法》《药品网络销售监督管理办法》《药品经营质量管理规范》《国家药监局关于规范药品网络销售备案和报告工作的公告》等法律法规规章文件要求，结合我省实际，制定本细则。</w:t>
      </w:r>
    </w:p>
    <w:p>
      <w:pPr>
        <w:wordWrap w:val="0"/>
        <w:spacing w:before="0" w:after="0" w:line="324" w:lineRule="auto"/>
        <w:ind w:left="40" w:right="320" w:firstLine="660"/>
        <w:jc w:val="both"/>
        <w:rPr>
          <w:sz w:val="32"/>
        </w:rPr>
      </w:pPr>
      <w:r>
        <w:rPr>
          <w:rFonts w:hint="eastAsia" w:ascii="宋体" w:hAnsi="宋体" w:eastAsia="宋体"/>
          <w:b/>
          <w:color w:val="000000"/>
          <w:sz w:val="32"/>
        </w:rPr>
        <w:t>第二条</w:t>
      </w:r>
      <w:r>
        <w:rPr>
          <w:rFonts w:hint="eastAsia" w:ascii="宋体" w:hAnsi="宋体" w:eastAsia="宋体"/>
          <w:color w:val="000000"/>
          <w:sz w:val="32"/>
        </w:rPr>
        <w:t xml:space="preserve"> 在辽宁省行政区域内从事药品网络销售、提供药品网络交易平台服务活动及其监督管理，应当遵守本细则。</w:t>
      </w:r>
    </w:p>
    <w:p>
      <w:pPr>
        <w:wordWrap w:val="0"/>
        <w:spacing w:before="0" w:after="0" w:line="324" w:lineRule="auto"/>
        <w:ind w:left="40" w:right="320" w:firstLine="660"/>
        <w:jc w:val="both"/>
        <w:rPr>
          <w:sz w:val="32"/>
        </w:rPr>
      </w:pPr>
      <w:r>
        <w:rPr>
          <w:rFonts w:hint="eastAsia" w:ascii="宋体" w:hAnsi="宋体" w:eastAsia="宋体"/>
          <w:b/>
          <w:color w:val="000000"/>
          <w:sz w:val="32"/>
        </w:rPr>
        <w:t>第三条</w:t>
      </w:r>
      <w:r>
        <w:rPr>
          <w:rFonts w:hint="eastAsia" w:ascii="宋体" w:hAnsi="宋体" w:eastAsia="宋体"/>
          <w:color w:val="000000"/>
          <w:sz w:val="32"/>
        </w:rPr>
        <w:t xml:space="preserve"> 辽宁省药品监督管理局（以下简称省药监局）负责监督管理药品上市许可持有人、药品批发企业通过网络销售药品活动以及药品网络交易第三方平台（以下简称第三方平台）备案与监督管理工作；指导市级、县级药品监督管理部门的药品网络销售监督管理工作。</w:t>
      </w:r>
    </w:p>
    <w:p>
      <w:pPr>
        <w:wordWrap w:val="0"/>
        <w:spacing w:before="0" w:after="0" w:line="324" w:lineRule="auto"/>
        <w:ind w:left="40" w:right="320" w:firstLine="660"/>
        <w:jc w:val="both"/>
        <w:rPr>
          <w:sz w:val="32"/>
        </w:rPr>
      </w:pPr>
      <w:r>
        <w:rPr>
          <w:rFonts w:hint="eastAsia" w:ascii="宋体" w:hAnsi="宋体" w:eastAsia="宋体"/>
          <w:color w:val="000000"/>
          <w:sz w:val="32"/>
        </w:rPr>
        <w:t>市级、县级药品监督管理部门负责本行政区域内药品零售企业网络销售的监督管理工作。</w:t>
      </w:r>
    </w:p>
    <w:p>
      <w:pPr>
        <w:wordWrap w:val="0"/>
        <w:spacing w:before="0" w:after="0" w:line="324" w:lineRule="auto"/>
        <w:ind w:left="40" w:right="320" w:firstLine="660"/>
        <w:jc w:val="both"/>
        <w:rPr>
          <w:sz w:val="32"/>
        </w:rPr>
        <w:sectPr>
          <w:pgSz w:w="11901" w:h="16841"/>
          <w:pgMar w:top="2160" w:right="1440" w:bottom="2400" w:left="1440" w:header="1080" w:footer="1200" w:gutter="0"/>
          <w:cols w:space="720" w:num="1"/>
        </w:sectPr>
      </w:pPr>
      <w:r>
        <w:rPr>
          <w:rFonts w:hint="eastAsia" w:ascii="宋体" w:hAnsi="宋体" w:eastAsia="宋体"/>
          <w:b/>
          <w:color w:val="000000"/>
          <w:sz w:val="32"/>
        </w:rPr>
        <w:t>第四条</w:t>
      </w:r>
      <w:r>
        <w:rPr>
          <w:rFonts w:hint="eastAsia" w:ascii="宋体" w:hAnsi="宋体" w:eastAsia="宋体"/>
          <w:color w:val="000000"/>
          <w:sz w:val="32"/>
        </w:rPr>
        <w:t xml:space="preserve"> 从事药品网络销售、提供药品网络交易平台服务，应当遵守药品法律、法规、规章等要求，依法诚信经营，保障药品质量安全。</w:t>
      </w:r>
      <w:bookmarkStart w:id="0" w:name="_GoBack"/>
      <w:bookmarkEnd w:id="0"/>
    </w:p>
    <w:p>
      <w:pPr>
        <w:wordWrap w:val="0"/>
        <w:spacing w:before="0" w:after="0" w:line="273" w:lineRule="auto"/>
        <w:ind w:left="20" w:right="200" w:firstLine="680"/>
        <w:jc w:val="both"/>
        <w:rPr>
          <w:sz w:val="33"/>
        </w:rPr>
      </w:pPr>
      <w:r>
        <w:rPr>
          <w:rFonts w:hint="eastAsia" w:ascii="宋体" w:hAnsi="宋体" w:eastAsia="宋体"/>
          <w:b/>
          <w:color w:val="000000"/>
          <w:sz w:val="33"/>
        </w:rPr>
        <w:t>第五条</w:t>
      </w:r>
      <w:r>
        <w:rPr>
          <w:rFonts w:hint="eastAsia" w:ascii="宋体" w:hAnsi="宋体" w:eastAsia="宋体"/>
          <w:color w:val="000000"/>
          <w:sz w:val="33"/>
        </w:rPr>
        <w:t xml:space="preserve"> 从事药品网络销售、提供药品网络交易平台服务，应当采取有效措施保证交易全过程信息真实、准确、完整和可追溯，并遵守国家个人信息保护的有关规定。</w:t>
      </w:r>
    </w:p>
    <w:p>
      <w:pPr>
        <w:wordWrap w:val="0"/>
        <w:spacing w:before="0" w:after="0" w:line="240" w:lineRule="auto"/>
        <w:ind w:firstLine="0"/>
        <w:jc w:val="both"/>
        <w:rPr>
          <w:rFonts w:hint="eastAsia" w:ascii="宋体" w:hAnsi="宋体" w:eastAsia="宋体"/>
          <w:color w:val="000000"/>
          <w:sz w:val="21"/>
        </w:rPr>
      </w:pPr>
    </w:p>
    <w:p>
      <w:pPr>
        <w:wordWrap w:val="0"/>
        <w:spacing w:before="0" w:after="0" w:line="240" w:lineRule="auto"/>
        <w:ind w:firstLine="0"/>
        <w:jc w:val="both"/>
        <w:rPr>
          <w:rFonts w:hint="eastAsia" w:ascii="宋体" w:hAnsi="宋体" w:eastAsia="宋体"/>
          <w:color w:val="000000"/>
          <w:sz w:val="21"/>
        </w:rPr>
      </w:pPr>
    </w:p>
    <w:p>
      <w:pPr>
        <w:wordWrap w:val="0"/>
        <w:spacing w:before="0" w:after="0" w:line="240" w:lineRule="auto"/>
        <w:ind w:firstLine="0"/>
        <w:jc w:val="both"/>
        <w:rPr>
          <w:rFonts w:hint="eastAsia" w:ascii="宋体" w:hAnsi="宋体" w:eastAsia="宋体"/>
          <w:color w:val="000000"/>
          <w:sz w:val="21"/>
        </w:rPr>
      </w:pPr>
    </w:p>
    <w:p>
      <w:pPr>
        <w:wordWrap w:val="0"/>
        <w:spacing w:before="0" w:after="0" w:line="191" w:lineRule="auto"/>
        <w:jc w:val="center"/>
        <w:rPr>
          <w:sz w:val="33"/>
        </w:rPr>
      </w:pPr>
      <w:r>
        <w:rPr>
          <w:rFonts w:hint="eastAsia" w:ascii="宋体" w:hAnsi="宋体" w:eastAsia="宋体"/>
          <w:b/>
          <w:color w:val="000000"/>
          <w:sz w:val="33"/>
        </w:rPr>
        <w:t>第二章 药品网络销售管理</w:t>
      </w:r>
    </w:p>
    <w:p>
      <w:pPr>
        <w:wordWrap w:val="0"/>
        <w:spacing w:before="0" w:after="0" w:line="239" w:lineRule="auto"/>
        <w:jc w:val="center"/>
        <w:rPr>
          <w:sz w:val="33"/>
        </w:rPr>
      </w:pPr>
      <w:r>
        <w:rPr>
          <w:rFonts w:hint="eastAsia" w:ascii="宋体" w:hAnsi="宋体" w:eastAsia="宋体"/>
          <w:color w:val="000000"/>
          <w:sz w:val="33"/>
        </w:rPr>
        <w:t>第一节 药品网络销售基本要求</w:t>
      </w:r>
    </w:p>
    <w:p>
      <w:pPr>
        <w:wordWrap w:val="0"/>
        <w:spacing w:before="0" w:after="0" w:line="240" w:lineRule="auto"/>
        <w:ind w:firstLine="0"/>
        <w:jc w:val="both"/>
        <w:rPr>
          <w:rFonts w:hint="eastAsia" w:ascii="宋体" w:hAnsi="宋体" w:eastAsia="宋体"/>
          <w:color w:val="000000"/>
          <w:sz w:val="21"/>
        </w:rPr>
      </w:pPr>
    </w:p>
    <w:p>
      <w:pPr>
        <w:wordWrap w:val="0"/>
        <w:spacing w:before="0" w:after="0" w:line="273" w:lineRule="auto"/>
        <w:ind w:left="20" w:right="200" w:firstLine="680"/>
        <w:jc w:val="both"/>
        <w:rPr>
          <w:sz w:val="33"/>
        </w:rPr>
      </w:pPr>
      <w:r>
        <w:rPr>
          <w:rFonts w:hint="eastAsia" w:ascii="宋体" w:hAnsi="宋体" w:eastAsia="宋体"/>
          <w:b/>
          <w:color w:val="000000"/>
          <w:sz w:val="33"/>
        </w:rPr>
        <w:t>第六条</w:t>
      </w:r>
      <w:r>
        <w:rPr>
          <w:rFonts w:hint="eastAsia" w:ascii="宋体" w:hAnsi="宋体" w:eastAsia="宋体"/>
          <w:color w:val="000000"/>
          <w:sz w:val="33"/>
        </w:rPr>
        <w:t xml:space="preserve"> 药品网络销售企业应当按照有关法律、法规、规章的要求，取得相应药品生产、经营资格，建立健全质量管理体系，结合网络销售特点有效开展质量管理活动，确保网络销售药品质量。</w:t>
      </w:r>
    </w:p>
    <w:p>
      <w:pPr>
        <w:wordWrap w:val="0"/>
        <w:spacing w:before="0" w:after="0" w:line="273" w:lineRule="auto"/>
        <w:ind w:left="20" w:right="200" w:firstLine="680"/>
        <w:jc w:val="both"/>
        <w:rPr>
          <w:sz w:val="33"/>
        </w:rPr>
      </w:pPr>
      <w:r>
        <w:rPr>
          <w:rFonts w:hint="eastAsia" w:ascii="宋体" w:hAnsi="宋体" w:eastAsia="宋体"/>
          <w:b/>
          <w:color w:val="000000"/>
          <w:sz w:val="33"/>
        </w:rPr>
        <w:t>第七条</w:t>
      </w:r>
      <w:r>
        <w:rPr>
          <w:rFonts w:hint="eastAsia" w:ascii="宋体" w:hAnsi="宋体" w:eastAsia="宋体"/>
          <w:color w:val="000000"/>
          <w:sz w:val="33"/>
        </w:rPr>
        <w:t xml:space="preserve"> 药品网络销售企业的经营方式、经营范围、实际生产经营地址、库房地址应当与其生产经营许可证的内容相一致。网售药品的发货地址应当与药品监管部门核准的地址相一致。</w:t>
      </w:r>
    </w:p>
    <w:p>
      <w:pPr>
        <w:wordWrap w:val="0"/>
        <w:spacing w:before="0" w:after="0" w:line="240" w:lineRule="auto"/>
        <w:ind w:firstLine="0"/>
        <w:jc w:val="both"/>
        <w:rPr>
          <w:rFonts w:hint="eastAsia" w:ascii="宋体" w:hAnsi="宋体" w:eastAsia="宋体"/>
          <w:color w:val="000000"/>
          <w:sz w:val="21"/>
        </w:rPr>
      </w:pPr>
    </w:p>
    <w:p>
      <w:pPr>
        <w:wordWrap w:val="0"/>
        <w:spacing w:before="0" w:after="0" w:line="273" w:lineRule="auto"/>
        <w:ind w:left="20" w:right="200" w:firstLine="680"/>
        <w:jc w:val="both"/>
        <w:rPr>
          <w:sz w:val="33"/>
        </w:rPr>
      </w:pPr>
      <w:r>
        <w:rPr>
          <w:rFonts w:hint="eastAsia" w:ascii="宋体" w:hAnsi="宋体" w:eastAsia="宋体"/>
          <w:b/>
          <w:color w:val="000000"/>
          <w:sz w:val="33"/>
        </w:rPr>
        <w:t>第八条</w:t>
      </w:r>
      <w:r>
        <w:rPr>
          <w:rFonts w:hint="eastAsia" w:ascii="宋体" w:hAnsi="宋体" w:eastAsia="宋体"/>
          <w:color w:val="000000"/>
          <w:sz w:val="33"/>
        </w:rPr>
        <w:t xml:space="preserve"> 药品网络销售企业应当具备与经营规模和经营方式相适应的经营场所或库房、组织机构与人员、制度文件、设施与设备、计算机管理系统等，并保证采购、收货与验收、储存与养护（陈列）、销售、出库、运输与配送、售后管理等全过程符合法律、法规、规章等要求。</w:t>
      </w:r>
    </w:p>
    <w:p>
      <w:pPr>
        <w:wordWrap w:val="0"/>
        <w:spacing w:before="0" w:after="0" w:line="240" w:lineRule="auto"/>
        <w:ind w:firstLine="0"/>
        <w:jc w:val="both"/>
        <w:rPr>
          <w:rFonts w:hint="eastAsia" w:ascii="宋体" w:hAnsi="宋体" w:eastAsia="宋体"/>
          <w:color w:val="000000"/>
          <w:sz w:val="21"/>
        </w:rPr>
      </w:pPr>
    </w:p>
    <w:p>
      <w:pPr>
        <w:wordWrap w:val="0"/>
        <w:spacing w:before="0" w:after="0" w:line="273" w:lineRule="auto"/>
        <w:ind w:left="20" w:right="200" w:firstLine="680"/>
        <w:jc w:val="both"/>
        <w:rPr>
          <w:sz w:val="33"/>
        </w:rPr>
        <w:sectPr>
          <w:type w:val="continuous"/>
          <w:pgSz w:w="11900" w:h="16840"/>
          <w:pgMar w:top="2160" w:right="1440" w:bottom="2400" w:left="1440" w:header="1080" w:footer="1200" w:gutter="0"/>
          <w:cols w:space="720" w:num="1"/>
        </w:sectPr>
      </w:pPr>
      <w:r>
        <w:rPr>
          <w:rFonts w:hint="eastAsia" w:ascii="宋体" w:hAnsi="宋体" w:eastAsia="宋体"/>
          <w:b/>
          <w:color w:val="000000"/>
          <w:sz w:val="33"/>
        </w:rPr>
        <w:t>第九条</w:t>
      </w:r>
      <w:r>
        <w:rPr>
          <w:rFonts w:hint="eastAsia" w:ascii="宋体" w:hAnsi="宋体" w:eastAsia="宋体"/>
          <w:color w:val="000000"/>
          <w:sz w:val="33"/>
        </w:rPr>
        <w:t xml:space="preserve"> 从事药品网络销售的药品上市许可持有人、药品批发企业不得直接向个人销售药品，但药品上市许可持有人取得药品零售资质的除外。药品网络销售企业为药品上市许可持有人的，仅能销售其取得药品注册证书的药品。</w:t>
      </w:r>
    </w:p>
    <w:p>
      <w:pPr>
        <w:wordWrap w:val="0"/>
        <w:spacing w:before="0" w:after="0" w:line="259" w:lineRule="auto"/>
        <w:ind w:left="20" w:right="200" w:firstLine="680"/>
        <w:jc w:val="both"/>
        <w:rPr>
          <w:sz w:val="33"/>
        </w:rPr>
      </w:pPr>
      <w:r>
        <w:rPr>
          <w:rFonts w:hint="eastAsia" w:ascii="宋体" w:hAnsi="宋体" w:eastAsia="宋体"/>
          <w:color w:val="000000"/>
          <w:sz w:val="33"/>
        </w:rPr>
        <w:t>药品零售连锁企业从事药品网络销售活动的，应当以药品零售连锁门店（以下简称零售门店）为主体，由零售门店承担药品网络销售主体责任；零售连锁总部承担对所属零售门店的管理责任，药品零售连锁总部不得直接向个人销售药品。</w:t>
      </w:r>
    </w:p>
    <w:p>
      <w:pPr>
        <w:wordWrap w:val="0"/>
        <w:spacing w:before="0" w:after="0" w:line="240" w:lineRule="auto"/>
        <w:ind w:firstLine="0"/>
        <w:jc w:val="both"/>
        <w:rPr>
          <w:rFonts w:hint="eastAsia" w:ascii="宋体" w:hAnsi="宋体" w:eastAsia="宋体"/>
          <w:color w:val="000000"/>
          <w:sz w:val="21"/>
        </w:rPr>
      </w:pPr>
    </w:p>
    <w:p>
      <w:pPr>
        <w:wordWrap w:val="0"/>
        <w:spacing w:before="0" w:after="0" w:line="259" w:lineRule="auto"/>
        <w:ind w:left="20" w:right="200" w:firstLine="680"/>
        <w:jc w:val="both"/>
        <w:rPr>
          <w:sz w:val="33"/>
        </w:rPr>
      </w:pPr>
      <w:r>
        <w:rPr>
          <w:rFonts w:hint="eastAsia" w:ascii="宋体" w:hAnsi="宋体" w:eastAsia="宋体"/>
          <w:b/>
          <w:color w:val="000000"/>
          <w:sz w:val="33"/>
        </w:rPr>
        <w:t>第十条</w:t>
      </w:r>
      <w:r>
        <w:rPr>
          <w:rFonts w:hint="eastAsia" w:ascii="宋体" w:hAnsi="宋体" w:eastAsia="宋体"/>
          <w:color w:val="000000"/>
          <w:sz w:val="33"/>
        </w:rPr>
        <w:t xml:space="preserve"> 药品网络销售企业主要负责人、质量负责人应当熟悉药品网络销售相关法律、法规、规章等，并符合有关法律法规规定的资格要求。</w:t>
      </w:r>
    </w:p>
    <w:p>
      <w:pPr>
        <w:wordWrap w:val="0"/>
        <w:spacing w:before="0" w:after="0" w:line="240" w:lineRule="auto"/>
        <w:ind w:firstLine="0"/>
        <w:jc w:val="both"/>
        <w:rPr>
          <w:rFonts w:hint="eastAsia" w:ascii="宋体" w:hAnsi="宋体" w:eastAsia="宋体"/>
          <w:color w:val="000000"/>
          <w:sz w:val="21"/>
        </w:rPr>
      </w:pPr>
    </w:p>
    <w:p>
      <w:pPr>
        <w:wordWrap w:val="0"/>
        <w:spacing w:before="0" w:after="0" w:line="259" w:lineRule="auto"/>
        <w:ind w:left="20" w:right="200" w:firstLine="680"/>
        <w:jc w:val="both"/>
        <w:rPr>
          <w:sz w:val="33"/>
        </w:rPr>
      </w:pPr>
      <w:r>
        <w:rPr>
          <w:rFonts w:hint="eastAsia" w:ascii="宋体" w:hAnsi="宋体" w:eastAsia="宋体"/>
          <w:color w:val="000000"/>
          <w:sz w:val="33"/>
        </w:rPr>
        <w:t>从事药品网络销售活动的相关人员应当接受药品网络销售相关法律法规、药品专业技能以及网络技术等知识的岗前培训和继续教育培训。</w:t>
      </w:r>
    </w:p>
    <w:p>
      <w:pPr>
        <w:wordWrap w:val="0"/>
        <w:spacing w:before="0" w:after="0" w:line="259" w:lineRule="auto"/>
        <w:ind w:left="20" w:right="200" w:firstLine="680"/>
        <w:jc w:val="both"/>
        <w:rPr>
          <w:sz w:val="33"/>
        </w:rPr>
      </w:pPr>
      <w:r>
        <w:rPr>
          <w:rFonts w:hint="eastAsia" w:ascii="宋体" w:hAnsi="宋体" w:eastAsia="宋体"/>
          <w:b/>
          <w:color w:val="000000"/>
          <w:sz w:val="33"/>
        </w:rPr>
        <w:t>第十一条</w:t>
      </w:r>
      <w:r>
        <w:rPr>
          <w:rFonts w:hint="eastAsia" w:ascii="宋体" w:hAnsi="宋体" w:eastAsia="宋体"/>
          <w:color w:val="000000"/>
          <w:sz w:val="33"/>
        </w:rPr>
        <w:t xml:space="preserve"> 药品网络销售企业的质量管理制度文件应当至少包括以下内容：</w:t>
      </w:r>
    </w:p>
    <w:p>
      <w:pPr>
        <w:wordWrap w:val="0"/>
        <w:spacing w:before="0" w:after="0" w:line="239" w:lineRule="auto"/>
        <w:ind w:firstLine="800"/>
        <w:jc w:val="both"/>
        <w:rPr>
          <w:sz w:val="33"/>
        </w:rPr>
      </w:pPr>
      <w:r>
        <w:rPr>
          <w:rFonts w:hint="eastAsia" w:ascii="宋体" w:hAnsi="宋体" w:eastAsia="宋体"/>
          <w:color w:val="000000"/>
          <w:sz w:val="33"/>
        </w:rPr>
        <w:t>（一）药品网络销售报告的管理；</w:t>
      </w:r>
    </w:p>
    <w:p>
      <w:pPr>
        <w:wordWrap w:val="0"/>
        <w:spacing w:before="132" w:after="0" w:line="239" w:lineRule="auto"/>
        <w:ind w:firstLine="800"/>
        <w:jc w:val="both"/>
        <w:rPr>
          <w:sz w:val="33"/>
        </w:rPr>
      </w:pPr>
      <w:r>
        <w:rPr>
          <w:rFonts w:hint="eastAsia" w:ascii="宋体" w:hAnsi="宋体" w:eastAsia="宋体"/>
          <w:color w:val="000000"/>
          <w:sz w:val="33"/>
        </w:rPr>
        <w:t>（二）药品网络销售风险控制的管理；</w:t>
      </w:r>
    </w:p>
    <w:p>
      <w:pPr>
        <w:wordWrap w:val="0"/>
        <w:spacing w:before="152" w:after="0" w:line="239" w:lineRule="auto"/>
        <w:ind w:firstLine="800"/>
        <w:jc w:val="both"/>
        <w:rPr>
          <w:sz w:val="33"/>
        </w:rPr>
      </w:pPr>
      <w:r>
        <w:rPr>
          <w:rFonts w:hint="eastAsia" w:ascii="宋体" w:hAnsi="宋体" w:eastAsia="宋体"/>
          <w:color w:val="000000"/>
          <w:sz w:val="33"/>
        </w:rPr>
        <w:t>（三）药品网络销售信息展示与发布的管理；</w:t>
      </w:r>
    </w:p>
    <w:p>
      <w:pPr>
        <w:wordWrap w:val="0"/>
        <w:spacing w:before="132" w:after="0" w:line="239" w:lineRule="auto"/>
        <w:ind w:firstLine="800"/>
        <w:jc w:val="both"/>
        <w:rPr>
          <w:sz w:val="33"/>
        </w:rPr>
      </w:pPr>
      <w:r>
        <w:rPr>
          <w:rFonts w:hint="eastAsia" w:ascii="宋体" w:hAnsi="宋体" w:eastAsia="宋体"/>
          <w:color w:val="000000"/>
          <w:sz w:val="33"/>
        </w:rPr>
        <w:t>（四）药品网络销售数据的管理；</w:t>
      </w:r>
    </w:p>
    <w:p>
      <w:pPr>
        <w:wordWrap w:val="0"/>
        <w:spacing w:before="132" w:after="0" w:line="239" w:lineRule="auto"/>
        <w:ind w:firstLine="800"/>
        <w:jc w:val="both"/>
        <w:rPr>
          <w:sz w:val="33"/>
        </w:rPr>
      </w:pPr>
      <w:r>
        <w:rPr>
          <w:rFonts w:hint="eastAsia" w:ascii="宋体" w:hAnsi="宋体" w:eastAsia="宋体"/>
          <w:color w:val="000000"/>
          <w:sz w:val="33"/>
        </w:rPr>
        <w:t>（五）药品网络销售追溯的管理；</w:t>
      </w:r>
    </w:p>
    <w:p>
      <w:pPr>
        <w:wordWrap w:val="0"/>
        <w:spacing w:before="152" w:after="0" w:line="239" w:lineRule="auto"/>
        <w:ind w:firstLine="800"/>
        <w:jc w:val="both"/>
        <w:rPr>
          <w:sz w:val="33"/>
        </w:rPr>
      </w:pPr>
      <w:r>
        <w:rPr>
          <w:rFonts w:hint="eastAsia" w:ascii="宋体" w:hAnsi="宋体" w:eastAsia="宋体"/>
          <w:color w:val="000000"/>
          <w:sz w:val="33"/>
        </w:rPr>
        <w:t>（六）药品网络销售储存配送的管理；</w:t>
      </w:r>
    </w:p>
    <w:p>
      <w:pPr>
        <w:wordWrap w:val="0"/>
        <w:spacing w:before="112" w:after="0" w:line="239" w:lineRule="auto"/>
        <w:ind w:firstLine="800"/>
        <w:jc w:val="both"/>
        <w:rPr>
          <w:sz w:val="33"/>
        </w:rPr>
      </w:pPr>
      <w:r>
        <w:rPr>
          <w:rFonts w:hint="eastAsia" w:ascii="宋体" w:hAnsi="宋体" w:eastAsia="宋体"/>
          <w:color w:val="000000"/>
          <w:sz w:val="33"/>
        </w:rPr>
        <w:t>（七）药品网络销售退货的管理；</w:t>
      </w:r>
    </w:p>
    <w:p>
      <w:pPr>
        <w:wordWrap w:val="0"/>
        <w:spacing w:before="152" w:after="0" w:line="239" w:lineRule="auto"/>
        <w:ind w:firstLine="800"/>
        <w:jc w:val="both"/>
        <w:rPr>
          <w:sz w:val="33"/>
        </w:rPr>
      </w:pPr>
      <w:r>
        <w:rPr>
          <w:rFonts w:hint="eastAsia" w:ascii="宋体" w:hAnsi="宋体" w:eastAsia="宋体"/>
          <w:color w:val="000000"/>
          <w:sz w:val="33"/>
        </w:rPr>
        <w:t>（八）药品网络销售不良反应报告的管理；</w:t>
      </w:r>
    </w:p>
    <w:p>
      <w:pPr>
        <w:wordWrap w:val="0"/>
        <w:spacing w:before="132" w:after="0" w:line="239" w:lineRule="auto"/>
        <w:ind w:firstLine="800"/>
        <w:jc w:val="both"/>
        <w:rPr>
          <w:sz w:val="33"/>
        </w:rPr>
      </w:pPr>
      <w:r>
        <w:rPr>
          <w:rFonts w:hint="eastAsia" w:ascii="宋体" w:hAnsi="宋体" w:eastAsia="宋体"/>
          <w:color w:val="000000"/>
          <w:sz w:val="33"/>
        </w:rPr>
        <w:t>（九）药品网络销售投诉举报处理的管理；</w:t>
      </w:r>
    </w:p>
    <w:p>
      <w:pPr>
        <w:wordWrap w:val="0"/>
        <w:spacing w:before="0" w:after="0" w:line="240" w:lineRule="auto"/>
        <w:ind w:firstLine="0"/>
        <w:jc w:val="both"/>
        <w:rPr>
          <w:rFonts w:hint="eastAsia" w:ascii="宋体" w:hAnsi="宋体" w:eastAsia="宋体"/>
          <w:color w:val="000000"/>
          <w:sz w:val="21"/>
        </w:rPr>
      </w:pPr>
    </w:p>
    <w:p>
      <w:pPr>
        <w:wordWrap w:val="0"/>
        <w:spacing w:before="0" w:after="0" w:line="191" w:lineRule="auto"/>
        <w:ind w:firstLine="800"/>
        <w:jc w:val="both"/>
        <w:rPr>
          <w:sz w:val="33"/>
        </w:rPr>
        <w:sectPr>
          <w:type w:val="continuous"/>
          <w:pgSz w:w="11901" w:h="16841"/>
          <w:pgMar w:top="2160" w:right="1440" w:bottom="2400" w:left="1440" w:header="1080" w:footer="1200" w:gutter="0"/>
          <w:cols w:space="720" w:num="1"/>
        </w:sectPr>
      </w:pPr>
      <w:r>
        <w:rPr>
          <w:rFonts w:hint="eastAsia" w:ascii="宋体" w:hAnsi="宋体" w:eastAsia="宋体"/>
          <w:color w:val="000000"/>
          <w:sz w:val="33"/>
        </w:rPr>
        <w:t>（十）禁止网络销售药品的管理。</w:t>
      </w:r>
    </w:p>
    <w:p>
      <w:pPr>
        <w:wordWrap w:val="0"/>
        <w:spacing w:before="0" w:after="0" w:line="261" w:lineRule="auto"/>
        <w:ind w:left="40" w:right="180" w:firstLine="680"/>
        <w:jc w:val="both"/>
        <w:rPr>
          <w:sz w:val="33"/>
        </w:rPr>
      </w:pPr>
      <w:r>
        <w:rPr>
          <w:rFonts w:hint="eastAsia" w:ascii="宋体" w:hAnsi="宋体" w:eastAsia="宋体"/>
          <w:color w:val="000000"/>
          <w:sz w:val="33"/>
        </w:rPr>
        <w:t>从事药品网络零售的企业还应当建立处方审核、合理用药指导等在线药学服务的管理制度。</w:t>
      </w:r>
    </w:p>
    <w:p>
      <w:pPr>
        <w:wordWrap w:val="0"/>
        <w:spacing w:before="0" w:after="0" w:line="240" w:lineRule="auto"/>
        <w:ind w:firstLine="0"/>
        <w:jc w:val="both"/>
        <w:rPr>
          <w:rFonts w:hint="eastAsia" w:ascii="宋体" w:hAnsi="宋体" w:eastAsia="宋体"/>
          <w:color w:val="000000"/>
          <w:sz w:val="21"/>
        </w:rPr>
      </w:pPr>
    </w:p>
    <w:p>
      <w:pPr>
        <w:wordWrap w:val="0"/>
        <w:spacing w:before="0" w:after="0" w:line="261" w:lineRule="auto"/>
        <w:ind w:left="40" w:right="180" w:firstLine="680"/>
        <w:jc w:val="both"/>
        <w:rPr>
          <w:sz w:val="33"/>
        </w:rPr>
      </w:pPr>
      <w:r>
        <w:rPr>
          <w:rFonts w:hint="eastAsia" w:ascii="宋体" w:hAnsi="宋体" w:eastAsia="宋体"/>
          <w:b/>
          <w:color w:val="000000"/>
          <w:sz w:val="33"/>
        </w:rPr>
        <w:t>第十二条</w:t>
      </w:r>
      <w:r>
        <w:rPr>
          <w:rFonts w:hint="eastAsia" w:ascii="宋体" w:hAnsi="宋体" w:eastAsia="宋体"/>
          <w:color w:val="000000"/>
          <w:sz w:val="33"/>
        </w:rPr>
        <w:t xml:space="preserve"> 从事药品网络销售的药品上市许可持有人、药品批发企业、药品零售企业应当按规定向药品监督管理部门报告，通过辽宁政务服务网-药品企业公共服务系统企业端口报送信息。报告内容包括企业名称、网站名称、应用程序名称、</w:t>
      </w:r>
      <w:r>
        <w:rPr>
          <w:rFonts w:hint="eastAsia" w:ascii="Calibri" w:hAnsi="Calibri" w:eastAsia="Calibri"/>
          <w:color w:val="000000"/>
          <w:sz w:val="33"/>
        </w:rPr>
        <w:t>IP</w:t>
      </w:r>
      <w:r>
        <w:rPr>
          <w:rFonts w:hint="eastAsia" w:ascii="宋体" w:hAnsi="宋体" w:eastAsia="宋体"/>
          <w:color w:val="000000"/>
          <w:sz w:val="33"/>
        </w:rPr>
        <w:t>地址、域名、药品生产许可证或者药品经营许可证等信息，并提交加盖公章的药品网络销售企业报告信息表。信息发生变化的，应当在</w:t>
      </w:r>
      <w:r>
        <w:rPr>
          <w:rFonts w:hint="eastAsia" w:ascii="Calibri" w:hAnsi="Calibri" w:eastAsia="Calibri"/>
          <w:color w:val="000000"/>
          <w:sz w:val="33"/>
        </w:rPr>
        <w:t>10</w:t>
      </w:r>
      <w:r>
        <w:rPr>
          <w:rFonts w:hint="eastAsia" w:ascii="宋体" w:hAnsi="宋体" w:eastAsia="宋体"/>
          <w:color w:val="000000"/>
          <w:sz w:val="33"/>
        </w:rPr>
        <w:t>个工作日内报告。</w:t>
      </w:r>
    </w:p>
    <w:p>
      <w:pPr>
        <w:wordWrap w:val="0"/>
        <w:spacing w:before="0" w:after="0" w:line="261" w:lineRule="auto"/>
        <w:ind w:left="40" w:right="180" w:firstLine="680"/>
        <w:jc w:val="both"/>
        <w:rPr>
          <w:sz w:val="33"/>
        </w:rPr>
      </w:pPr>
      <w:r>
        <w:rPr>
          <w:rFonts w:hint="eastAsia" w:ascii="宋体" w:hAnsi="宋体" w:eastAsia="宋体"/>
          <w:color w:val="000000"/>
          <w:sz w:val="33"/>
        </w:rPr>
        <w:t>从事药品网络销售的企业通过多个自建网站、网络客户端应用程序（含小程序）等开展经营活动的，应当在报告内容中逐个列明；入驻同一个或多个第三方平台开展经营活动的，应当将第三方平台名称、店铺名称、店铺首页链接在报告内容中逐项列明。</w:t>
      </w:r>
    </w:p>
    <w:p>
      <w:pPr>
        <w:wordWrap w:val="0"/>
        <w:spacing w:before="0" w:after="0" w:line="240" w:lineRule="auto"/>
        <w:ind w:firstLine="0"/>
        <w:jc w:val="both"/>
        <w:rPr>
          <w:rFonts w:hint="eastAsia" w:ascii="宋体" w:hAnsi="宋体" w:eastAsia="宋体"/>
          <w:color w:val="000000"/>
          <w:sz w:val="21"/>
        </w:rPr>
      </w:pPr>
    </w:p>
    <w:p>
      <w:pPr>
        <w:wordWrap w:val="0"/>
        <w:spacing w:before="0" w:after="0" w:line="261" w:lineRule="auto"/>
        <w:ind w:left="40" w:right="180" w:firstLine="680"/>
        <w:jc w:val="both"/>
        <w:rPr>
          <w:sz w:val="33"/>
        </w:rPr>
      </w:pPr>
      <w:r>
        <w:rPr>
          <w:rFonts w:hint="eastAsia" w:ascii="宋体" w:hAnsi="宋体" w:eastAsia="宋体"/>
          <w:b/>
          <w:color w:val="000000"/>
          <w:sz w:val="33"/>
        </w:rPr>
        <w:t>第十三条</w:t>
      </w:r>
      <w:r>
        <w:rPr>
          <w:rFonts w:hint="eastAsia" w:ascii="宋体" w:hAnsi="宋体" w:eastAsia="宋体"/>
          <w:color w:val="000000"/>
          <w:sz w:val="33"/>
        </w:rPr>
        <w:t xml:space="preserve"> 药品网络销售企业应当在网站首页或者经营活动的主页面显著位置，持续公示其药品生产或者经营许可证信息，信息发生变化的，应当在</w:t>
      </w:r>
      <w:r>
        <w:rPr>
          <w:rFonts w:hint="eastAsia" w:ascii="Calibri" w:hAnsi="Calibri" w:eastAsia="Calibri"/>
          <w:color w:val="000000"/>
          <w:sz w:val="33"/>
        </w:rPr>
        <w:t>10</w:t>
      </w:r>
      <w:r>
        <w:rPr>
          <w:rFonts w:hint="eastAsia" w:ascii="宋体" w:hAnsi="宋体" w:eastAsia="宋体"/>
          <w:color w:val="000000"/>
          <w:sz w:val="33"/>
        </w:rPr>
        <w:t>个工作日内予以更新。</w:t>
      </w:r>
    </w:p>
    <w:p>
      <w:pPr>
        <w:wordWrap w:val="0"/>
        <w:spacing w:before="0" w:after="0" w:line="240" w:lineRule="auto"/>
        <w:ind w:firstLine="0"/>
        <w:jc w:val="both"/>
        <w:rPr>
          <w:rFonts w:hint="eastAsia" w:ascii="宋体" w:hAnsi="宋体" w:eastAsia="宋体"/>
          <w:color w:val="000000"/>
          <w:sz w:val="21"/>
        </w:rPr>
      </w:pPr>
    </w:p>
    <w:p>
      <w:pPr>
        <w:wordWrap w:val="0"/>
        <w:spacing w:before="0" w:after="0" w:line="261" w:lineRule="auto"/>
        <w:ind w:left="40" w:right="180" w:firstLine="680"/>
        <w:jc w:val="both"/>
        <w:rPr>
          <w:sz w:val="33"/>
        </w:rPr>
      </w:pPr>
      <w:r>
        <w:rPr>
          <w:rFonts w:hint="eastAsia" w:ascii="宋体" w:hAnsi="宋体" w:eastAsia="宋体"/>
          <w:color w:val="000000"/>
          <w:sz w:val="33"/>
        </w:rPr>
        <w:t>零售门店从事药品网络销售活动时，可根据实际需求，同时展示零售连锁总部的药品经营许可证信息。</w:t>
      </w:r>
    </w:p>
    <w:p>
      <w:pPr>
        <w:wordWrap w:val="0"/>
        <w:spacing w:before="0" w:after="0" w:line="261" w:lineRule="auto"/>
        <w:ind w:left="40" w:right="180" w:firstLine="680"/>
        <w:jc w:val="both"/>
        <w:rPr>
          <w:sz w:val="33"/>
        </w:rPr>
        <w:sectPr>
          <w:type w:val="continuous"/>
          <w:pgSz w:w="11900" w:h="16840"/>
          <w:pgMar w:top="2160" w:right="1440" w:bottom="2400" w:left="1440" w:header="1080" w:footer="1200" w:gutter="0"/>
          <w:cols w:space="720" w:num="1"/>
        </w:sectPr>
      </w:pPr>
      <w:r>
        <w:rPr>
          <w:rFonts w:hint="eastAsia" w:ascii="宋体" w:hAnsi="宋体" w:eastAsia="宋体"/>
          <w:b/>
          <w:color w:val="000000"/>
          <w:sz w:val="33"/>
        </w:rPr>
        <w:t>第十四条</w:t>
      </w:r>
      <w:r>
        <w:rPr>
          <w:rFonts w:hint="eastAsia" w:ascii="宋体" w:hAnsi="宋体" w:eastAsia="宋体"/>
          <w:color w:val="000000"/>
          <w:sz w:val="33"/>
        </w:rPr>
        <w:t xml:space="preserve"> 疫苗、血液制品、麻醉药品、精神药品、医疗用毒性药品、放射性药品、药品类易制毒化学品等国家实行特殊管理的药品不得在网络上销售，具体品种及要求按照国家药品监督管理局制定的《药品网络销售禁止清单》等规定执行。</w:t>
      </w:r>
    </w:p>
    <w:p>
      <w:pPr>
        <w:wordWrap w:val="0"/>
        <w:spacing w:before="0" w:after="0" w:line="292" w:lineRule="auto"/>
        <w:ind w:left="40" w:right="220" w:firstLine="660"/>
        <w:jc w:val="both"/>
        <w:rPr>
          <w:sz w:val="33"/>
        </w:rPr>
      </w:pPr>
      <w:r>
        <w:rPr>
          <w:rFonts w:hint="eastAsia" w:ascii="宋体" w:hAnsi="宋体" w:eastAsia="宋体"/>
          <w:b/>
          <w:color w:val="000000"/>
          <w:sz w:val="33"/>
        </w:rPr>
        <w:t>第十五条</w:t>
      </w:r>
      <w:r>
        <w:rPr>
          <w:rFonts w:hint="eastAsia" w:ascii="宋体" w:hAnsi="宋体" w:eastAsia="宋体"/>
          <w:color w:val="000000"/>
          <w:sz w:val="33"/>
        </w:rPr>
        <w:t xml:space="preserve"> 企业网络销售数据应当与购销存计算机管理系统数据相一致，可通过关联网络销售订单号、手动录入信息等方式，实现药品网络销售数据可追溯。鼓励企业购销存计算机管理系统与第三方平台进行对接，实现数据互联互通。</w:t>
      </w:r>
    </w:p>
    <w:p>
      <w:pPr>
        <w:wordWrap w:val="0"/>
        <w:spacing w:before="0" w:after="0" w:line="240" w:lineRule="auto"/>
        <w:ind w:firstLine="0"/>
        <w:jc w:val="both"/>
        <w:rPr>
          <w:rFonts w:hint="eastAsia" w:ascii="宋体" w:hAnsi="宋体" w:eastAsia="宋体"/>
          <w:color w:val="000000"/>
          <w:sz w:val="21"/>
        </w:rPr>
      </w:pPr>
    </w:p>
    <w:p>
      <w:pPr>
        <w:wordWrap w:val="0"/>
        <w:spacing w:before="0" w:after="0" w:line="292" w:lineRule="auto"/>
        <w:ind w:left="40" w:right="220" w:firstLine="660"/>
        <w:jc w:val="both"/>
        <w:rPr>
          <w:sz w:val="33"/>
        </w:rPr>
      </w:pPr>
      <w:r>
        <w:rPr>
          <w:rFonts w:hint="eastAsia" w:ascii="宋体" w:hAnsi="宋体" w:eastAsia="宋体"/>
          <w:color w:val="000000"/>
          <w:sz w:val="33"/>
        </w:rPr>
        <w:t>药品网络销售企业应当真实、完整保存供货企业资质文件、电子交易、药品销售等记录，相关记录保存期限不少于</w:t>
      </w:r>
      <w:r>
        <w:rPr>
          <w:rFonts w:hint="eastAsia" w:ascii="Calibri" w:hAnsi="Calibri" w:eastAsia="Calibri"/>
          <w:color w:val="000000"/>
          <w:sz w:val="33"/>
        </w:rPr>
        <w:t>5</w:t>
      </w:r>
      <w:r>
        <w:rPr>
          <w:rFonts w:hint="eastAsia" w:ascii="宋体" w:hAnsi="宋体" w:eastAsia="宋体"/>
          <w:color w:val="000000"/>
          <w:sz w:val="33"/>
        </w:rPr>
        <w:t>年，且不少于药品有效期满后</w:t>
      </w:r>
      <w:r>
        <w:rPr>
          <w:rFonts w:hint="eastAsia" w:ascii="Calibri" w:hAnsi="Calibri" w:eastAsia="Calibri"/>
          <w:color w:val="000000"/>
          <w:sz w:val="33"/>
        </w:rPr>
        <w:t>1</w:t>
      </w:r>
      <w:r>
        <w:rPr>
          <w:rFonts w:hint="eastAsia" w:ascii="宋体" w:hAnsi="宋体" w:eastAsia="宋体"/>
          <w:color w:val="000000"/>
          <w:sz w:val="33"/>
        </w:rPr>
        <w:t>年。</w:t>
      </w:r>
    </w:p>
    <w:p>
      <w:pPr>
        <w:wordWrap w:val="0"/>
        <w:spacing w:before="0" w:after="0" w:line="292" w:lineRule="auto"/>
        <w:ind w:left="40" w:right="220" w:firstLine="660"/>
        <w:jc w:val="both"/>
        <w:rPr>
          <w:sz w:val="33"/>
        </w:rPr>
      </w:pPr>
      <w:r>
        <w:rPr>
          <w:rFonts w:hint="eastAsia" w:ascii="宋体" w:hAnsi="宋体" w:eastAsia="宋体"/>
          <w:b/>
          <w:color w:val="000000"/>
          <w:sz w:val="33"/>
        </w:rPr>
        <w:t>第十六条</w:t>
      </w:r>
      <w:r>
        <w:rPr>
          <w:rFonts w:hint="eastAsia" w:ascii="宋体" w:hAnsi="宋体" w:eastAsia="宋体"/>
          <w:color w:val="000000"/>
          <w:sz w:val="33"/>
        </w:rPr>
        <w:t xml:space="preserve"> 药品网络销售企业运输配送应当符合《药品经营质量管理规范》的相关要求。</w:t>
      </w:r>
    </w:p>
    <w:p>
      <w:pPr>
        <w:wordWrap w:val="0"/>
        <w:spacing w:before="0" w:after="0" w:line="292" w:lineRule="auto"/>
        <w:ind w:left="40" w:right="220" w:firstLine="660"/>
        <w:jc w:val="both"/>
        <w:rPr>
          <w:sz w:val="33"/>
        </w:rPr>
      </w:pPr>
      <w:r>
        <w:rPr>
          <w:rFonts w:hint="eastAsia" w:ascii="宋体" w:hAnsi="宋体" w:eastAsia="宋体"/>
          <w:b/>
          <w:color w:val="000000"/>
          <w:sz w:val="33"/>
        </w:rPr>
        <w:t>第十七条</w:t>
      </w:r>
      <w:r>
        <w:rPr>
          <w:rFonts w:hint="eastAsia" w:ascii="宋体" w:hAnsi="宋体" w:eastAsia="宋体"/>
          <w:color w:val="000000"/>
          <w:sz w:val="33"/>
        </w:rPr>
        <w:t xml:space="preserve"> 药品网络销售企业对存在质量问题或者安全隐患的药品，应当依法采取相应的风险控制措施，并及时在网站首页或者经营活动主页面公开相应信息。</w:t>
      </w:r>
    </w:p>
    <w:p>
      <w:pPr>
        <w:wordWrap w:val="0"/>
        <w:spacing w:before="0" w:after="0" w:line="292" w:lineRule="auto"/>
        <w:ind w:left="40" w:right="220" w:firstLine="660"/>
        <w:jc w:val="both"/>
        <w:rPr>
          <w:sz w:val="33"/>
        </w:rPr>
      </w:pPr>
      <w:r>
        <w:rPr>
          <w:rFonts w:hint="eastAsia" w:ascii="宋体" w:hAnsi="宋体" w:eastAsia="宋体"/>
          <w:color w:val="000000"/>
          <w:sz w:val="33"/>
        </w:rPr>
        <w:t>药品上市许可持有人依法召回药品的，药品网络销售企业应当积极予以配合。</w:t>
      </w:r>
    </w:p>
    <w:p>
      <w:pPr>
        <w:wordWrap w:val="0"/>
        <w:spacing w:before="0" w:after="0" w:line="240" w:lineRule="auto"/>
        <w:ind w:firstLine="0"/>
        <w:jc w:val="both"/>
        <w:rPr>
          <w:rFonts w:hint="eastAsia" w:ascii="宋体" w:hAnsi="宋体" w:eastAsia="宋体"/>
          <w:color w:val="000000"/>
          <w:sz w:val="21"/>
        </w:rPr>
      </w:pPr>
    </w:p>
    <w:p>
      <w:pPr>
        <w:wordWrap w:val="0"/>
        <w:spacing w:before="0" w:after="0" w:line="240" w:lineRule="auto"/>
        <w:ind w:firstLine="0"/>
        <w:jc w:val="both"/>
        <w:rPr>
          <w:rFonts w:hint="eastAsia" w:ascii="宋体" w:hAnsi="宋体" w:eastAsia="宋体"/>
          <w:color w:val="000000"/>
          <w:sz w:val="21"/>
        </w:rPr>
      </w:pPr>
    </w:p>
    <w:p>
      <w:pPr>
        <w:wordWrap w:val="0"/>
        <w:spacing w:before="0" w:after="0" w:line="240" w:lineRule="auto"/>
        <w:ind w:firstLine="0"/>
        <w:jc w:val="both"/>
        <w:rPr>
          <w:rFonts w:hint="eastAsia" w:ascii="宋体" w:hAnsi="宋体" w:eastAsia="宋体"/>
          <w:color w:val="000000"/>
          <w:sz w:val="21"/>
        </w:rPr>
      </w:pPr>
    </w:p>
    <w:p>
      <w:pPr>
        <w:wordWrap w:val="0"/>
        <w:spacing w:before="0" w:after="0" w:line="191" w:lineRule="auto"/>
        <w:ind w:firstLine="1900"/>
        <w:jc w:val="both"/>
        <w:rPr>
          <w:sz w:val="33"/>
        </w:rPr>
      </w:pPr>
      <w:r>
        <w:rPr>
          <w:rFonts w:hint="eastAsia" w:ascii="宋体" w:hAnsi="宋体" w:eastAsia="宋体"/>
          <w:color w:val="000000"/>
          <w:sz w:val="33"/>
        </w:rPr>
        <w:t>第二节 药品批发企业网络销售管理</w:t>
      </w:r>
    </w:p>
    <w:p>
      <w:pPr>
        <w:wordWrap w:val="0"/>
        <w:spacing w:before="0" w:after="0" w:line="240" w:lineRule="auto"/>
        <w:ind w:firstLine="0"/>
        <w:jc w:val="both"/>
        <w:rPr>
          <w:rFonts w:hint="eastAsia" w:ascii="宋体" w:hAnsi="宋体" w:eastAsia="宋体"/>
          <w:color w:val="000000"/>
          <w:sz w:val="21"/>
        </w:rPr>
      </w:pPr>
    </w:p>
    <w:p>
      <w:pPr>
        <w:wordWrap w:val="0"/>
        <w:spacing w:before="0" w:after="0" w:line="292" w:lineRule="auto"/>
        <w:ind w:left="40" w:right="220" w:firstLine="660"/>
        <w:jc w:val="both"/>
        <w:rPr>
          <w:sz w:val="33"/>
        </w:rPr>
      </w:pPr>
      <w:r>
        <w:rPr>
          <w:rFonts w:hint="eastAsia" w:ascii="宋体" w:hAnsi="宋体" w:eastAsia="宋体"/>
          <w:b/>
          <w:color w:val="000000"/>
          <w:sz w:val="33"/>
        </w:rPr>
        <w:t>第十八条</w:t>
      </w:r>
      <w:r>
        <w:rPr>
          <w:rFonts w:hint="eastAsia" w:ascii="宋体" w:hAnsi="宋体" w:eastAsia="宋体"/>
          <w:color w:val="000000"/>
          <w:sz w:val="33"/>
        </w:rPr>
        <w:t xml:space="preserve"> 从事药品网络销售的药品批发企业应当设立与其网络销售活动和质量管理相适应的组织机构或者岗位，明确规定其职责、权限及相互关系。</w:t>
      </w:r>
    </w:p>
    <w:p>
      <w:pPr>
        <w:wordWrap w:val="0"/>
        <w:spacing w:before="0" w:after="0" w:line="240" w:lineRule="auto"/>
        <w:ind w:firstLine="0"/>
        <w:jc w:val="both"/>
        <w:rPr>
          <w:rFonts w:hint="eastAsia" w:ascii="宋体" w:hAnsi="宋体" w:eastAsia="宋体"/>
          <w:color w:val="000000"/>
          <w:sz w:val="21"/>
        </w:rPr>
      </w:pPr>
    </w:p>
    <w:p>
      <w:pPr>
        <w:wordWrap w:val="0"/>
        <w:spacing w:before="0" w:after="0" w:line="191" w:lineRule="auto"/>
        <w:ind w:firstLine="700"/>
        <w:jc w:val="both"/>
        <w:rPr>
          <w:sz w:val="33"/>
        </w:rPr>
      </w:pPr>
      <w:r>
        <w:rPr>
          <w:rFonts w:hint="eastAsia" w:ascii="宋体" w:hAnsi="宋体" w:eastAsia="宋体"/>
          <w:color w:val="000000"/>
          <w:sz w:val="33"/>
        </w:rPr>
        <w:t>企业质量管理部门至少包括以下职责：</w:t>
      </w:r>
    </w:p>
    <w:p>
      <w:pPr>
        <w:wordWrap w:val="0"/>
        <w:spacing w:before="0" w:after="0" w:line="292" w:lineRule="auto"/>
        <w:ind w:left="40" w:right="220" w:firstLine="800"/>
        <w:jc w:val="both"/>
        <w:rPr>
          <w:sz w:val="33"/>
        </w:rPr>
        <w:sectPr>
          <w:type w:val="continuous"/>
          <w:pgSz w:w="11901" w:h="16841"/>
          <w:pgMar w:top="2160" w:right="1440" w:bottom="2400" w:left="1440" w:header="1080" w:footer="1200" w:gutter="0"/>
          <w:cols w:space="720" w:num="1"/>
        </w:sectPr>
      </w:pPr>
      <w:r>
        <w:rPr>
          <w:rFonts w:hint="eastAsia" w:ascii="宋体" w:hAnsi="宋体" w:eastAsia="宋体"/>
          <w:color w:val="000000"/>
          <w:sz w:val="33"/>
        </w:rPr>
        <w:t>（一）对通过网络向本企业购买药品的购货单位的合法性、购货单位采购人员的合法资格进行审核；</w:t>
      </w:r>
    </w:p>
    <w:p>
      <w:pPr>
        <w:wordWrap w:val="0"/>
        <w:spacing w:before="0" w:after="0" w:line="319" w:lineRule="auto"/>
        <w:ind w:left="20" w:right="160" w:firstLine="820"/>
        <w:jc w:val="both"/>
        <w:rPr>
          <w:sz w:val="32"/>
        </w:rPr>
      </w:pPr>
      <w:r>
        <w:rPr>
          <w:rFonts w:hint="eastAsia" w:ascii="宋体" w:hAnsi="宋体" w:eastAsia="宋体"/>
          <w:color w:val="000000"/>
          <w:sz w:val="32"/>
        </w:rPr>
        <w:t>（二）对通过网络向本企业购买药品的购货单位质量管理体系进行考察和评价；</w:t>
      </w:r>
    </w:p>
    <w:p>
      <w:pPr>
        <w:wordWrap w:val="0"/>
        <w:spacing w:before="17" w:after="0" w:line="319" w:lineRule="auto"/>
        <w:ind w:left="20" w:right="160" w:firstLine="820"/>
        <w:jc w:val="both"/>
        <w:rPr>
          <w:sz w:val="32"/>
        </w:rPr>
      </w:pPr>
      <w:r>
        <w:rPr>
          <w:rFonts w:hint="eastAsia" w:ascii="宋体" w:hAnsi="宋体" w:eastAsia="宋体"/>
          <w:color w:val="000000"/>
          <w:sz w:val="32"/>
        </w:rPr>
        <w:t>（三）负责核实计算机管理系统中药品网络销售数据与药品购销存数据的一致性，确保药品网络销售数据真实、准确、完整和可追溯；</w:t>
      </w:r>
    </w:p>
    <w:p>
      <w:pPr>
        <w:wordWrap w:val="0"/>
        <w:spacing w:before="0" w:after="0" w:line="319" w:lineRule="auto"/>
        <w:ind w:left="20" w:right="160" w:firstLine="820"/>
        <w:jc w:val="both"/>
        <w:rPr>
          <w:sz w:val="32"/>
        </w:rPr>
      </w:pPr>
      <w:r>
        <w:rPr>
          <w:rFonts w:hint="eastAsia" w:ascii="宋体" w:hAnsi="宋体" w:eastAsia="宋体"/>
          <w:color w:val="000000"/>
          <w:sz w:val="32"/>
        </w:rPr>
        <w:t>（四）通过第三方平台销售药品的，企业应当对平台进行合法性审核和风险评估。</w:t>
      </w:r>
    </w:p>
    <w:p>
      <w:pPr>
        <w:wordWrap w:val="0"/>
        <w:spacing w:before="0" w:after="0" w:line="319" w:lineRule="auto"/>
        <w:ind w:left="20" w:right="160" w:firstLine="700"/>
        <w:jc w:val="both"/>
        <w:rPr>
          <w:sz w:val="32"/>
        </w:rPr>
      </w:pPr>
      <w:r>
        <w:rPr>
          <w:rFonts w:hint="eastAsia" w:ascii="宋体" w:hAnsi="宋体" w:eastAsia="宋体"/>
          <w:b/>
          <w:color w:val="000000"/>
          <w:sz w:val="32"/>
        </w:rPr>
        <w:t>第十九条</w:t>
      </w:r>
      <w:r>
        <w:rPr>
          <w:rFonts w:hint="eastAsia" w:ascii="宋体" w:hAnsi="宋体" w:eastAsia="宋体"/>
          <w:color w:val="000000"/>
          <w:sz w:val="32"/>
        </w:rPr>
        <w:t xml:space="preserve"> 药品批发企业通过网络渠道采购药品时，应当对供货单位、购入药品、供货单位销售人员的合法性进行审核，与供货单位签订质量保证协议。</w:t>
      </w:r>
    </w:p>
    <w:p>
      <w:pPr>
        <w:wordWrap w:val="0"/>
        <w:spacing w:before="0" w:after="0" w:line="319" w:lineRule="auto"/>
        <w:ind w:left="20" w:right="160" w:firstLine="700"/>
        <w:jc w:val="both"/>
        <w:rPr>
          <w:sz w:val="32"/>
        </w:rPr>
      </w:pPr>
      <w:r>
        <w:rPr>
          <w:rFonts w:hint="eastAsia" w:ascii="宋体" w:hAnsi="宋体" w:eastAsia="宋体"/>
          <w:b/>
          <w:color w:val="000000"/>
          <w:sz w:val="32"/>
        </w:rPr>
        <w:t>第二十条</w:t>
      </w:r>
      <w:r>
        <w:rPr>
          <w:rFonts w:hint="eastAsia" w:ascii="宋体" w:hAnsi="宋体" w:eastAsia="宋体"/>
          <w:color w:val="000000"/>
          <w:sz w:val="32"/>
        </w:rPr>
        <w:t xml:space="preserve"> 药品批发企业通过网络销售药品的，应当核实购货单位的证明文件、采购人员及提货人员的身份证明，严格审核购货单位的生产范围、经营范围或者诊疗范围，并按照相应的范围和方式将药品销售给合法的购货单位。</w:t>
      </w:r>
    </w:p>
    <w:p>
      <w:pPr>
        <w:wordWrap w:val="0"/>
        <w:spacing w:before="0" w:after="0" w:line="240" w:lineRule="auto"/>
        <w:ind w:firstLine="0"/>
        <w:jc w:val="both"/>
        <w:rPr>
          <w:rFonts w:hint="eastAsia" w:ascii="宋体" w:hAnsi="宋体" w:eastAsia="宋体"/>
          <w:color w:val="000000"/>
          <w:sz w:val="21"/>
        </w:rPr>
      </w:pPr>
    </w:p>
    <w:p>
      <w:pPr>
        <w:wordWrap w:val="0"/>
        <w:spacing w:before="0" w:after="0" w:line="240" w:lineRule="auto"/>
        <w:ind w:firstLine="0"/>
        <w:jc w:val="both"/>
        <w:rPr>
          <w:rFonts w:hint="eastAsia" w:ascii="宋体" w:hAnsi="宋体" w:eastAsia="宋体"/>
          <w:color w:val="000000"/>
          <w:sz w:val="21"/>
        </w:rPr>
      </w:pPr>
    </w:p>
    <w:p>
      <w:pPr>
        <w:wordWrap w:val="0"/>
        <w:spacing w:before="0" w:after="0" w:line="240" w:lineRule="auto"/>
        <w:ind w:firstLine="0"/>
        <w:jc w:val="both"/>
        <w:rPr>
          <w:rFonts w:hint="eastAsia" w:ascii="宋体" w:hAnsi="宋体" w:eastAsia="宋体"/>
          <w:color w:val="000000"/>
          <w:sz w:val="21"/>
        </w:rPr>
      </w:pPr>
    </w:p>
    <w:p>
      <w:pPr>
        <w:wordWrap w:val="0"/>
        <w:spacing w:before="0" w:after="0" w:line="191" w:lineRule="auto"/>
        <w:ind w:firstLine="1940"/>
        <w:jc w:val="both"/>
        <w:rPr>
          <w:sz w:val="32"/>
        </w:rPr>
      </w:pPr>
      <w:r>
        <w:rPr>
          <w:rFonts w:hint="eastAsia" w:ascii="宋体" w:hAnsi="宋体" w:eastAsia="宋体"/>
          <w:color w:val="000000"/>
          <w:sz w:val="32"/>
        </w:rPr>
        <w:t>第三节 药品零售企业网络销售管理</w:t>
      </w:r>
    </w:p>
    <w:p>
      <w:pPr>
        <w:wordWrap w:val="0"/>
        <w:spacing w:before="0" w:after="0" w:line="319" w:lineRule="auto"/>
        <w:ind w:left="20" w:right="160" w:firstLine="700"/>
        <w:jc w:val="both"/>
        <w:rPr>
          <w:sz w:val="32"/>
        </w:rPr>
        <w:sectPr>
          <w:type w:val="continuous"/>
          <w:pgSz w:w="11900" w:h="16840"/>
          <w:pgMar w:top="2160" w:right="1440" w:bottom="2400" w:left="1440" w:header="1080" w:footer="1200" w:gutter="0"/>
          <w:cols w:space="720" w:num="1"/>
        </w:sectPr>
      </w:pPr>
      <w:r>
        <w:rPr>
          <w:rFonts w:hint="eastAsia" w:ascii="宋体" w:hAnsi="宋体" w:eastAsia="宋体"/>
          <w:b/>
          <w:color w:val="000000"/>
          <w:sz w:val="32"/>
        </w:rPr>
        <w:t>第二十一条</w:t>
      </w:r>
      <w:r>
        <w:rPr>
          <w:rFonts w:hint="eastAsia" w:ascii="宋体" w:hAnsi="宋体" w:eastAsia="宋体"/>
          <w:color w:val="000000"/>
          <w:sz w:val="32"/>
        </w:rPr>
        <w:t xml:space="preserve"> 药品网络零售企业应当取得《药品经营许可证》，设置或配备与网络经营活动相适应的组织机构与人员，负责药品网络销售的进货查验、票据审核、药品储存、信息展示、药学服务、质量管理、计算机系统、药品追溯、药品召回、售后管理、不良反应报告等，相关人员应当在核准的地址从事网络经营活动。</w:t>
      </w:r>
    </w:p>
    <w:p>
      <w:pPr>
        <w:wordWrap w:val="0"/>
        <w:spacing w:before="0" w:after="0" w:line="304" w:lineRule="auto"/>
        <w:ind w:left="20" w:right="180" w:firstLine="680"/>
        <w:jc w:val="both"/>
        <w:rPr>
          <w:sz w:val="32"/>
        </w:rPr>
      </w:pPr>
      <w:r>
        <w:rPr>
          <w:rFonts w:hint="eastAsia" w:ascii="宋体" w:hAnsi="宋体" w:eastAsia="宋体"/>
          <w:b/>
          <w:color w:val="000000"/>
          <w:sz w:val="32"/>
        </w:rPr>
        <w:t>第二十二条</w:t>
      </w:r>
      <w:r>
        <w:rPr>
          <w:rFonts w:hint="eastAsia" w:ascii="宋体" w:hAnsi="宋体" w:eastAsia="宋体"/>
          <w:color w:val="000000"/>
          <w:sz w:val="32"/>
        </w:rPr>
        <w:t xml:space="preserve"> 药品网络零售企业从事处方药与甲类非处方药网络销售的，应当按规定配备与其经营规模相适应的执业药师或者其他药学技术人员开展处方审核调配、指导合理用药等工作。</w:t>
      </w:r>
    </w:p>
    <w:p>
      <w:pPr>
        <w:wordWrap w:val="0"/>
        <w:spacing w:before="0" w:after="0" w:line="240" w:lineRule="auto"/>
        <w:ind w:firstLine="0"/>
        <w:jc w:val="both"/>
        <w:rPr>
          <w:rFonts w:hint="eastAsia" w:ascii="宋体" w:hAnsi="宋体" w:eastAsia="宋体"/>
          <w:color w:val="000000"/>
          <w:sz w:val="21"/>
        </w:rPr>
      </w:pPr>
    </w:p>
    <w:p>
      <w:pPr>
        <w:wordWrap w:val="0"/>
        <w:spacing w:before="0" w:after="0" w:line="304" w:lineRule="auto"/>
        <w:ind w:left="20" w:right="180" w:firstLine="680"/>
        <w:jc w:val="both"/>
        <w:rPr>
          <w:sz w:val="32"/>
        </w:rPr>
      </w:pPr>
      <w:r>
        <w:rPr>
          <w:rFonts w:hint="eastAsia" w:ascii="宋体" w:hAnsi="宋体" w:eastAsia="宋体"/>
          <w:color w:val="000000"/>
          <w:sz w:val="32"/>
        </w:rPr>
        <w:t>提供在线药学服务的执业药师或者其他药学技术人员的资格认定信息应当在网站首页或者从事经营活动的主页面显著位置持续展示，信息发生变化的，应当在</w:t>
      </w:r>
      <w:r>
        <w:rPr>
          <w:rFonts w:hint="eastAsia" w:ascii="Calibri" w:hAnsi="Calibri" w:eastAsia="Calibri"/>
          <w:color w:val="000000"/>
          <w:sz w:val="32"/>
        </w:rPr>
        <w:t>10</w:t>
      </w:r>
      <w:r>
        <w:rPr>
          <w:rFonts w:hint="eastAsia" w:ascii="宋体" w:hAnsi="宋体" w:eastAsia="宋体"/>
          <w:color w:val="000000"/>
          <w:sz w:val="32"/>
        </w:rPr>
        <w:t>个工作日内予以更新。</w:t>
      </w:r>
    </w:p>
    <w:p>
      <w:pPr>
        <w:wordWrap w:val="0"/>
        <w:spacing w:before="0" w:after="0" w:line="304" w:lineRule="auto"/>
        <w:ind w:left="20" w:right="180" w:firstLine="680"/>
        <w:jc w:val="both"/>
        <w:rPr>
          <w:sz w:val="32"/>
        </w:rPr>
      </w:pPr>
      <w:r>
        <w:rPr>
          <w:rFonts w:hint="eastAsia" w:ascii="宋体" w:hAnsi="宋体" w:eastAsia="宋体"/>
          <w:b/>
          <w:color w:val="000000"/>
          <w:sz w:val="32"/>
        </w:rPr>
        <w:t>第二十三条</w:t>
      </w:r>
      <w:r>
        <w:rPr>
          <w:rFonts w:hint="eastAsia" w:ascii="宋体" w:hAnsi="宋体" w:eastAsia="宋体"/>
          <w:color w:val="000000"/>
          <w:sz w:val="32"/>
        </w:rPr>
        <w:t xml:space="preserve"> 药品网络零售企业展示的药品相关信息应当真实、准确、合法，并符合以下要求：</w:t>
      </w:r>
    </w:p>
    <w:p>
      <w:pPr>
        <w:wordWrap w:val="0"/>
        <w:spacing w:before="60" w:after="0" w:line="304" w:lineRule="auto"/>
        <w:ind w:left="20" w:right="180" w:firstLine="800"/>
        <w:jc w:val="both"/>
        <w:rPr>
          <w:sz w:val="32"/>
        </w:rPr>
      </w:pPr>
      <w:r>
        <w:rPr>
          <w:rFonts w:hint="eastAsia" w:ascii="宋体" w:hAnsi="宋体" w:eastAsia="宋体"/>
          <w:color w:val="000000"/>
          <w:sz w:val="32"/>
        </w:rPr>
        <w:t>（一）应当将处方药与非处方药区分展示，在相关网页上显著标示处方药、非处方药；</w:t>
      </w:r>
    </w:p>
    <w:p>
      <w:pPr>
        <w:wordWrap w:val="0"/>
        <w:spacing w:before="60" w:after="0" w:line="304" w:lineRule="auto"/>
        <w:ind w:left="20" w:right="180" w:firstLine="800"/>
        <w:jc w:val="both"/>
        <w:rPr>
          <w:sz w:val="32"/>
        </w:rPr>
      </w:pPr>
      <w:r>
        <w:rPr>
          <w:rFonts w:hint="eastAsia" w:ascii="宋体" w:hAnsi="宋体" w:eastAsia="宋体"/>
          <w:color w:val="000000"/>
          <w:sz w:val="32"/>
        </w:rPr>
        <w:t>（二）每个处方药展示页面下突出显示“处方药须凭处方在药师指导下购买和使用”等风险警示信息；</w:t>
      </w:r>
    </w:p>
    <w:p>
      <w:pPr>
        <w:wordWrap w:val="0"/>
        <w:spacing w:before="81" w:after="0" w:line="304" w:lineRule="auto"/>
        <w:ind w:left="20" w:right="180" w:firstLine="800"/>
        <w:jc w:val="both"/>
        <w:rPr>
          <w:sz w:val="32"/>
        </w:rPr>
      </w:pPr>
      <w:r>
        <w:rPr>
          <w:rFonts w:hint="eastAsia" w:ascii="宋体" w:hAnsi="宋体" w:eastAsia="宋体"/>
          <w:color w:val="000000"/>
          <w:sz w:val="32"/>
        </w:rPr>
        <w:t>（三）药品网络销售平台／网站（含应用程序）首页、医药健康行业板块首页、平台商家店铺主页，不得展示处方药包装、标签等信息。</w:t>
      </w:r>
    </w:p>
    <w:p>
      <w:pPr>
        <w:wordWrap w:val="0"/>
        <w:spacing w:before="100" w:after="0" w:line="304" w:lineRule="auto"/>
        <w:ind w:left="20" w:right="180" w:firstLine="800"/>
        <w:jc w:val="both"/>
        <w:rPr>
          <w:sz w:val="32"/>
        </w:rPr>
      </w:pPr>
      <w:r>
        <w:rPr>
          <w:rFonts w:hint="eastAsia" w:ascii="宋体" w:hAnsi="宋体" w:eastAsia="宋体"/>
          <w:color w:val="000000"/>
          <w:sz w:val="32"/>
        </w:rPr>
        <w:t>（四）通过处方审核前，不得展示或提供药品说明书，页面中不得含有功能主治、适应症、用法用量等信息；</w:t>
      </w:r>
    </w:p>
    <w:p>
      <w:pPr>
        <w:wordWrap w:val="0"/>
        <w:spacing w:before="0" w:after="0" w:line="304" w:lineRule="auto"/>
        <w:ind w:left="20" w:right="180" w:firstLine="800"/>
        <w:jc w:val="both"/>
        <w:rPr>
          <w:sz w:val="32"/>
        </w:rPr>
      </w:pPr>
      <w:r>
        <w:rPr>
          <w:rFonts w:hint="eastAsia" w:ascii="宋体" w:hAnsi="宋体" w:eastAsia="宋体"/>
          <w:color w:val="000000"/>
          <w:sz w:val="32"/>
        </w:rPr>
        <w:t>（五）不得发布买药品或买商品赠送处方药、甲类非处方药信息；</w:t>
      </w:r>
    </w:p>
    <w:p>
      <w:pPr>
        <w:wordWrap w:val="0"/>
        <w:spacing w:before="60" w:after="0" w:line="304" w:lineRule="auto"/>
        <w:ind w:left="20" w:right="180" w:firstLine="800"/>
        <w:jc w:val="both"/>
        <w:rPr>
          <w:sz w:val="32"/>
        </w:rPr>
        <w:sectPr>
          <w:type w:val="continuous"/>
          <w:pgSz w:w="11901" w:h="16841"/>
          <w:pgMar w:top="2160" w:right="1440" w:bottom="2400" w:left="1440" w:header="1080" w:footer="1200" w:gutter="0"/>
          <w:cols w:space="720" w:num="1"/>
        </w:sectPr>
      </w:pPr>
      <w:r>
        <w:rPr>
          <w:rFonts w:hint="eastAsia" w:ascii="宋体" w:hAnsi="宋体" w:eastAsia="宋体"/>
          <w:color w:val="000000"/>
          <w:sz w:val="32"/>
        </w:rPr>
        <w:t>（六）不得展示超经营范围、药品注册证书被依法撤销或注销以及国家禁止网络销售的药品；</w:t>
      </w:r>
    </w:p>
    <w:p>
      <w:pPr>
        <w:wordWrap w:val="0"/>
        <w:spacing w:before="0" w:after="0" w:line="239" w:lineRule="auto"/>
        <w:ind w:firstLine="820"/>
        <w:jc w:val="both"/>
        <w:rPr>
          <w:sz w:val="32"/>
        </w:rPr>
      </w:pPr>
      <w:r>
        <w:rPr>
          <w:rFonts w:hint="eastAsia" w:ascii="宋体" w:hAnsi="宋体" w:eastAsia="宋体"/>
          <w:color w:val="000000"/>
          <w:sz w:val="32"/>
        </w:rPr>
        <w:t>（七）相关药品信息发生变更的，应当及时更新展示内容。</w:t>
      </w:r>
    </w:p>
    <w:p>
      <w:pPr>
        <w:wordWrap w:val="0"/>
        <w:spacing w:before="0" w:after="0" w:line="271" w:lineRule="auto"/>
        <w:ind w:left="40" w:right="220" w:firstLine="680"/>
        <w:jc w:val="both"/>
        <w:rPr>
          <w:sz w:val="33"/>
        </w:rPr>
      </w:pPr>
      <w:r>
        <w:rPr>
          <w:rFonts w:hint="eastAsia" w:ascii="宋体" w:hAnsi="宋体" w:eastAsia="宋体"/>
          <w:b/>
          <w:color w:val="000000"/>
          <w:sz w:val="33"/>
        </w:rPr>
        <w:t>第二十四条</w:t>
      </w:r>
      <w:r>
        <w:rPr>
          <w:rFonts w:hint="eastAsia" w:ascii="宋体" w:hAnsi="宋体" w:eastAsia="宋体"/>
          <w:color w:val="000000"/>
          <w:sz w:val="33"/>
        </w:rPr>
        <w:t xml:space="preserve"> 药品网络零售企业通过网络采购药品时，应当对购入药品、供货单位及销售人员等进行合法性审核确认。</w:t>
      </w:r>
    </w:p>
    <w:p>
      <w:pPr>
        <w:wordWrap w:val="0"/>
        <w:spacing w:before="0" w:after="0" w:line="271" w:lineRule="auto"/>
        <w:ind w:left="40" w:right="220" w:firstLine="680"/>
        <w:jc w:val="both"/>
        <w:rPr>
          <w:sz w:val="33"/>
        </w:rPr>
      </w:pPr>
      <w:r>
        <w:rPr>
          <w:rFonts w:hint="eastAsia" w:ascii="宋体" w:hAnsi="宋体" w:eastAsia="宋体"/>
          <w:color w:val="000000"/>
          <w:sz w:val="33"/>
        </w:rPr>
        <w:t>零售门店应当按照零售连锁总部统一质量管理制度要求从事药品网络零售活动，不得自行采购药品。</w:t>
      </w:r>
    </w:p>
    <w:p>
      <w:pPr>
        <w:wordWrap w:val="0"/>
        <w:spacing w:before="0" w:after="0" w:line="271" w:lineRule="auto"/>
        <w:ind w:left="40" w:right="220" w:firstLine="680"/>
        <w:jc w:val="both"/>
        <w:rPr>
          <w:sz w:val="33"/>
        </w:rPr>
      </w:pPr>
      <w:r>
        <w:rPr>
          <w:rFonts w:hint="eastAsia" w:ascii="宋体" w:hAnsi="宋体" w:eastAsia="宋体"/>
          <w:b/>
          <w:color w:val="000000"/>
          <w:sz w:val="33"/>
        </w:rPr>
        <w:t>第二十五条</w:t>
      </w:r>
      <w:r>
        <w:rPr>
          <w:rFonts w:hint="eastAsia" w:ascii="宋体" w:hAnsi="宋体" w:eastAsia="宋体"/>
          <w:color w:val="000000"/>
          <w:sz w:val="33"/>
        </w:rPr>
        <w:t xml:space="preserve"> 药品网络零售企业通过网络向个人销售处方药的，应当与电子处方提供单位签订协议，明确双方权利和责任，定期核实协议履行情况，确保处方来源真实、可靠，并采取有效措施避免处方重复使用。</w:t>
      </w:r>
    </w:p>
    <w:p>
      <w:pPr>
        <w:wordWrap w:val="0"/>
        <w:spacing w:before="0" w:after="0" w:line="271" w:lineRule="auto"/>
        <w:ind w:left="40" w:right="220" w:firstLine="680"/>
        <w:jc w:val="both"/>
        <w:rPr>
          <w:sz w:val="33"/>
        </w:rPr>
      </w:pPr>
      <w:r>
        <w:rPr>
          <w:rFonts w:hint="eastAsia" w:ascii="宋体" w:hAnsi="宋体" w:eastAsia="宋体"/>
          <w:color w:val="000000"/>
          <w:sz w:val="33"/>
        </w:rPr>
        <w:t>销售处方药的药品网络零售企业还应当依照规定妥善保存处方、在线药学服务等记录或者其他电子数据。相关记录（数据）保存期限不少于</w:t>
      </w:r>
      <w:r>
        <w:rPr>
          <w:rFonts w:hint="eastAsia" w:ascii="Calibri" w:hAnsi="Calibri" w:eastAsia="Calibri"/>
          <w:color w:val="000000"/>
          <w:sz w:val="33"/>
        </w:rPr>
        <w:t>5</w:t>
      </w:r>
      <w:r>
        <w:rPr>
          <w:rFonts w:hint="eastAsia" w:ascii="宋体" w:hAnsi="宋体" w:eastAsia="宋体"/>
          <w:color w:val="000000"/>
          <w:sz w:val="33"/>
        </w:rPr>
        <w:t>年，且不少于药品有效期满后</w:t>
      </w:r>
      <w:r>
        <w:rPr>
          <w:rFonts w:hint="eastAsia" w:ascii="Calibri" w:hAnsi="Calibri" w:eastAsia="Calibri"/>
          <w:color w:val="000000"/>
          <w:sz w:val="33"/>
        </w:rPr>
        <w:t>1</w:t>
      </w:r>
      <w:r>
        <w:rPr>
          <w:rFonts w:hint="eastAsia" w:ascii="宋体" w:hAnsi="宋体" w:eastAsia="宋体"/>
          <w:color w:val="000000"/>
          <w:sz w:val="33"/>
        </w:rPr>
        <w:t>年。</w:t>
      </w:r>
    </w:p>
    <w:p>
      <w:pPr>
        <w:wordWrap w:val="0"/>
        <w:spacing w:before="0" w:after="0" w:line="271" w:lineRule="auto"/>
        <w:ind w:left="40" w:right="220" w:firstLine="680"/>
        <w:jc w:val="both"/>
        <w:rPr>
          <w:sz w:val="33"/>
        </w:rPr>
      </w:pPr>
      <w:r>
        <w:rPr>
          <w:rFonts w:hint="eastAsia" w:ascii="宋体" w:hAnsi="宋体" w:eastAsia="宋体"/>
          <w:b/>
          <w:color w:val="000000"/>
          <w:sz w:val="33"/>
        </w:rPr>
        <w:t>第二十六条</w:t>
      </w:r>
      <w:r>
        <w:rPr>
          <w:rFonts w:hint="eastAsia" w:ascii="宋体" w:hAnsi="宋体" w:eastAsia="宋体"/>
          <w:color w:val="000000"/>
          <w:sz w:val="33"/>
        </w:rPr>
        <w:t xml:space="preserve"> 药品网络零售企业不得以买药品赠药品、买商品赠药品或以抽奖、答题、竞猜、盲盒等方式向个人赠送处方药或者甲类非处方药。</w:t>
      </w:r>
    </w:p>
    <w:p>
      <w:pPr>
        <w:wordWrap w:val="0"/>
        <w:spacing w:before="0" w:after="0" w:line="271" w:lineRule="auto"/>
        <w:ind w:left="40" w:right="220" w:firstLine="680"/>
        <w:jc w:val="both"/>
        <w:rPr>
          <w:sz w:val="33"/>
        </w:rPr>
      </w:pPr>
      <w:r>
        <w:rPr>
          <w:rFonts w:hint="eastAsia" w:ascii="宋体" w:hAnsi="宋体" w:eastAsia="宋体"/>
          <w:color w:val="000000"/>
          <w:sz w:val="33"/>
        </w:rPr>
        <w:t>处方审核通过后，方可提供支付订单、在线支付等处方药购买服务。</w:t>
      </w:r>
    </w:p>
    <w:p>
      <w:pPr>
        <w:wordWrap w:val="0"/>
        <w:spacing w:before="0" w:after="0" w:line="271" w:lineRule="auto"/>
        <w:ind w:left="40" w:right="220" w:firstLine="680"/>
        <w:jc w:val="both"/>
        <w:rPr>
          <w:sz w:val="33"/>
        </w:rPr>
      </w:pPr>
      <w:r>
        <w:rPr>
          <w:rFonts w:hint="eastAsia" w:ascii="宋体" w:hAnsi="宋体" w:eastAsia="宋体"/>
          <w:b/>
          <w:color w:val="000000"/>
          <w:sz w:val="33"/>
        </w:rPr>
        <w:t>第二十七条</w:t>
      </w:r>
      <w:r>
        <w:rPr>
          <w:rFonts w:hint="eastAsia" w:ascii="宋体" w:hAnsi="宋体" w:eastAsia="宋体"/>
          <w:color w:val="000000"/>
          <w:sz w:val="33"/>
        </w:rPr>
        <w:t xml:space="preserve"> 向个人销售药品的，应当按照规定出具销售凭证、对近效期药品进行提示。销售凭证可以以电子形式出具，药品最小销售单元的销售记录应当清晰留存，确保可追溯。</w:t>
      </w:r>
    </w:p>
    <w:p>
      <w:pPr>
        <w:wordWrap w:val="0"/>
        <w:spacing w:before="0" w:after="0" w:line="191" w:lineRule="auto"/>
        <w:ind w:left="40" w:right="220" w:firstLine="680"/>
        <w:jc w:val="both"/>
        <w:rPr>
          <w:sz w:val="33"/>
        </w:rPr>
        <w:sectPr>
          <w:type w:val="continuous"/>
          <w:pgSz w:w="11900" w:h="16840"/>
          <w:pgMar w:top="2160" w:right="1440" w:bottom="2400" w:left="1440" w:header="1080" w:footer="1200" w:gutter="0"/>
          <w:cols w:space="720" w:num="1"/>
        </w:sectPr>
      </w:pPr>
      <w:r>
        <w:rPr>
          <w:rFonts w:hint="eastAsia" w:ascii="宋体" w:hAnsi="宋体" w:eastAsia="宋体"/>
          <w:b/>
          <w:color w:val="000000"/>
          <w:sz w:val="33"/>
        </w:rPr>
        <w:t>第二十八条</w:t>
      </w:r>
      <w:r>
        <w:rPr>
          <w:rFonts w:hint="eastAsia" w:ascii="宋体" w:hAnsi="宋体" w:eastAsia="宋体"/>
          <w:color w:val="000000"/>
          <w:sz w:val="33"/>
        </w:rPr>
        <w:t xml:space="preserve"> 零售门店从事</w:t>
      </w:r>
      <w:r>
        <w:rPr>
          <w:rFonts w:hint="eastAsia" w:ascii="Calibri" w:hAnsi="Calibri" w:eastAsia="Calibri"/>
          <w:color w:val="000000"/>
          <w:sz w:val="33"/>
        </w:rPr>
        <w:t>B2C</w:t>
      </w:r>
      <w:r>
        <w:rPr>
          <w:rFonts w:hint="eastAsia" w:ascii="宋体" w:hAnsi="宋体" w:eastAsia="宋体"/>
          <w:color w:val="000000"/>
          <w:sz w:val="33"/>
        </w:rPr>
        <w:t>网售的，可委托连锁总部开展验收、拣选、复核、包装、封签、发货、运输等作业，如其</w:t>
      </w:r>
    </w:p>
    <w:p>
      <w:pPr>
        <w:wordWrap w:val="0"/>
        <w:spacing w:before="0" w:after="0" w:line="292" w:lineRule="auto"/>
        <w:ind w:left="60" w:right="180" w:firstLine="0"/>
        <w:jc w:val="both"/>
        <w:rPr>
          <w:sz w:val="33"/>
        </w:rPr>
      </w:pPr>
      <w:r>
        <w:rPr>
          <w:rFonts w:hint="eastAsia" w:ascii="宋体" w:hAnsi="宋体" w:eastAsia="宋体"/>
          <w:color w:val="000000"/>
          <w:sz w:val="33"/>
        </w:rPr>
        <w:t>连锁总部委托药品第三方现代物流企业储存配送的，网售的药品可由药品第三方现代物流企业从事上述作业活动。</w:t>
      </w:r>
    </w:p>
    <w:p>
      <w:pPr>
        <w:wordWrap w:val="0"/>
        <w:spacing w:before="0" w:after="0" w:line="292" w:lineRule="auto"/>
        <w:ind w:left="60" w:right="180" w:firstLine="680"/>
        <w:jc w:val="both"/>
        <w:rPr>
          <w:sz w:val="33"/>
        </w:rPr>
      </w:pPr>
      <w:r>
        <w:rPr>
          <w:rFonts w:hint="eastAsia" w:ascii="宋体" w:hAnsi="宋体" w:eastAsia="宋体"/>
          <w:color w:val="000000"/>
          <w:sz w:val="33"/>
        </w:rPr>
        <w:t>零售门店要对其网售药品的验收和零售配送活动进行审核评估，并对药品质量安全承担主体责任。连锁总部或药品第三方现代物流企业应按照零售门店网络销售订单指令，进行药品验收和零售配送活动，并采取有效措施避免差错、包装破损等；其计算机系统应与零售门店对接，同步记录网售药品的验收、销售发货、退回等信息。</w:t>
      </w:r>
    </w:p>
    <w:p>
      <w:pPr>
        <w:wordWrap w:val="0"/>
        <w:spacing w:before="30" w:after="0" w:line="292" w:lineRule="auto"/>
        <w:ind w:left="60" w:right="180" w:firstLine="680"/>
        <w:jc w:val="both"/>
        <w:rPr>
          <w:sz w:val="33"/>
        </w:rPr>
      </w:pPr>
      <w:r>
        <w:rPr>
          <w:rFonts w:hint="eastAsia" w:ascii="宋体" w:hAnsi="宋体" w:eastAsia="宋体"/>
          <w:color w:val="000000"/>
          <w:sz w:val="33"/>
        </w:rPr>
        <w:t>零售门店、连锁总部及药品第三方现代物流企业应签订质量协议和合同，约定质量责任及相关权利与义务，并建立相关管理制度。</w:t>
      </w:r>
    </w:p>
    <w:p>
      <w:pPr>
        <w:wordWrap w:val="0"/>
        <w:spacing w:before="0" w:after="0" w:line="240" w:lineRule="auto"/>
        <w:ind w:firstLine="0"/>
        <w:jc w:val="both"/>
        <w:rPr>
          <w:rFonts w:hint="eastAsia" w:ascii="宋体" w:hAnsi="宋体" w:eastAsia="宋体"/>
          <w:color w:val="000000"/>
          <w:sz w:val="21"/>
        </w:rPr>
      </w:pPr>
    </w:p>
    <w:p>
      <w:pPr>
        <w:wordWrap w:val="0"/>
        <w:spacing w:before="0" w:after="0" w:line="240" w:lineRule="auto"/>
        <w:ind w:firstLine="0"/>
        <w:jc w:val="both"/>
        <w:rPr>
          <w:rFonts w:hint="eastAsia" w:ascii="宋体" w:hAnsi="宋体" w:eastAsia="宋体"/>
          <w:color w:val="000000"/>
          <w:sz w:val="21"/>
        </w:rPr>
      </w:pPr>
    </w:p>
    <w:p>
      <w:pPr>
        <w:wordWrap w:val="0"/>
        <w:spacing w:before="147" w:after="0" w:line="239" w:lineRule="auto"/>
        <w:jc w:val="center"/>
        <w:rPr>
          <w:sz w:val="33"/>
        </w:rPr>
      </w:pPr>
      <w:r>
        <w:rPr>
          <w:rFonts w:hint="eastAsia" w:ascii="宋体" w:hAnsi="宋体" w:eastAsia="宋体"/>
          <w:b/>
          <w:color w:val="000000"/>
          <w:sz w:val="33"/>
        </w:rPr>
        <w:t>第三章 第三方平台管理</w:t>
      </w:r>
    </w:p>
    <w:p>
      <w:pPr>
        <w:wordWrap w:val="0"/>
        <w:spacing w:before="34" w:after="0" w:line="292" w:lineRule="auto"/>
        <w:ind w:left="60" w:right="180" w:firstLine="680"/>
        <w:jc w:val="both"/>
        <w:rPr>
          <w:sz w:val="33"/>
        </w:rPr>
      </w:pPr>
      <w:r>
        <w:rPr>
          <w:rFonts w:hint="eastAsia" w:ascii="宋体" w:hAnsi="宋体" w:eastAsia="宋体"/>
          <w:b/>
          <w:color w:val="000000"/>
          <w:sz w:val="33"/>
        </w:rPr>
        <w:t>第二十九条</w:t>
      </w:r>
      <w:r>
        <w:rPr>
          <w:rFonts w:hint="eastAsia" w:ascii="宋体" w:hAnsi="宋体" w:eastAsia="宋体"/>
          <w:color w:val="000000"/>
          <w:sz w:val="33"/>
        </w:rPr>
        <w:t xml:space="preserve"> 第三方平台应当具备与经营规模相适应的办公场所，建立健全与其经营规模和业务覆盖范围相适应的质量管理体系，包括机构、人员、质量管理体系文件、设施设备与计算机管理系统等要素。</w:t>
      </w:r>
    </w:p>
    <w:p>
      <w:pPr>
        <w:wordWrap w:val="0"/>
        <w:spacing w:before="30" w:after="0" w:line="292" w:lineRule="auto"/>
        <w:ind w:left="60" w:right="180" w:firstLine="680"/>
        <w:jc w:val="both"/>
        <w:rPr>
          <w:sz w:val="33"/>
        </w:rPr>
      </w:pPr>
      <w:r>
        <w:rPr>
          <w:rFonts w:hint="eastAsia" w:ascii="宋体" w:hAnsi="宋体" w:eastAsia="宋体"/>
          <w:b/>
          <w:color w:val="000000"/>
          <w:sz w:val="33"/>
        </w:rPr>
        <w:t>第三十条</w:t>
      </w:r>
      <w:r>
        <w:rPr>
          <w:rFonts w:hint="eastAsia" w:ascii="宋体" w:hAnsi="宋体" w:eastAsia="宋体"/>
          <w:color w:val="000000"/>
          <w:sz w:val="33"/>
        </w:rPr>
        <w:t xml:space="preserve"> 第三方平台应当设置药品质量安全管理机构，可以包括质量管理、技术管理、运营维护、客户服务等部门，履行资质审查、经营管理、记录保存、风险管理等职责。</w:t>
      </w:r>
    </w:p>
    <w:p>
      <w:pPr>
        <w:wordWrap w:val="0"/>
        <w:spacing w:before="0" w:after="0" w:line="292" w:lineRule="auto"/>
        <w:ind w:left="60" w:right="180" w:firstLine="680"/>
        <w:jc w:val="both"/>
        <w:rPr>
          <w:sz w:val="33"/>
        </w:rPr>
        <w:sectPr>
          <w:headerReference r:id="rId3" w:type="default"/>
          <w:footerReference r:id="rId4" w:type="default"/>
          <w:type w:val="continuous"/>
          <w:pgSz w:w="11901" w:h="16841"/>
          <w:pgMar w:top="2160" w:right="1440" w:bottom="2400" w:left="1440" w:header="1080" w:footer="1200" w:gutter="0"/>
          <w:cols w:space="720" w:num="1"/>
        </w:sectPr>
      </w:pPr>
      <w:r>
        <w:rPr>
          <w:rFonts w:hint="eastAsia" w:ascii="宋体" w:hAnsi="宋体" w:eastAsia="宋体"/>
          <w:b/>
          <w:color w:val="000000"/>
          <w:sz w:val="33"/>
        </w:rPr>
        <w:t>第三十一条</w:t>
      </w:r>
      <w:r>
        <w:rPr>
          <w:rFonts w:hint="eastAsia" w:ascii="宋体" w:hAnsi="宋体" w:eastAsia="宋体"/>
          <w:color w:val="000000"/>
          <w:sz w:val="33"/>
        </w:rPr>
        <w:t xml:space="preserve"> 第三方平台的法定代表人或主要负责人应当对第三方平台服务活动全面负责，指定药品质量安全管理机构负</w:t>
      </w:r>
    </w:p>
    <w:p>
      <w:pPr>
        <w:wordWrap w:val="0"/>
        <w:spacing w:before="0" w:after="0" w:line="295" w:lineRule="auto"/>
        <w:ind w:left="40" w:right="240" w:firstLine="0"/>
        <w:jc w:val="both"/>
        <w:rPr>
          <w:sz w:val="33"/>
        </w:rPr>
      </w:pPr>
      <w:r>
        <w:rPr>
          <w:rFonts w:hint="eastAsia" w:ascii="宋体" w:hAnsi="宋体" w:eastAsia="宋体"/>
          <w:color w:val="000000"/>
          <w:sz w:val="33"/>
        </w:rPr>
        <w:t>责人，配备足够数量且具有相应技能的人员，并组织对第三方平台服务活动进行管理，确保质量管理体系有效运行。</w:t>
      </w:r>
    </w:p>
    <w:p>
      <w:pPr>
        <w:wordWrap w:val="0"/>
        <w:spacing w:before="0" w:after="0" w:line="295" w:lineRule="auto"/>
        <w:ind w:left="40" w:right="240" w:firstLine="720"/>
        <w:jc w:val="both"/>
        <w:rPr>
          <w:sz w:val="33"/>
        </w:rPr>
      </w:pPr>
      <w:r>
        <w:rPr>
          <w:rFonts w:hint="eastAsia" w:ascii="宋体" w:hAnsi="宋体" w:eastAsia="宋体"/>
          <w:color w:val="000000"/>
          <w:sz w:val="33"/>
        </w:rPr>
        <w:t>药品质量安全管理机构负责人应当熟悉药品监督管理的法律、法规、规章等，具有国家认可的相关专业学历或者职称，负责药品网络销售质量管理体系的有效运行和持续改进，确保持续符合法定要求。</w:t>
      </w:r>
    </w:p>
    <w:p>
      <w:pPr>
        <w:wordWrap w:val="0"/>
        <w:spacing w:before="0" w:after="0" w:line="240" w:lineRule="auto"/>
        <w:ind w:firstLine="0"/>
        <w:jc w:val="both"/>
        <w:rPr>
          <w:rFonts w:hint="eastAsia" w:ascii="宋体" w:hAnsi="宋体" w:eastAsia="宋体"/>
          <w:color w:val="000000"/>
          <w:sz w:val="21"/>
        </w:rPr>
      </w:pPr>
    </w:p>
    <w:p>
      <w:pPr>
        <w:wordWrap w:val="0"/>
        <w:spacing w:before="0" w:after="0" w:line="295" w:lineRule="auto"/>
        <w:ind w:left="40" w:right="240" w:firstLine="720"/>
        <w:jc w:val="both"/>
        <w:rPr>
          <w:sz w:val="33"/>
        </w:rPr>
      </w:pPr>
      <w:r>
        <w:rPr>
          <w:rFonts w:hint="eastAsia" w:ascii="宋体" w:hAnsi="宋体" w:eastAsia="宋体"/>
          <w:color w:val="000000"/>
          <w:sz w:val="33"/>
        </w:rPr>
        <w:t>第三方平台应当配备与经营规模相适应的执业药师或其他药学技术人员承担药品质量安全管理工作，相关人员应在职在岗，不得兼职其他工作。</w:t>
      </w:r>
    </w:p>
    <w:p>
      <w:pPr>
        <w:wordWrap w:val="0"/>
        <w:spacing w:before="0" w:after="0" w:line="295" w:lineRule="auto"/>
        <w:ind w:left="40" w:right="240" w:firstLine="720"/>
        <w:jc w:val="both"/>
        <w:rPr>
          <w:sz w:val="33"/>
        </w:rPr>
      </w:pPr>
      <w:r>
        <w:rPr>
          <w:rFonts w:hint="eastAsia" w:ascii="宋体" w:hAnsi="宋体" w:eastAsia="宋体"/>
          <w:b/>
          <w:color w:val="000000"/>
          <w:sz w:val="33"/>
        </w:rPr>
        <w:t>第三十二条</w:t>
      </w:r>
      <w:r>
        <w:rPr>
          <w:rFonts w:hint="eastAsia" w:ascii="宋体" w:hAnsi="宋体" w:eastAsia="宋体"/>
          <w:color w:val="000000"/>
          <w:sz w:val="33"/>
        </w:rPr>
        <w:t xml:space="preserve"> 第三方平台应当定期审查更新药品网络销售质量管理体系文件，确保现行文件持续满足相关法律法规要求和实际工作需要。</w:t>
      </w:r>
    </w:p>
    <w:p>
      <w:pPr>
        <w:wordWrap w:val="0"/>
        <w:spacing w:before="0" w:after="0" w:line="240" w:lineRule="auto"/>
        <w:ind w:firstLine="0"/>
        <w:jc w:val="both"/>
        <w:rPr>
          <w:rFonts w:hint="eastAsia" w:ascii="宋体" w:hAnsi="宋体" w:eastAsia="宋体"/>
          <w:color w:val="000000"/>
          <w:sz w:val="21"/>
        </w:rPr>
      </w:pPr>
    </w:p>
    <w:p>
      <w:pPr>
        <w:wordWrap w:val="0"/>
        <w:spacing w:before="0" w:after="0" w:line="191" w:lineRule="auto"/>
        <w:ind w:firstLine="640"/>
        <w:jc w:val="both"/>
        <w:rPr>
          <w:sz w:val="33"/>
        </w:rPr>
      </w:pPr>
      <w:r>
        <w:rPr>
          <w:rFonts w:hint="eastAsia" w:ascii="宋体" w:hAnsi="宋体" w:eastAsia="宋体"/>
          <w:color w:val="000000"/>
          <w:sz w:val="33"/>
        </w:rPr>
        <w:t>第三方平台应当建立并实施以下管理制度：</w:t>
      </w:r>
    </w:p>
    <w:p>
      <w:pPr>
        <w:wordWrap w:val="0"/>
        <w:spacing w:before="0" w:after="0" w:line="239" w:lineRule="auto"/>
        <w:ind w:firstLine="760"/>
        <w:jc w:val="both"/>
        <w:rPr>
          <w:sz w:val="33"/>
        </w:rPr>
      </w:pPr>
      <w:r>
        <w:rPr>
          <w:rFonts w:hint="eastAsia" w:ascii="宋体" w:hAnsi="宋体" w:eastAsia="宋体"/>
          <w:color w:val="000000"/>
          <w:sz w:val="33"/>
        </w:rPr>
        <w:t>（一）药品质量安全；</w:t>
      </w:r>
    </w:p>
    <w:p>
      <w:pPr>
        <w:wordWrap w:val="0"/>
        <w:spacing w:before="0" w:after="0" w:line="240" w:lineRule="auto"/>
        <w:ind w:firstLine="0"/>
        <w:jc w:val="both"/>
        <w:rPr>
          <w:rFonts w:hint="eastAsia" w:ascii="宋体" w:hAnsi="宋体" w:eastAsia="宋体"/>
          <w:color w:val="000000"/>
          <w:sz w:val="21"/>
        </w:rPr>
      </w:pPr>
    </w:p>
    <w:p>
      <w:pPr>
        <w:wordWrap w:val="0"/>
        <w:spacing w:before="0" w:after="0" w:line="191" w:lineRule="auto"/>
        <w:ind w:firstLine="760"/>
        <w:jc w:val="both"/>
        <w:rPr>
          <w:sz w:val="33"/>
        </w:rPr>
      </w:pPr>
      <w:r>
        <w:rPr>
          <w:rFonts w:hint="eastAsia" w:ascii="宋体" w:hAnsi="宋体" w:eastAsia="宋体"/>
          <w:color w:val="000000"/>
          <w:sz w:val="33"/>
        </w:rPr>
        <w:t>（二）药品信息展示；</w:t>
      </w:r>
    </w:p>
    <w:p>
      <w:pPr>
        <w:wordWrap w:val="0"/>
        <w:spacing w:before="0" w:after="0" w:line="239" w:lineRule="auto"/>
        <w:ind w:firstLine="760"/>
        <w:jc w:val="both"/>
        <w:rPr>
          <w:sz w:val="33"/>
        </w:rPr>
      </w:pPr>
      <w:r>
        <w:rPr>
          <w:rFonts w:hint="eastAsia" w:ascii="宋体" w:hAnsi="宋体" w:eastAsia="宋体"/>
          <w:color w:val="000000"/>
          <w:sz w:val="33"/>
        </w:rPr>
        <w:t>（三）药品配送；</w:t>
      </w:r>
    </w:p>
    <w:p>
      <w:pPr>
        <w:wordWrap w:val="0"/>
        <w:spacing w:before="0" w:after="0" w:line="240" w:lineRule="auto"/>
        <w:ind w:firstLine="0"/>
        <w:jc w:val="both"/>
        <w:rPr>
          <w:rFonts w:hint="eastAsia" w:ascii="宋体" w:hAnsi="宋体" w:eastAsia="宋体"/>
          <w:color w:val="000000"/>
          <w:sz w:val="21"/>
        </w:rPr>
      </w:pPr>
    </w:p>
    <w:p>
      <w:pPr>
        <w:wordWrap w:val="0"/>
        <w:spacing w:before="0" w:after="0" w:line="191" w:lineRule="auto"/>
        <w:ind w:firstLine="760"/>
        <w:jc w:val="both"/>
        <w:rPr>
          <w:sz w:val="33"/>
        </w:rPr>
      </w:pPr>
      <w:r>
        <w:rPr>
          <w:rFonts w:hint="eastAsia" w:ascii="宋体" w:hAnsi="宋体" w:eastAsia="宋体"/>
          <w:color w:val="000000"/>
          <w:sz w:val="33"/>
        </w:rPr>
        <w:t>（四）交易记录保存和调取；</w:t>
      </w:r>
    </w:p>
    <w:p>
      <w:pPr>
        <w:wordWrap w:val="0"/>
        <w:spacing w:before="0" w:after="0" w:line="240" w:lineRule="auto"/>
        <w:ind w:firstLine="0"/>
        <w:jc w:val="both"/>
        <w:rPr>
          <w:rFonts w:hint="eastAsia" w:ascii="宋体" w:hAnsi="宋体" w:eastAsia="宋体"/>
          <w:color w:val="000000"/>
          <w:sz w:val="21"/>
        </w:rPr>
      </w:pPr>
    </w:p>
    <w:p>
      <w:pPr>
        <w:wordWrap w:val="0"/>
        <w:spacing w:before="0" w:after="0" w:line="191" w:lineRule="auto"/>
        <w:ind w:firstLine="760"/>
        <w:jc w:val="both"/>
        <w:rPr>
          <w:sz w:val="33"/>
        </w:rPr>
      </w:pPr>
      <w:r>
        <w:rPr>
          <w:rFonts w:hint="eastAsia" w:ascii="宋体" w:hAnsi="宋体" w:eastAsia="宋体"/>
          <w:color w:val="000000"/>
          <w:sz w:val="33"/>
        </w:rPr>
        <w:t>（五）不良反应报告；</w:t>
      </w:r>
    </w:p>
    <w:p>
      <w:pPr>
        <w:wordWrap w:val="0"/>
        <w:spacing w:before="0" w:after="0" w:line="240" w:lineRule="auto"/>
        <w:ind w:firstLine="0"/>
        <w:jc w:val="both"/>
        <w:rPr>
          <w:rFonts w:hint="eastAsia" w:ascii="宋体" w:hAnsi="宋体" w:eastAsia="宋体"/>
          <w:color w:val="000000"/>
          <w:sz w:val="21"/>
        </w:rPr>
      </w:pPr>
    </w:p>
    <w:p>
      <w:pPr>
        <w:wordWrap w:val="0"/>
        <w:spacing w:before="0" w:after="0" w:line="191" w:lineRule="auto"/>
        <w:ind w:firstLine="760"/>
        <w:jc w:val="both"/>
        <w:rPr>
          <w:sz w:val="33"/>
        </w:rPr>
      </w:pPr>
      <w:r>
        <w:rPr>
          <w:rFonts w:hint="eastAsia" w:ascii="宋体" w:hAnsi="宋体" w:eastAsia="宋体"/>
          <w:color w:val="000000"/>
          <w:sz w:val="33"/>
        </w:rPr>
        <w:t>（六）投诉举报处理；</w:t>
      </w:r>
    </w:p>
    <w:p>
      <w:pPr>
        <w:wordWrap w:val="0"/>
        <w:spacing w:before="156" w:after="0" w:line="239" w:lineRule="auto"/>
        <w:ind w:firstLine="760"/>
        <w:jc w:val="both"/>
        <w:rPr>
          <w:sz w:val="33"/>
        </w:rPr>
      </w:pPr>
      <w:r>
        <w:rPr>
          <w:rFonts w:hint="eastAsia" w:ascii="宋体" w:hAnsi="宋体" w:eastAsia="宋体"/>
          <w:color w:val="000000"/>
          <w:sz w:val="33"/>
        </w:rPr>
        <w:t>（七）对药品网络销售活动的检查监控制度；</w:t>
      </w:r>
    </w:p>
    <w:p>
      <w:pPr>
        <w:wordWrap w:val="0"/>
        <w:spacing w:before="7" w:after="0" w:line="295" w:lineRule="auto"/>
        <w:ind w:left="40" w:right="240" w:firstLine="720"/>
        <w:jc w:val="both"/>
        <w:rPr>
          <w:sz w:val="33"/>
        </w:rPr>
        <w:sectPr>
          <w:headerReference r:id="rId5" w:type="default"/>
          <w:footerReference r:id="rId6" w:type="default"/>
          <w:type w:val="continuous"/>
          <w:pgSz w:w="11900" w:h="16840"/>
          <w:pgMar w:top="2160" w:right="1440" w:bottom="2400" w:left="1440" w:header="1080" w:footer="1200" w:gutter="0"/>
          <w:cols w:space="720" w:num="1"/>
        </w:sectPr>
      </w:pPr>
      <w:r>
        <w:rPr>
          <w:rFonts w:hint="eastAsia" w:ascii="宋体" w:hAnsi="宋体" w:eastAsia="宋体"/>
          <w:color w:val="000000"/>
          <w:sz w:val="33"/>
        </w:rPr>
        <w:t>（八）入驻企业资质审核与定期查验制度（</w:t>
      </w:r>
      <w:r>
        <w:rPr>
          <w:rFonts w:hint="eastAsia" w:ascii="Calibri" w:hAnsi="Calibri" w:eastAsia="Calibri"/>
          <w:color w:val="000000"/>
          <w:sz w:val="33"/>
        </w:rPr>
        <w:t>BTB</w:t>
      </w:r>
      <w:r>
        <w:rPr>
          <w:rFonts w:hint="eastAsia" w:ascii="宋体" w:hAnsi="宋体" w:eastAsia="宋体"/>
          <w:color w:val="000000"/>
          <w:sz w:val="33"/>
        </w:rPr>
        <w:t>平台应包括购货单位资质审核）；</w:t>
      </w:r>
    </w:p>
    <w:p>
      <w:pPr>
        <w:wordWrap w:val="0"/>
        <w:spacing w:before="0" w:after="0" w:line="191" w:lineRule="auto"/>
        <w:ind w:firstLine="800"/>
        <w:jc w:val="both"/>
        <w:rPr>
          <w:sz w:val="33"/>
        </w:rPr>
      </w:pPr>
      <w:r>
        <w:rPr>
          <w:rFonts w:hint="eastAsia" w:ascii="宋体" w:hAnsi="宋体" w:eastAsia="宋体"/>
          <w:color w:val="000000"/>
          <w:sz w:val="33"/>
        </w:rPr>
        <w:t>（九）风险控制与处置；</w:t>
      </w:r>
    </w:p>
    <w:p>
      <w:pPr>
        <w:wordWrap w:val="0"/>
        <w:spacing w:before="0" w:after="0" w:line="280" w:lineRule="auto"/>
        <w:ind w:left="40" w:right="160" w:firstLine="760"/>
        <w:jc w:val="both"/>
        <w:rPr>
          <w:sz w:val="33"/>
        </w:rPr>
      </w:pPr>
      <w:r>
        <w:rPr>
          <w:rFonts w:hint="eastAsia" w:ascii="宋体" w:hAnsi="宋体" w:eastAsia="宋体"/>
          <w:color w:val="000000"/>
          <w:sz w:val="33"/>
        </w:rPr>
        <w:t>（十）为处方药销售提供药品零售服务的，至少建立处方及其来源审核、处方药实名购买等管理制度；</w:t>
      </w:r>
    </w:p>
    <w:p>
      <w:pPr>
        <w:wordWrap w:val="0"/>
        <w:spacing w:before="0" w:after="0" w:line="240" w:lineRule="auto"/>
        <w:ind w:firstLine="0"/>
        <w:jc w:val="both"/>
        <w:rPr>
          <w:rFonts w:hint="eastAsia" w:ascii="宋体" w:hAnsi="宋体" w:eastAsia="宋体"/>
          <w:color w:val="000000"/>
          <w:sz w:val="21"/>
        </w:rPr>
      </w:pPr>
    </w:p>
    <w:p>
      <w:pPr>
        <w:wordWrap w:val="0"/>
        <w:spacing w:before="0" w:after="0" w:line="191" w:lineRule="auto"/>
        <w:ind w:firstLine="800"/>
        <w:jc w:val="both"/>
        <w:rPr>
          <w:sz w:val="33"/>
        </w:rPr>
      </w:pPr>
      <w:r>
        <w:rPr>
          <w:rFonts w:hint="eastAsia" w:ascii="宋体" w:hAnsi="宋体" w:eastAsia="宋体"/>
          <w:color w:val="000000"/>
          <w:sz w:val="33"/>
        </w:rPr>
        <w:t>（十一）其他应当建立并实施的管理制度。</w:t>
      </w:r>
    </w:p>
    <w:p>
      <w:pPr>
        <w:wordWrap w:val="0"/>
        <w:spacing w:before="0" w:after="0" w:line="280" w:lineRule="auto"/>
        <w:ind w:left="40" w:right="160" w:firstLine="760"/>
        <w:jc w:val="both"/>
        <w:rPr>
          <w:sz w:val="33"/>
        </w:rPr>
      </w:pPr>
      <w:r>
        <w:rPr>
          <w:rFonts w:hint="eastAsia" w:ascii="宋体" w:hAnsi="宋体" w:eastAsia="宋体"/>
          <w:color w:val="000000"/>
          <w:sz w:val="33"/>
        </w:rPr>
        <w:t>第三方平台应当采取措施确保各岗位人员正确理解质量管理文件的内容，保证质量管理文件有效执行。</w:t>
      </w:r>
    </w:p>
    <w:p>
      <w:pPr>
        <w:wordWrap w:val="0"/>
        <w:spacing w:before="0" w:after="0" w:line="240" w:lineRule="auto"/>
        <w:ind w:firstLine="0"/>
        <w:jc w:val="both"/>
        <w:rPr>
          <w:rFonts w:hint="eastAsia" w:ascii="宋体" w:hAnsi="宋体" w:eastAsia="宋体"/>
          <w:color w:val="000000"/>
          <w:sz w:val="21"/>
        </w:rPr>
      </w:pPr>
    </w:p>
    <w:p>
      <w:pPr>
        <w:wordWrap w:val="0"/>
        <w:spacing w:before="0" w:after="0" w:line="280" w:lineRule="auto"/>
        <w:ind w:left="40" w:right="160" w:firstLine="760"/>
        <w:jc w:val="both"/>
        <w:rPr>
          <w:sz w:val="33"/>
        </w:rPr>
      </w:pPr>
      <w:r>
        <w:rPr>
          <w:rFonts w:hint="eastAsia" w:ascii="宋体" w:hAnsi="宋体" w:eastAsia="宋体"/>
          <w:b/>
          <w:color w:val="000000"/>
          <w:sz w:val="33"/>
        </w:rPr>
        <w:t>第三十三条</w:t>
      </w:r>
      <w:r>
        <w:rPr>
          <w:rFonts w:hint="eastAsia" w:ascii="宋体" w:hAnsi="宋体" w:eastAsia="宋体"/>
          <w:color w:val="000000"/>
          <w:sz w:val="33"/>
        </w:rPr>
        <w:t xml:space="preserve"> 第三方平台应当对申请入驻的药品网络销售企业资质、质量安全保证能力等进行审核，对药品网络销售企业建立登记档案，至少每六个月核验更新一次，确保入驻的药品网络销售企业符合法定要求。档案内容包括：</w:t>
      </w:r>
    </w:p>
    <w:p>
      <w:pPr>
        <w:wordWrap w:val="0"/>
        <w:spacing w:before="233" w:after="0" w:line="239" w:lineRule="auto"/>
        <w:ind w:firstLine="800"/>
        <w:jc w:val="both"/>
        <w:rPr>
          <w:sz w:val="33"/>
        </w:rPr>
      </w:pPr>
      <w:r>
        <w:rPr>
          <w:rFonts w:hint="eastAsia" w:ascii="宋体" w:hAnsi="宋体" w:eastAsia="宋体"/>
          <w:color w:val="000000"/>
          <w:sz w:val="33"/>
        </w:rPr>
        <w:t>（一）药品网络销售企业《营业执照》；</w:t>
      </w:r>
    </w:p>
    <w:p>
      <w:pPr>
        <w:wordWrap w:val="0"/>
        <w:spacing w:before="72" w:after="0" w:line="239" w:lineRule="auto"/>
        <w:ind w:firstLine="800"/>
        <w:jc w:val="both"/>
        <w:rPr>
          <w:sz w:val="33"/>
        </w:rPr>
      </w:pPr>
      <w:r>
        <w:rPr>
          <w:rFonts w:hint="eastAsia" w:ascii="宋体" w:hAnsi="宋体" w:eastAsia="宋体"/>
          <w:color w:val="000000"/>
          <w:sz w:val="33"/>
        </w:rPr>
        <w:t>（二）药品网络销售企业药品生产或经营许可证；</w:t>
      </w:r>
    </w:p>
    <w:p>
      <w:pPr>
        <w:wordWrap w:val="0"/>
        <w:spacing w:before="0" w:after="0" w:line="240" w:lineRule="auto"/>
        <w:ind w:firstLine="0"/>
        <w:jc w:val="both"/>
        <w:rPr>
          <w:rFonts w:hint="eastAsia" w:ascii="宋体" w:hAnsi="宋体" w:eastAsia="宋体"/>
          <w:color w:val="000000"/>
          <w:sz w:val="21"/>
        </w:rPr>
      </w:pPr>
    </w:p>
    <w:p>
      <w:pPr>
        <w:wordWrap w:val="0"/>
        <w:spacing w:before="0" w:after="0" w:line="280" w:lineRule="auto"/>
        <w:ind w:left="40" w:right="160" w:firstLine="760"/>
        <w:jc w:val="both"/>
        <w:rPr>
          <w:sz w:val="33"/>
        </w:rPr>
      </w:pPr>
      <w:r>
        <w:rPr>
          <w:rFonts w:hint="eastAsia" w:ascii="宋体" w:hAnsi="宋体" w:eastAsia="宋体"/>
          <w:color w:val="000000"/>
          <w:sz w:val="33"/>
        </w:rPr>
        <w:t>（三）药品网络销售企业药品质量安全保证能力的有关文件。</w:t>
      </w:r>
    </w:p>
    <w:p>
      <w:pPr>
        <w:wordWrap w:val="0"/>
        <w:spacing w:before="0" w:after="0" w:line="240" w:lineRule="auto"/>
        <w:ind w:firstLine="0"/>
        <w:jc w:val="both"/>
        <w:rPr>
          <w:rFonts w:hint="eastAsia" w:ascii="宋体" w:hAnsi="宋体" w:eastAsia="宋体"/>
          <w:color w:val="000000"/>
          <w:sz w:val="21"/>
        </w:rPr>
      </w:pPr>
    </w:p>
    <w:p>
      <w:pPr>
        <w:wordWrap w:val="0"/>
        <w:spacing w:before="0" w:after="0" w:line="280" w:lineRule="auto"/>
        <w:ind w:left="40" w:right="160" w:firstLine="760"/>
        <w:jc w:val="both"/>
        <w:rPr>
          <w:sz w:val="33"/>
        </w:rPr>
      </w:pPr>
      <w:r>
        <w:rPr>
          <w:rFonts w:hint="eastAsia" w:ascii="宋体" w:hAnsi="宋体" w:eastAsia="宋体"/>
          <w:b/>
          <w:color w:val="000000"/>
          <w:sz w:val="33"/>
        </w:rPr>
        <w:t>第三十四条</w:t>
      </w:r>
      <w:r>
        <w:rPr>
          <w:rFonts w:hint="eastAsia" w:ascii="宋体" w:hAnsi="宋体" w:eastAsia="宋体"/>
          <w:color w:val="000000"/>
          <w:sz w:val="33"/>
        </w:rPr>
        <w:t xml:space="preserve"> 第三方平台应当与入驻的药品网络销售企业签订协议，并加盖双方公章，明确双方药品质量安全责任。</w:t>
      </w:r>
    </w:p>
    <w:p>
      <w:pPr>
        <w:wordWrap w:val="0"/>
        <w:spacing w:before="0" w:after="0" w:line="240" w:lineRule="auto"/>
        <w:ind w:firstLine="0"/>
        <w:jc w:val="both"/>
        <w:rPr>
          <w:rFonts w:hint="eastAsia" w:ascii="宋体" w:hAnsi="宋体" w:eastAsia="宋体"/>
          <w:color w:val="000000"/>
          <w:sz w:val="21"/>
        </w:rPr>
      </w:pPr>
    </w:p>
    <w:p>
      <w:pPr>
        <w:wordWrap w:val="0"/>
        <w:spacing w:before="0" w:after="0" w:line="280" w:lineRule="auto"/>
        <w:ind w:left="40" w:right="160" w:firstLine="760"/>
        <w:jc w:val="both"/>
        <w:rPr>
          <w:sz w:val="33"/>
        </w:rPr>
        <w:sectPr>
          <w:headerReference r:id="rId7" w:type="default"/>
          <w:footerReference r:id="rId8" w:type="default"/>
          <w:type w:val="continuous"/>
          <w:pgSz w:w="11901" w:h="16841"/>
          <w:pgMar w:top="2160" w:right="1440" w:bottom="2400" w:left="1440" w:header="1080" w:footer="1200" w:gutter="0"/>
          <w:cols w:space="720" w:num="1"/>
        </w:sectPr>
      </w:pPr>
      <w:r>
        <w:rPr>
          <w:rFonts w:hint="eastAsia" w:ascii="宋体" w:hAnsi="宋体" w:eastAsia="宋体"/>
          <w:b/>
          <w:color w:val="000000"/>
          <w:sz w:val="33"/>
        </w:rPr>
        <w:t>第三十五条</w:t>
      </w:r>
      <w:r>
        <w:rPr>
          <w:rFonts w:hint="eastAsia" w:ascii="宋体" w:hAnsi="宋体" w:eastAsia="宋体"/>
          <w:color w:val="000000"/>
          <w:sz w:val="33"/>
        </w:rPr>
        <w:t xml:space="preserve"> 第三方平台应当为接入的药品零售配送相关单位，按照药品信息化追溯要求，根据需要提供药品配送过程中有关信息数据共享的条件，每年至少对相关配送企业开展一次评审，评审内容至少包括配送设备设施、人员资质、质量管理水平、风险控制能力等，对评审结果不符合要求的配送企业应停止合作。</w:t>
      </w:r>
    </w:p>
    <w:p>
      <w:pPr>
        <w:wordWrap w:val="0"/>
        <w:spacing w:before="0" w:after="0" w:line="271" w:lineRule="auto"/>
        <w:ind w:left="20" w:right="160" w:firstLine="700"/>
        <w:jc w:val="both"/>
        <w:rPr>
          <w:sz w:val="33"/>
        </w:rPr>
      </w:pPr>
      <w:r>
        <w:rPr>
          <w:rFonts w:hint="eastAsia" w:ascii="宋体" w:hAnsi="宋体" w:eastAsia="宋体"/>
          <w:b/>
          <w:color w:val="000000"/>
          <w:sz w:val="33"/>
        </w:rPr>
        <w:t>第三十六条</w:t>
      </w:r>
      <w:r>
        <w:rPr>
          <w:rFonts w:hint="eastAsia" w:ascii="宋体" w:hAnsi="宋体" w:eastAsia="宋体"/>
          <w:color w:val="000000"/>
          <w:sz w:val="33"/>
        </w:rPr>
        <w:t xml:space="preserve"> 第三方平台应当保存药品网络交易产生的相关信息，确保有关信息、数据和资料真实、完整、可追溯，并采取有效措施防止药品网络销售质量管理记录和数据在保存期间损毁、丢失。相关信息数据保存期限不少于</w:t>
      </w:r>
      <w:r>
        <w:rPr>
          <w:rFonts w:hint="eastAsia" w:ascii="Calibri" w:hAnsi="Calibri" w:eastAsia="Calibri"/>
          <w:color w:val="000000"/>
          <w:sz w:val="33"/>
        </w:rPr>
        <w:t>5</w:t>
      </w:r>
      <w:r>
        <w:rPr>
          <w:rFonts w:hint="eastAsia" w:ascii="宋体" w:hAnsi="宋体" w:eastAsia="宋体"/>
          <w:color w:val="000000"/>
          <w:sz w:val="33"/>
        </w:rPr>
        <w:t>年，且不少于药品有效期满后</w:t>
      </w:r>
      <w:r>
        <w:rPr>
          <w:rFonts w:hint="eastAsia" w:ascii="Calibri" w:hAnsi="Calibri" w:eastAsia="Calibri"/>
          <w:color w:val="000000"/>
          <w:sz w:val="33"/>
        </w:rPr>
        <w:t>1</w:t>
      </w:r>
      <w:r>
        <w:rPr>
          <w:rFonts w:hint="eastAsia" w:ascii="宋体" w:hAnsi="宋体" w:eastAsia="宋体"/>
          <w:color w:val="000000"/>
          <w:sz w:val="33"/>
        </w:rPr>
        <w:t>年。</w:t>
      </w:r>
    </w:p>
    <w:p>
      <w:pPr>
        <w:wordWrap w:val="0"/>
        <w:spacing w:before="0" w:after="0" w:line="240" w:lineRule="auto"/>
        <w:ind w:firstLine="0"/>
        <w:jc w:val="both"/>
        <w:rPr>
          <w:rFonts w:hint="eastAsia" w:ascii="宋体" w:hAnsi="宋体" w:eastAsia="宋体"/>
          <w:color w:val="000000"/>
          <w:sz w:val="21"/>
        </w:rPr>
      </w:pPr>
    </w:p>
    <w:p>
      <w:pPr>
        <w:wordWrap w:val="0"/>
        <w:spacing w:before="0" w:after="0" w:line="191" w:lineRule="auto"/>
        <w:ind w:firstLine="720"/>
        <w:jc w:val="both"/>
        <w:rPr>
          <w:sz w:val="33"/>
        </w:rPr>
      </w:pPr>
      <w:r>
        <w:rPr>
          <w:rFonts w:hint="eastAsia" w:ascii="宋体" w:hAnsi="宋体" w:eastAsia="宋体"/>
          <w:color w:val="000000"/>
          <w:sz w:val="33"/>
        </w:rPr>
        <w:t>相关信息至少包括：</w:t>
      </w:r>
    </w:p>
    <w:p>
      <w:pPr>
        <w:wordWrap w:val="0"/>
        <w:spacing w:before="0" w:after="0" w:line="240" w:lineRule="auto"/>
        <w:ind w:firstLine="0"/>
        <w:jc w:val="both"/>
        <w:rPr>
          <w:rFonts w:hint="eastAsia" w:ascii="宋体" w:hAnsi="宋体" w:eastAsia="宋体"/>
          <w:color w:val="000000"/>
          <w:sz w:val="21"/>
        </w:rPr>
      </w:pPr>
    </w:p>
    <w:p>
      <w:pPr>
        <w:wordWrap w:val="0"/>
        <w:spacing w:before="0" w:after="0" w:line="191" w:lineRule="auto"/>
        <w:ind w:firstLine="820"/>
        <w:jc w:val="both"/>
        <w:rPr>
          <w:sz w:val="33"/>
        </w:rPr>
      </w:pPr>
      <w:r>
        <w:rPr>
          <w:rFonts w:hint="eastAsia" w:ascii="宋体" w:hAnsi="宋体" w:eastAsia="宋体"/>
          <w:color w:val="000000"/>
          <w:sz w:val="33"/>
        </w:rPr>
        <w:t>（一）药品展示信息；</w:t>
      </w:r>
    </w:p>
    <w:p>
      <w:pPr>
        <w:wordWrap w:val="0"/>
        <w:spacing w:before="0" w:after="0" w:line="239" w:lineRule="auto"/>
        <w:ind w:firstLine="820"/>
        <w:jc w:val="both"/>
        <w:rPr>
          <w:sz w:val="33"/>
        </w:rPr>
      </w:pPr>
      <w:r>
        <w:rPr>
          <w:rFonts w:hint="eastAsia" w:ascii="宋体" w:hAnsi="宋体" w:eastAsia="宋体"/>
          <w:color w:val="000000"/>
          <w:sz w:val="33"/>
        </w:rPr>
        <w:t>（二）交易记录；</w:t>
      </w:r>
    </w:p>
    <w:p>
      <w:pPr>
        <w:wordWrap w:val="0"/>
        <w:spacing w:before="0" w:after="0" w:line="240" w:lineRule="auto"/>
        <w:ind w:firstLine="0"/>
        <w:jc w:val="both"/>
        <w:rPr>
          <w:rFonts w:hint="eastAsia" w:ascii="宋体" w:hAnsi="宋体" w:eastAsia="宋体"/>
          <w:color w:val="000000"/>
          <w:sz w:val="21"/>
        </w:rPr>
      </w:pPr>
    </w:p>
    <w:p>
      <w:pPr>
        <w:wordWrap w:val="0"/>
        <w:spacing w:before="0" w:after="0" w:line="191" w:lineRule="auto"/>
        <w:ind w:firstLine="820"/>
        <w:jc w:val="both"/>
        <w:rPr>
          <w:sz w:val="33"/>
        </w:rPr>
      </w:pPr>
      <w:r>
        <w:rPr>
          <w:rFonts w:hint="eastAsia" w:ascii="宋体" w:hAnsi="宋体" w:eastAsia="宋体"/>
          <w:color w:val="000000"/>
          <w:sz w:val="33"/>
        </w:rPr>
        <w:t>（三）药品零售配送记录；</w:t>
      </w:r>
    </w:p>
    <w:p>
      <w:pPr>
        <w:wordWrap w:val="0"/>
        <w:spacing w:before="0" w:after="0" w:line="239" w:lineRule="auto"/>
        <w:ind w:firstLine="820"/>
        <w:jc w:val="both"/>
        <w:rPr>
          <w:sz w:val="33"/>
        </w:rPr>
      </w:pPr>
      <w:r>
        <w:rPr>
          <w:rFonts w:hint="eastAsia" w:ascii="宋体" w:hAnsi="宋体" w:eastAsia="宋体"/>
          <w:color w:val="000000"/>
          <w:sz w:val="33"/>
        </w:rPr>
        <w:t>（四）投诉举报及处置信息；</w:t>
      </w:r>
    </w:p>
    <w:p>
      <w:pPr>
        <w:wordWrap w:val="0"/>
        <w:spacing w:before="0" w:after="0" w:line="240" w:lineRule="auto"/>
        <w:ind w:firstLine="0"/>
        <w:jc w:val="both"/>
        <w:rPr>
          <w:rFonts w:hint="eastAsia" w:ascii="宋体" w:hAnsi="宋体" w:eastAsia="宋体"/>
          <w:color w:val="000000"/>
          <w:sz w:val="21"/>
        </w:rPr>
      </w:pPr>
    </w:p>
    <w:p>
      <w:pPr>
        <w:wordWrap w:val="0"/>
        <w:spacing w:before="0" w:after="0" w:line="191" w:lineRule="auto"/>
        <w:ind w:firstLine="820"/>
        <w:jc w:val="both"/>
        <w:rPr>
          <w:sz w:val="33"/>
        </w:rPr>
      </w:pPr>
      <w:r>
        <w:rPr>
          <w:rFonts w:hint="eastAsia" w:ascii="宋体" w:hAnsi="宋体" w:eastAsia="宋体"/>
          <w:color w:val="000000"/>
          <w:sz w:val="33"/>
        </w:rPr>
        <w:t>（五）提供药学服务的药师信息及咨询记录信息；</w:t>
      </w:r>
    </w:p>
    <w:p>
      <w:pPr>
        <w:wordWrap w:val="0"/>
        <w:spacing w:before="0" w:after="0" w:line="240" w:lineRule="auto"/>
        <w:ind w:firstLine="0"/>
        <w:jc w:val="both"/>
        <w:rPr>
          <w:rFonts w:hint="eastAsia" w:ascii="宋体" w:hAnsi="宋体" w:eastAsia="宋体"/>
          <w:color w:val="000000"/>
          <w:sz w:val="21"/>
        </w:rPr>
      </w:pPr>
    </w:p>
    <w:p>
      <w:pPr>
        <w:wordWrap w:val="0"/>
        <w:spacing w:before="0" w:after="0" w:line="271" w:lineRule="auto"/>
        <w:ind w:left="20" w:right="160" w:firstLine="800"/>
        <w:jc w:val="both"/>
        <w:rPr>
          <w:sz w:val="33"/>
        </w:rPr>
      </w:pPr>
      <w:r>
        <w:rPr>
          <w:rFonts w:hint="eastAsia" w:ascii="宋体" w:hAnsi="宋体" w:eastAsia="宋体"/>
          <w:color w:val="000000"/>
          <w:sz w:val="33"/>
        </w:rPr>
        <w:t>（六）为处方药网络零售提供服务的第三方平台，还应当保存开具处方的医师、处方和患者实名制的相关信息；</w:t>
      </w:r>
    </w:p>
    <w:p>
      <w:pPr>
        <w:wordWrap w:val="0"/>
        <w:spacing w:before="134" w:after="0" w:line="239" w:lineRule="auto"/>
        <w:ind w:firstLine="820"/>
        <w:jc w:val="both"/>
        <w:rPr>
          <w:sz w:val="33"/>
        </w:rPr>
      </w:pPr>
      <w:r>
        <w:rPr>
          <w:rFonts w:hint="eastAsia" w:ascii="宋体" w:hAnsi="宋体" w:eastAsia="宋体"/>
          <w:color w:val="000000"/>
          <w:sz w:val="33"/>
        </w:rPr>
        <w:t>（七）可能影响药品信息追溯的其他应当保存的信息。</w:t>
      </w:r>
    </w:p>
    <w:p>
      <w:pPr>
        <w:wordWrap w:val="0"/>
        <w:spacing w:before="7" w:after="0" w:line="271" w:lineRule="auto"/>
        <w:ind w:left="20" w:right="160" w:firstLine="700"/>
        <w:jc w:val="both"/>
        <w:rPr>
          <w:sz w:val="33"/>
        </w:rPr>
      </w:pPr>
      <w:r>
        <w:rPr>
          <w:rFonts w:hint="eastAsia" w:ascii="宋体" w:hAnsi="宋体" w:eastAsia="宋体"/>
          <w:color w:val="000000"/>
          <w:sz w:val="33"/>
        </w:rPr>
        <w:t>第三方平台应当为入驻的药品网络销售企业自行保存数据提供便利。</w:t>
      </w:r>
    </w:p>
    <w:p>
      <w:pPr>
        <w:wordWrap w:val="0"/>
        <w:spacing w:before="0" w:after="0" w:line="240" w:lineRule="auto"/>
        <w:ind w:firstLine="0"/>
        <w:jc w:val="both"/>
        <w:rPr>
          <w:rFonts w:hint="eastAsia" w:ascii="宋体" w:hAnsi="宋体" w:eastAsia="宋体"/>
          <w:color w:val="000000"/>
          <w:sz w:val="21"/>
        </w:rPr>
      </w:pPr>
    </w:p>
    <w:p>
      <w:pPr>
        <w:wordWrap w:val="0"/>
        <w:spacing w:before="0" w:after="0" w:line="271" w:lineRule="auto"/>
        <w:ind w:left="20" w:right="160" w:firstLine="700"/>
        <w:jc w:val="both"/>
        <w:rPr>
          <w:sz w:val="33"/>
        </w:rPr>
      </w:pPr>
      <w:r>
        <w:rPr>
          <w:rFonts w:hint="eastAsia" w:ascii="宋体" w:hAnsi="宋体" w:eastAsia="宋体"/>
          <w:b/>
          <w:color w:val="000000"/>
          <w:sz w:val="33"/>
        </w:rPr>
        <w:t>第三十七条</w:t>
      </w:r>
      <w:r>
        <w:rPr>
          <w:rFonts w:hint="eastAsia" w:ascii="宋体" w:hAnsi="宋体" w:eastAsia="宋体"/>
          <w:color w:val="000000"/>
          <w:sz w:val="33"/>
        </w:rPr>
        <w:t xml:space="preserve"> 第三方平台应当加强检查监控，对入驻平台的药品网络销售企业的药品信息展示、处方审核、药品销售和配送等行为进行管理和监督，督促其严格履行法定义务。</w:t>
      </w:r>
    </w:p>
    <w:p>
      <w:pPr>
        <w:wordWrap w:val="0"/>
        <w:spacing w:before="0" w:after="0" w:line="271" w:lineRule="auto"/>
        <w:ind w:left="20" w:right="160" w:firstLine="700"/>
        <w:jc w:val="both"/>
        <w:rPr>
          <w:sz w:val="33"/>
        </w:rPr>
        <w:sectPr>
          <w:headerReference r:id="rId9" w:type="default"/>
          <w:footerReference r:id="rId10" w:type="default"/>
          <w:type w:val="continuous"/>
          <w:pgSz w:w="11900" w:h="16840"/>
          <w:pgMar w:top="2160" w:right="1440" w:bottom="2400" w:left="1440" w:header="1080" w:footer="1200" w:gutter="0"/>
          <w:cols w:space="720" w:num="1"/>
        </w:sectPr>
      </w:pPr>
      <w:r>
        <w:rPr>
          <w:rFonts w:hint="eastAsia" w:ascii="宋体" w:hAnsi="宋体" w:eastAsia="宋体"/>
          <w:color w:val="000000"/>
          <w:sz w:val="33"/>
        </w:rPr>
        <w:t>发现入驻的药品上市许可持有人、药品批发企业存在违法违规行为的，应当及时制止，并立即向企业所在地省级药品监督管理部门报告，如实提供有关线索证据；发现药品网络零售企业存</w:t>
      </w:r>
    </w:p>
    <w:p>
      <w:pPr>
        <w:wordWrap w:val="0"/>
        <w:spacing w:before="0" w:after="0" w:line="292" w:lineRule="auto"/>
        <w:ind w:left="40" w:right="200" w:firstLine="0"/>
        <w:jc w:val="both"/>
        <w:rPr>
          <w:sz w:val="32"/>
        </w:rPr>
      </w:pPr>
      <w:r>
        <w:rPr>
          <w:rFonts w:hint="eastAsia" w:ascii="宋体" w:hAnsi="宋体" w:eastAsia="宋体"/>
          <w:color w:val="000000"/>
          <w:sz w:val="32"/>
        </w:rPr>
        <w:t>在违法违规行为的，应当及时制止，并立即向企业所在地的县级药品监督管理部门报告，如实提供有关线索证据。</w:t>
      </w:r>
    </w:p>
    <w:p>
      <w:pPr>
        <w:wordWrap w:val="0"/>
        <w:spacing w:before="0" w:after="0" w:line="240" w:lineRule="auto"/>
        <w:ind w:firstLine="0"/>
        <w:jc w:val="both"/>
        <w:rPr>
          <w:rFonts w:hint="eastAsia" w:ascii="宋体" w:hAnsi="宋体" w:eastAsia="宋体"/>
          <w:color w:val="000000"/>
          <w:sz w:val="21"/>
        </w:rPr>
      </w:pPr>
    </w:p>
    <w:p>
      <w:pPr>
        <w:wordWrap w:val="0"/>
        <w:spacing w:before="0" w:after="0" w:line="292" w:lineRule="auto"/>
        <w:ind w:left="40" w:right="200" w:firstLine="660"/>
        <w:jc w:val="both"/>
        <w:rPr>
          <w:sz w:val="32"/>
        </w:rPr>
      </w:pPr>
      <w:r>
        <w:rPr>
          <w:rFonts w:hint="eastAsia" w:ascii="宋体" w:hAnsi="宋体" w:eastAsia="宋体"/>
          <w:color w:val="000000"/>
          <w:sz w:val="32"/>
        </w:rPr>
        <w:t>第三方平台发现《药品网络销售监督管理办法》第二十三条规定的严重违法行为的，应当立即停止提供网络交易平台服务，停止展示药品相关信息。</w:t>
      </w:r>
    </w:p>
    <w:p>
      <w:pPr>
        <w:wordWrap w:val="0"/>
        <w:spacing w:before="0" w:after="0" w:line="292" w:lineRule="auto"/>
        <w:ind w:left="40" w:right="200" w:firstLine="660"/>
        <w:jc w:val="both"/>
        <w:rPr>
          <w:sz w:val="32"/>
        </w:rPr>
      </w:pPr>
      <w:r>
        <w:rPr>
          <w:rFonts w:hint="eastAsia" w:ascii="宋体" w:hAnsi="宋体" w:eastAsia="宋体"/>
          <w:b/>
          <w:color w:val="000000"/>
          <w:sz w:val="32"/>
        </w:rPr>
        <w:t>第三十八条</w:t>
      </w:r>
      <w:r>
        <w:rPr>
          <w:rFonts w:hint="eastAsia" w:ascii="宋体" w:hAnsi="宋体" w:eastAsia="宋体"/>
          <w:color w:val="000000"/>
          <w:sz w:val="32"/>
        </w:rPr>
        <w:t xml:space="preserve"> 第三方平台（仅开展</w:t>
      </w:r>
      <w:r>
        <w:rPr>
          <w:rFonts w:hint="eastAsia" w:ascii="Calibri" w:hAnsi="Calibri" w:eastAsia="Calibri"/>
          <w:color w:val="000000"/>
          <w:sz w:val="32"/>
        </w:rPr>
        <w:t>BTB</w:t>
      </w:r>
      <w:r>
        <w:rPr>
          <w:rFonts w:hint="eastAsia" w:ascii="宋体" w:hAnsi="宋体" w:eastAsia="宋体"/>
          <w:color w:val="000000"/>
          <w:sz w:val="32"/>
        </w:rPr>
        <w:t>业务的平台除外）应督促入驻企业严格按照规定进行处方审核调配，确保处方来源真实、可靠，并实行实名制，同时督促入驻企业采取有效措施避免处方重复使用。</w:t>
      </w:r>
    </w:p>
    <w:p>
      <w:pPr>
        <w:wordWrap w:val="0"/>
        <w:spacing w:before="0" w:after="0" w:line="240" w:lineRule="auto"/>
        <w:ind w:firstLine="0"/>
        <w:jc w:val="both"/>
        <w:rPr>
          <w:rFonts w:hint="eastAsia" w:ascii="宋体" w:hAnsi="宋体" w:eastAsia="宋体"/>
          <w:color w:val="000000"/>
          <w:sz w:val="21"/>
        </w:rPr>
      </w:pPr>
    </w:p>
    <w:p>
      <w:pPr>
        <w:wordWrap w:val="0"/>
        <w:spacing w:before="0" w:after="0" w:line="292" w:lineRule="auto"/>
        <w:ind w:left="40" w:right="200" w:firstLine="660"/>
        <w:jc w:val="both"/>
        <w:rPr>
          <w:sz w:val="32"/>
        </w:rPr>
      </w:pPr>
      <w:r>
        <w:rPr>
          <w:rFonts w:hint="eastAsia" w:ascii="宋体" w:hAnsi="宋体" w:eastAsia="宋体"/>
          <w:color w:val="000000"/>
          <w:sz w:val="32"/>
        </w:rPr>
        <w:t>第三方平台承接电子处方的，应当对电子处方提供单位的情况进行核实，与电子处方提供单位签订协议。</w:t>
      </w:r>
    </w:p>
    <w:p>
      <w:pPr>
        <w:wordWrap w:val="0"/>
        <w:spacing w:before="0" w:after="0" w:line="240" w:lineRule="auto"/>
        <w:ind w:firstLine="0"/>
        <w:jc w:val="both"/>
        <w:rPr>
          <w:rFonts w:hint="eastAsia" w:ascii="宋体" w:hAnsi="宋体" w:eastAsia="宋体"/>
          <w:color w:val="000000"/>
          <w:sz w:val="21"/>
        </w:rPr>
      </w:pPr>
    </w:p>
    <w:p>
      <w:pPr>
        <w:wordWrap w:val="0"/>
        <w:spacing w:before="0" w:after="0" w:line="292" w:lineRule="auto"/>
        <w:ind w:left="40" w:right="200" w:firstLine="660"/>
        <w:jc w:val="both"/>
        <w:rPr>
          <w:sz w:val="32"/>
        </w:rPr>
      </w:pPr>
      <w:r>
        <w:rPr>
          <w:rFonts w:hint="eastAsia" w:ascii="宋体" w:hAnsi="宋体" w:eastAsia="宋体"/>
          <w:b/>
          <w:color w:val="000000"/>
          <w:sz w:val="32"/>
        </w:rPr>
        <w:t>第三十九条</w:t>
      </w:r>
      <w:r>
        <w:rPr>
          <w:rFonts w:hint="eastAsia" w:ascii="宋体" w:hAnsi="宋体" w:eastAsia="宋体"/>
          <w:color w:val="000000"/>
          <w:sz w:val="32"/>
        </w:rPr>
        <w:t xml:space="preserve"> 第三方平台应当在其网站首页或者从事药品经营活动的主页面显著位置，持续公示以下信息或者信息的链接标识：</w:t>
      </w:r>
    </w:p>
    <w:p>
      <w:pPr>
        <w:wordWrap w:val="0"/>
        <w:spacing w:before="0" w:after="0" w:line="240" w:lineRule="auto"/>
        <w:ind w:firstLine="0"/>
        <w:jc w:val="both"/>
        <w:rPr>
          <w:rFonts w:hint="eastAsia" w:ascii="宋体" w:hAnsi="宋体" w:eastAsia="宋体"/>
          <w:color w:val="000000"/>
          <w:sz w:val="21"/>
        </w:rPr>
      </w:pPr>
    </w:p>
    <w:p>
      <w:pPr>
        <w:wordWrap w:val="0"/>
        <w:spacing w:before="0" w:after="0" w:line="191" w:lineRule="auto"/>
        <w:ind w:firstLine="800"/>
        <w:jc w:val="both"/>
        <w:rPr>
          <w:sz w:val="32"/>
        </w:rPr>
      </w:pPr>
      <w:r>
        <w:rPr>
          <w:rFonts w:hint="eastAsia" w:ascii="宋体" w:hAnsi="宋体" w:eastAsia="宋体"/>
          <w:b/>
          <w:color w:val="000000"/>
          <w:sz w:val="32"/>
        </w:rPr>
        <w:t>（一）营业执照；</w:t>
      </w:r>
    </w:p>
    <w:p>
      <w:pPr>
        <w:wordWrap w:val="0"/>
        <w:spacing w:before="0" w:after="0" w:line="240" w:lineRule="auto"/>
        <w:ind w:firstLine="0"/>
        <w:jc w:val="both"/>
        <w:rPr>
          <w:rFonts w:hint="eastAsia" w:ascii="宋体" w:hAnsi="宋体" w:eastAsia="宋体"/>
          <w:color w:val="000000"/>
          <w:sz w:val="21"/>
        </w:rPr>
      </w:pPr>
    </w:p>
    <w:p>
      <w:pPr>
        <w:wordWrap w:val="0"/>
        <w:spacing w:before="0" w:after="0" w:line="191" w:lineRule="auto"/>
        <w:ind w:firstLine="800"/>
        <w:jc w:val="both"/>
        <w:rPr>
          <w:sz w:val="32"/>
        </w:rPr>
      </w:pPr>
      <w:r>
        <w:rPr>
          <w:rFonts w:hint="eastAsia" w:ascii="宋体" w:hAnsi="宋体" w:eastAsia="宋体"/>
          <w:color w:val="000000"/>
          <w:sz w:val="32"/>
        </w:rPr>
        <w:t>（二）相关行政许可和备案；</w:t>
      </w:r>
    </w:p>
    <w:p>
      <w:pPr>
        <w:wordWrap w:val="0"/>
        <w:spacing w:before="0" w:after="0" w:line="240" w:lineRule="auto"/>
        <w:ind w:firstLine="0"/>
        <w:jc w:val="both"/>
        <w:rPr>
          <w:rFonts w:hint="eastAsia" w:ascii="宋体" w:hAnsi="宋体" w:eastAsia="宋体"/>
          <w:color w:val="000000"/>
          <w:sz w:val="21"/>
        </w:rPr>
      </w:pPr>
    </w:p>
    <w:p>
      <w:pPr>
        <w:wordWrap w:val="0"/>
        <w:spacing w:before="0" w:after="0" w:line="191" w:lineRule="auto"/>
        <w:ind w:firstLine="800"/>
        <w:jc w:val="both"/>
        <w:rPr>
          <w:sz w:val="32"/>
        </w:rPr>
      </w:pPr>
      <w:r>
        <w:rPr>
          <w:rFonts w:hint="eastAsia" w:ascii="宋体" w:hAnsi="宋体" w:eastAsia="宋体"/>
          <w:color w:val="000000"/>
          <w:sz w:val="32"/>
        </w:rPr>
        <w:t>（三）投诉举报方式；</w:t>
      </w:r>
    </w:p>
    <w:p>
      <w:pPr>
        <w:wordWrap w:val="0"/>
        <w:spacing w:before="0" w:after="0" w:line="239" w:lineRule="auto"/>
        <w:ind w:firstLine="800"/>
        <w:jc w:val="both"/>
        <w:rPr>
          <w:sz w:val="32"/>
        </w:rPr>
      </w:pPr>
      <w:r>
        <w:rPr>
          <w:rFonts w:hint="eastAsia" w:ascii="宋体" w:hAnsi="宋体" w:eastAsia="宋体"/>
          <w:color w:val="000000"/>
          <w:sz w:val="32"/>
        </w:rPr>
        <w:t>（四）联系方式；</w:t>
      </w:r>
    </w:p>
    <w:p>
      <w:pPr>
        <w:wordWrap w:val="0"/>
        <w:spacing w:before="125" w:after="0" w:line="239" w:lineRule="auto"/>
        <w:ind w:firstLine="800"/>
        <w:jc w:val="both"/>
        <w:rPr>
          <w:sz w:val="32"/>
        </w:rPr>
      </w:pPr>
      <w:r>
        <w:rPr>
          <w:rFonts w:hint="eastAsia" w:ascii="宋体" w:hAnsi="宋体" w:eastAsia="宋体"/>
          <w:color w:val="000000"/>
          <w:sz w:val="32"/>
        </w:rPr>
        <w:t>（五）其他应当公示的信息。</w:t>
      </w:r>
    </w:p>
    <w:p>
      <w:pPr>
        <w:wordWrap w:val="0"/>
        <w:spacing w:before="0" w:after="0" w:line="292" w:lineRule="auto"/>
        <w:ind w:left="40" w:right="200" w:firstLine="660"/>
        <w:jc w:val="both"/>
        <w:rPr>
          <w:sz w:val="32"/>
        </w:rPr>
        <w:sectPr>
          <w:headerReference r:id="rId11" w:type="default"/>
          <w:footerReference r:id="rId12" w:type="default"/>
          <w:type w:val="continuous"/>
          <w:pgSz w:w="11901" w:h="16841"/>
          <w:pgMar w:top="2160" w:right="1440" w:bottom="2400" w:left="1440" w:header="1080" w:footer="1200" w:gutter="0"/>
          <w:cols w:space="720" w:num="1"/>
        </w:sectPr>
      </w:pPr>
      <w:r>
        <w:rPr>
          <w:rFonts w:hint="eastAsia" w:ascii="宋体" w:hAnsi="宋体" w:eastAsia="宋体"/>
          <w:b/>
          <w:color w:val="000000"/>
          <w:sz w:val="32"/>
        </w:rPr>
        <w:t>第四十条</w:t>
      </w:r>
      <w:r>
        <w:rPr>
          <w:rFonts w:hint="eastAsia" w:ascii="宋体" w:hAnsi="宋体" w:eastAsia="宋体"/>
          <w:color w:val="000000"/>
          <w:sz w:val="32"/>
        </w:rPr>
        <w:t xml:space="preserve"> 出现突发公共卫生事件或者其他严重威胁公众健康的紧急事件时，应当遵守国家有关应急处置规定，依法采取相应的控制和处置措施。</w:t>
      </w:r>
    </w:p>
    <w:p>
      <w:pPr>
        <w:wordWrap w:val="0"/>
        <w:spacing w:before="0" w:after="0" w:line="254" w:lineRule="auto"/>
        <w:ind w:left="40" w:right="180" w:firstLine="680"/>
        <w:jc w:val="both"/>
        <w:rPr>
          <w:sz w:val="32"/>
        </w:rPr>
      </w:pPr>
      <w:r>
        <w:rPr>
          <w:rFonts w:hint="eastAsia" w:ascii="宋体" w:hAnsi="宋体" w:eastAsia="宋体"/>
          <w:color w:val="000000"/>
          <w:sz w:val="32"/>
        </w:rPr>
        <w:t>药品上市许可持有人依法召回药品的，第三方平台应当积极予以配合。</w:t>
      </w:r>
    </w:p>
    <w:p>
      <w:pPr>
        <w:wordWrap w:val="0"/>
        <w:spacing w:before="0" w:after="0" w:line="240" w:lineRule="auto"/>
        <w:ind w:firstLine="0"/>
        <w:jc w:val="both"/>
        <w:rPr>
          <w:rFonts w:hint="eastAsia" w:ascii="宋体" w:hAnsi="宋体" w:eastAsia="宋体"/>
          <w:color w:val="000000"/>
          <w:sz w:val="21"/>
        </w:rPr>
      </w:pPr>
    </w:p>
    <w:p>
      <w:pPr>
        <w:wordWrap w:val="0"/>
        <w:spacing w:before="0" w:after="0" w:line="290" w:lineRule="auto"/>
        <w:ind w:left="40" w:right="180" w:firstLine="680"/>
        <w:jc w:val="both"/>
        <w:rPr>
          <w:sz w:val="32"/>
        </w:rPr>
      </w:pPr>
      <w:r>
        <w:rPr>
          <w:rFonts w:hint="eastAsia" w:ascii="宋体" w:hAnsi="宋体" w:eastAsia="宋体"/>
          <w:b/>
          <w:color w:val="000000"/>
          <w:sz w:val="32"/>
        </w:rPr>
        <w:t>第四十一条</w:t>
      </w:r>
      <w:r>
        <w:rPr>
          <w:rFonts w:hint="eastAsia" w:ascii="宋体" w:hAnsi="宋体" w:eastAsia="宋体"/>
          <w:color w:val="000000"/>
          <w:sz w:val="32"/>
        </w:rPr>
        <w:t xml:space="preserve"> 第三方平台开展药品网络交易服务，应当按照《国家药监局关于规范药品网络销售备案和报告工作的公告》（</w:t>
      </w:r>
      <w:r>
        <w:rPr>
          <w:rFonts w:hint="eastAsia" w:ascii="Calibri" w:hAnsi="Calibri" w:eastAsia="Calibri"/>
          <w:color w:val="000000"/>
          <w:sz w:val="32"/>
        </w:rPr>
        <w:t>2022</w:t>
      </w:r>
      <w:r>
        <w:rPr>
          <w:rFonts w:hint="eastAsia" w:ascii="宋体" w:hAnsi="宋体" w:eastAsia="宋体"/>
          <w:color w:val="000000"/>
          <w:sz w:val="32"/>
        </w:rPr>
        <w:t>年第</w:t>
      </w:r>
      <w:r>
        <w:rPr>
          <w:rFonts w:hint="eastAsia" w:ascii="Calibri" w:hAnsi="Calibri" w:eastAsia="Calibri"/>
          <w:color w:val="000000"/>
          <w:sz w:val="32"/>
        </w:rPr>
        <w:t>112</w:t>
      </w:r>
      <w:r>
        <w:rPr>
          <w:rFonts w:hint="eastAsia" w:ascii="宋体" w:hAnsi="宋体" w:eastAsia="宋体"/>
          <w:color w:val="000000"/>
          <w:sz w:val="32"/>
        </w:rPr>
        <w:t>号）相关要求，如实填写《药品网络交易第三方平台备案表》，并提交相关材料，向省药监局进行备案，材料符合要求的予以备案。</w:t>
      </w:r>
    </w:p>
    <w:p>
      <w:pPr>
        <w:wordWrap w:val="0"/>
        <w:spacing w:before="0" w:after="0" w:line="240" w:lineRule="auto"/>
        <w:ind w:firstLine="0"/>
        <w:jc w:val="both"/>
        <w:rPr>
          <w:rFonts w:hint="eastAsia" w:ascii="宋体" w:hAnsi="宋体" w:eastAsia="宋体"/>
          <w:color w:val="000000"/>
          <w:sz w:val="21"/>
        </w:rPr>
      </w:pPr>
    </w:p>
    <w:p>
      <w:pPr>
        <w:wordWrap w:val="0"/>
        <w:spacing w:before="0" w:after="0" w:line="290" w:lineRule="auto"/>
        <w:ind w:left="40" w:right="180" w:firstLine="680"/>
        <w:jc w:val="both"/>
        <w:rPr>
          <w:sz w:val="32"/>
        </w:rPr>
      </w:pPr>
      <w:r>
        <w:rPr>
          <w:rFonts w:hint="eastAsia" w:ascii="宋体" w:hAnsi="宋体" w:eastAsia="宋体"/>
          <w:b/>
          <w:color w:val="000000"/>
          <w:sz w:val="32"/>
        </w:rPr>
        <w:t>第四十二条</w:t>
      </w:r>
      <w:r>
        <w:rPr>
          <w:rFonts w:hint="eastAsia" w:ascii="宋体" w:hAnsi="宋体" w:eastAsia="宋体"/>
          <w:color w:val="000000"/>
          <w:sz w:val="32"/>
        </w:rPr>
        <w:t xml:space="preserve"> 第三方平台公示备案信息发生变化的，应当在相关信息变化之日起</w:t>
      </w:r>
      <w:r>
        <w:rPr>
          <w:rFonts w:hint="eastAsia" w:ascii="Calibri" w:hAnsi="Calibri" w:eastAsia="Calibri"/>
          <w:color w:val="000000"/>
          <w:sz w:val="32"/>
        </w:rPr>
        <w:t>10</w:t>
      </w:r>
      <w:r>
        <w:rPr>
          <w:rFonts w:hint="eastAsia" w:ascii="宋体" w:hAnsi="宋体" w:eastAsia="宋体"/>
          <w:color w:val="000000"/>
          <w:sz w:val="32"/>
        </w:rPr>
        <w:t>个工作日内办理变更备案，填写《国家药监局关于规范药品网络销售备案和报告工作的公告》（</w:t>
      </w:r>
      <w:r>
        <w:rPr>
          <w:rFonts w:hint="eastAsia" w:ascii="Calibri" w:hAnsi="Calibri" w:eastAsia="Calibri"/>
          <w:color w:val="000000"/>
          <w:sz w:val="32"/>
        </w:rPr>
        <w:t>2022</w:t>
      </w:r>
      <w:r>
        <w:rPr>
          <w:rFonts w:hint="eastAsia" w:ascii="宋体" w:hAnsi="宋体" w:eastAsia="宋体"/>
          <w:color w:val="000000"/>
          <w:sz w:val="32"/>
        </w:rPr>
        <w:t>年第</w:t>
      </w:r>
      <w:r>
        <w:rPr>
          <w:rFonts w:hint="eastAsia" w:ascii="Calibri" w:hAnsi="Calibri" w:eastAsia="Calibri"/>
          <w:color w:val="000000"/>
          <w:sz w:val="32"/>
        </w:rPr>
        <w:t>112</w:t>
      </w:r>
      <w:r>
        <w:rPr>
          <w:rFonts w:hint="eastAsia" w:ascii="宋体" w:hAnsi="宋体" w:eastAsia="宋体"/>
          <w:color w:val="000000"/>
          <w:sz w:val="32"/>
        </w:rPr>
        <w:t>号）附件</w:t>
      </w:r>
      <w:r>
        <w:rPr>
          <w:rFonts w:hint="eastAsia" w:ascii="Calibri" w:hAnsi="Calibri" w:eastAsia="Calibri"/>
          <w:color w:val="000000"/>
          <w:sz w:val="32"/>
        </w:rPr>
        <w:t>3</w:t>
      </w:r>
      <w:r>
        <w:rPr>
          <w:rFonts w:hint="eastAsia" w:ascii="宋体" w:hAnsi="宋体" w:eastAsia="宋体"/>
          <w:color w:val="000000"/>
          <w:sz w:val="32"/>
        </w:rPr>
        <w:t>《药品网络交易第三方平台备案变更表》，变更备案信息；其他备案信息发生变化的，应及时进行更新。</w:t>
      </w:r>
    </w:p>
    <w:p>
      <w:pPr>
        <w:wordWrap w:val="0"/>
        <w:spacing w:before="134" w:after="0" w:line="290" w:lineRule="auto"/>
        <w:ind w:left="40" w:right="180" w:firstLine="680"/>
        <w:jc w:val="both"/>
        <w:rPr>
          <w:sz w:val="32"/>
        </w:rPr>
      </w:pPr>
      <w:r>
        <w:rPr>
          <w:rFonts w:hint="eastAsia" w:ascii="宋体" w:hAnsi="宋体" w:eastAsia="宋体"/>
          <w:b/>
          <w:color w:val="000000"/>
          <w:sz w:val="32"/>
        </w:rPr>
        <w:t>第四十三条</w:t>
      </w:r>
      <w:r>
        <w:rPr>
          <w:rFonts w:hint="eastAsia" w:ascii="宋体" w:hAnsi="宋体" w:eastAsia="宋体"/>
          <w:color w:val="000000"/>
          <w:sz w:val="32"/>
        </w:rPr>
        <w:t xml:space="preserve"> 第三方平台不再开展相关业务的，应当提前</w:t>
      </w:r>
      <w:r>
        <w:rPr>
          <w:rFonts w:hint="eastAsia" w:ascii="Calibri" w:hAnsi="Calibri" w:eastAsia="Calibri"/>
          <w:color w:val="000000"/>
          <w:sz w:val="32"/>
        </w:rPr>
        <w:t>20</w:t>
      </w:r>
      <w:r>
        <w:rPr>
          <w:rFonts w:hint="eastAsia" w:ascii="宋体" w:hAnsi="宋体" w:eastAsia="宋体"/>
          <w:color w:val="000000"/>
          <w:sz w:val="32"/>
        </w:rPr>
        <w:t>个工作日在网站首页显著位置持续公示有关信息，主动向省药监局办理取消备案。取消备案的材料需加盖单位公章，内容应当包括拟取消的备案信息、未取得备案前不再开展药品网络交易第三方平台服务的承诺声明等。</w:t>
      </w:r>
    </w:p>
    <w:p>
      <w:pPr>
        <w:wordWrap w:val="0"/>
        <w:spacing w:before="142" w:after="0" w:line="290" w:lineRule="auto"/>
        <w:ind w:left="40" w:right="180" w:firstLine="680"/>
        <w:jc w:val="both"/>
        <w:rPr>
          <w:sz w:val="32"/>
        </w:rPr>
        <w:sectPr>
          <w:headerReference r:id="rId13" w:type="default"/>
          <w:footerReference r:id="rId14" w:type="default"/>
          <w:type w:val="continuous"/>
          <w:pgSz w:w="11900" w:h="16840"/>
          <w:pgMar w:top="2160" w:right="1440" w:bottom="2400" w:left="1440" w:header="1080" w:footer="1200" w:gutter="0"/>
          <w:cols w:space="720" w:num="1"/>
        </w:sectPr>
      </w:pPr>
      <w:r>
        <w:rPr>
          <w:rFonts w:hint="eastAsia" w:ascii="宋体" w:hAnsi="宋体" w:eastAsia="宋体"/>
          <w:b/>
          <w:color w:val="000000"/>
          <w:sz w:val="32"/>
        </w:rPr>
        <w:t>第四十四条</w:t>
      </w:r>
      <w:r>
        <w:rPr>
          <w:rFonts w:hint="eastAsia" w:ascii="宋体" w:hAnsi="宋体" w:eastAsia="宋体"/>
          <w:color w:val="000000"/>
          <w:sz w:val="32"/>
        </w:rPr>
        <w:t xml:space="preserve"> 第三方平台应当配合药品监管部门开展监督检查、案件查办、事件处置等工作，依照有关要求及时提供平台内销售者、销售记录、药学服务以及追溯等信息，鼓励第三方平台与药品监督管理部门进行数据对接，实现企业与监管平台数据互联互通、信息共享、在线监控。</w:t>
      </w:r>
    </w:p>
    <w:p>
      <w:pPr>
        <w:wordWrap w:val="0"/>
        <w:spacing w:before="0" w:after="0" w:line="191" w:lineRule="auto"/>
        <w:ind w:firstLine="3080"/>
        <w:jc w:val="both"/>
        <w:rPr>
          <w:sz w:val="32"/>
        </w:rPr>
      </w:pPr>
      <w:r>
        <w:rPr>
          <w:rFonts w:hint="eastAsia" w:ascii="宋体" w:hAnsi="宋体" w:eastAsia="宋体"/>
          <w:b/>
          <w:color w:val="000000"/>
          <w:sz w:val="32"/>
        </w:rPr>
        <w:t>第四章 监督管理</w:t>
      </w:r>
    </w:p>
    <w:p>
      <w:pPr>
        <w:wordWrap w:val="0"/>
        <w:spacing w:before="0" w:after="0" w:line="314" w:lineRule="auto"/>
        <w:ind w:left="40" w:right="280" w:firstLine="680"/>
        <w:jc w:val="both"/>
        <w:rPr>
          <w:sz w:val="32"/>
        </w:rPr>
      </w:pPr>
      <w:r>
        <w:rPr>
          <w:rFonts w:hint="eastAsia" w:ascii="宋体" w:hAnsi="宋体" w:eastAsia="宋体"/>
          <w:b/>
          <w:color w:val="000000"/>
          <w:sz w:val="32"/>
        </w:rPr>
        <w:t>第四十五条</w:t>
      </w:r>
      <w:r>
        <w:rPr>
          <w:rFonts w:hint="eastAsia" w:ascii="宋体" w:hAnsi="宋体" w:eastAsia="宋体"/>
          <w:color w:val="000000"/>
          <w:sz w:val="32"/>
        </w:rPr>
        <w:t xml:space="preserve"> 各级药品监督管理部门依照法律、法规、规章的规定，依职权对本行政区域内药品网络销售企业和第三方平台实施监督检查。</w:t>
      </w:r>
    </w:p>
    <w:p>
      <w:pPr>
        <w:wordWrap w:val="0"/>
        <w:spacing w:before="0" w:after="0" w:line="314" w:lineRule="auto"/>
        <w:ind w:left="40" w:right="280" w:firstLine="680"/>
        <w:jc w:val="both"/>
        <w:rPr>
          <w:sz w:val="32"/>
        </w:rPr>
      </w:pPr>
      <w:r>
        <w:rPr>
          <w:rFonts w:hint="eastAsia" w:ascii="宋体" w:hAnsi="宋体" w:eastAsia="宋体"/>
          <w:b/>
          <w:color w:val="000000"/>
          <w:sz w:val="32"/>
        </w:rPr>
        <w:t>第四十六条</w:t>
      </w:r>
      <w:r>
        <w:rPr>
          <w:rFonts w:hint="eastAsia" w:ascii="宋体" w:hAnsi="宋体" w:eastAsia="宋体"/>
          <w:color w:val="000000"/>
          <w:sz w:val="32"/>
        </w:rPr>
        <w:t xml:space="preserve"> 有下列情形之一的，各级药品监督管理部门应当依职权实施重点监管：</w:t>
      </w:r>
    </w:p>
    <w:p>
      <w:pPr>
        <w:wordWrap w:val="0"/>
        <w:spacing w:before="0" w:after="0" w:line="240" w:lineRule="auto"/>
        <w:ind w:firstLine="0"/>
        <w:jc w:val="both"/>
        <w:rPr>
          <w:rFonts w:hint="eastAsia" w:ascii="宋体" w:hAnsi="宋体" w:eastAsia="宋体"/>
          <w:color w:val="000000"/>
          <w:sz w:val="21"/>
        </w:rPr>
      </w:pPr>
    </w:p>
    <w:p>
      <w:pPr>
        <w:wordWrap w:val="0"/>
        <w:spacing w:before="0" w:after="0" w:line="191" w:lineRule="auto"/>
        <w:ind w:firstLine="720"/>
        <w:jc w:val="both"/>
        <w:rPr>
          <w:sz w:val="32"/>
        </w:rPr>
      </w:pPr>
      <w:r>
        <w:rPr>
          <w:rFonts w:hint="eastAsia" w:ascii="宋体" w:hAnsi="宋体" w:eastAsia="宋体"/>
          <w:color w:val="000000"/>
          <w:sz w:val="32"/>
        </w:rPr>
        <w:t>（一）新开办的第三方平台；</w:t>
      </w:r>
    </w:p>
    <w:p>
      <w:pPr>
        <w:wordWrap w:val="0"/>
        <w:spacing w:before="0" w:after="0" w:line="314" w:lineRule="auto"/>
        <w:ind w:left="40" w:right="280" w:firstLine="800"/>
        <w:jc w:val="both"/>
        <w:rPr>
          <w:sz w:val="32"/>
        </w:rPr>
      </w:pPr>
      <w:r>
        <w:rPr>
          <w:rFonts w:hint="eastAsia" w:ascii="宋体" w:hAnsi="宋体" w:eastAsia="宋体"/>
          <w:color w:val="000000"/>
          <w:sz w:val="32"/>
        </w:rPr>
        <w:t>（二）网络监测、群众信访、投诉举报、舆情信息、网络抽检等提示可能存在风险的；</w:t>
      </w:r>
    </w:p>
    <w:p>
      <w:pPr>
        <w:wordWrap w:val="0"/>
        <w:spacing w:before="0" w:after="0" w:line="239" w:lineRule="auto"/>
        <w:ind w:firstLine="720"/>
        <w:jc w:val="both"/>
        <w:rPr>
          <w:sz w:val="32"/>
        </w:rPr>
      </w:pPr>
      <w:r>
        <w:rPr>
          <w:rFonts w:hint="eastAsia" w:ascii="宋体" w:hAnsi="宋体" w:eastAsia="宋体"/>
          <w:color w:val="000000"/>
          <w:sz w:val="32"/>
        </w:rPr>
        <w:t>（三）未能及时识别、发现、制止、报告相关风险的；</w:t>
      </w:r>
    </w:p>
    <w:p>
      <w:pPr>
        <w:wordWrap w:val="0"/>
        <w:spacing w:before="125" w:after="0" w:line="239" w:lineRule="auto"/>
        <w:ind w:firstLine="840"/>
        <w:jc w:val="both"/>
        <w:rPr>
          <w:sz w:val="32"/>
        </w:rPr>
      </w:pPr>
      <w:r>
        <w:rPr>
          <w:rFonts w:hint="eastAsia" w:ascii="宋体" w:hAnsi="宋体" w:eastAsia="宋体"/>
          <w:color w:val="000000"/>
          <w:sz w:val="32"/>
        </w:rPr>
        <w:t>（四）既往多次检查不符合要求的；</w:t>
      </w:r>
    </w:p>
    <w:p>
      <w:pPr>
        <w:wordWrap w:val="0"/>
        <w:spacing w:before="0" w:after="0" w:line="314" w:lineRule="auto"/>
        <w:ind w:left="40" w:right="280" w:firstLine="800"/>
        <w:jc w:val="both"/>
        <w:rPr>
          <w:sz w:val="32"/>
        </w:rPr>
      </w:pPr>
      <w:r>
        <w:rPr>
          <w:rFonts w:hint="eastAsia" w:ascii="宋体" w:hAnsi="宋体" w:eastAsia="宋体"/>
          <w:color w:val="000000"/>
          <w:sz w:val="32"/>
        </w:rPr>
        <w:t>（五）质量管理体系发生重大调整或关键岗位负责人频繁变更的；</w:t>
      </w:r>
    </w:p>
    <w:p>
      <w:pPr>
        <w:wordWrap w:val="0"/>
        <w:spacing w:before="0" w:after="0" w:line="314" w:lineRule="auto"/>
        <w:ind w:left="40" w:right="280" w:firstLine="800"/>
        <w:jc w:val="both"/>
        <w:rPr>
          <w:sz w:val="32"/>
        </w:rPr>
      </w:pPr>
      <w:r>
        <w:rPr>
          <w:rFonts w:hint="eastAsia" w:ascii="宋体" w:hAnsi="宋体" w:eastAsia="宋体"/>
          <w:color w:val="000000"/>
          <w:sz w:val="32"/>
        </w:rPr>
        <w:t>（六）药品监督管理部门认为需要实施重点监管的其他情形。</w:t>
      </w:r>
    </w:p>
    <w:p>
      <w:pPr>
        <w:wordWrap w:val="0"/>
        <w:spacing w:before="0" w:after="0" w:line="240" w:lineRule="auto"/>
        <w:ind w:firstLine="0"/>
        <w:jc w:val="both"/>
        <w:rPr>
          <w:rFonts w:hint="eastAsia" w:ascii="宋体" w:hAnsi="宋体" w:eastAsia="宋体"/>
          <w:color w:val="000000"/>
          <w:sz w:val="21"/>
        </w:rPr>
      </w:pPr>
    </w:p>
    <w:p>
      <w:pPr>
        <w:wordWrap w:val="0"/>
        <w:spacing w:before="0" w:after="0" w:line="314" w:lineRule="auto"/>
        <w:ind w:left="40" w:right="280" w:firstLine="680"/>
        <w:jc w:val="both"/>
        <w:rPr>
          <w:sz w:val="32"/>
        </w:rPr>
      </w:pPr>
      <w:r>
        <w:rPr>
          <w:rFonts w:hint="eastAsia" w:ascii="宋体" w:hAnsi="宋体" w:eastAsia="宋体"/>
          <w:b/>
          <w:color w:val="000000"/>
          <w:sz w:val="32"/>
        </w:rPr>
        <w:t>第四十七条</w:t>
      </w:r>
      <w:r>
        <w:rPr>
          <w:rFonts w:hint="eastAsia" w:ascii="宋体" w:hAnsi="宋体" w:eastAsia="宋体"/>
          <w:color w:val="000000"/>
          <w:sz w:val="32"/>
        </w:rPr>
        <w:t xml:space="preserve"> 省药监局应当在第三方平台备案后</w:t>
      </w:r>
      <w:r>
        <w:rPr>
          <w:rFonts w:hint="eastAsia" w:ascii="Calibri" w:hAnsi="Calibri" w:eastAsia="Calibri"/>
          <w:color w:val="000000"/>
          <w:sz w:val="32"/>
        </w:rPr>
        <w:t>3</w:t>
      </w:r>
      <w:r>
        <w:rPr>
          <w:rFonts w:hint="eastAsia" w:ascii="宋体" w:hAnsi="宋体" w:eastAsia="宋体"/>
          <w:color w:val="000000"/>
          <w:sz w:val="32"/>
        </w:rPr>
        <w:t>个月内组织开展现场检查，并确保每年至少开展</w:t>
      </w:r>
      <w:r>
        <w:rPr>
          <w:rFonts w:hint="eastAsia" w:ascii="Calibri" w:hAnsi="Calibri" w:eastAsia="Calibri"/>
          <w:color w:val="000000"/>
          <w:sz w:val="32"/>
        </w:rPr>
        <w:t>1</w:t>
      </w:r>
      <w:r>
        <w:rPr>
          <w:rFonts w:hint="eastAsia" w:ascii="宋体" w:hAnsi="宋体" w:eastAsia="宋体"/>
          <w:color w:val="000000"/>
          <w:sz w:val="32"/>
        </w:rPr>
        <w:t>次监督检查。</w:t>
      </w:r>
    </w:p>
    <w:p>
      <w:pPr>
        <w:wordWrap w:val="0"/>
        <w:spacing w:before="0" w:after="0" w:line="314" w:lineRule="auto"/>
        <w:ind w:left="40" w:right="280" w:firstLine="680"/>
        <w:jc w:val="both"/>
        <w:rPr>
          <w:sz w:val="32"/>
        </w:rPr>
      </w:pPr>
      <w:r>
        <w:rPr>
          <w:rFonts w:hint="eastAsia" w:ascii="宋体" w:hAnsi="宋体" w:eastAsia="宋体"/>
          <w:color w:val="000000"/>
          <w:sz w:val="32"/>
        </w:rPr>
        <w:t>第三方平台的实际情况与备案信息不符且无法取得联系的，经省药监局公示</w:t>
      </w:r>
      <w:r>
        <w:rPr>
          <w:rFonts w:hint="eastAsia" w:ascii="Calibri" w:hAnsi="Calibri" w:eastAsia="Calibri"/>
          <w:color w:val="000000"/>
          <w:sz w:val="32"/>
        </w:rPr>
        <w:t>10</w:t>
      </w:r>
      <w:r>
        <w:rPr>
          <w:rFonts w:hint="eastAsia" w:ascii="宋体" w:hAnsi="宋体" w:eastAsia="宋体"/>
          <w:color w:val="000000"/>
          <w:sz w:val="32"/>
        </w:rPr>
        <w:t>个工作日后，仍无法取得联系或无法开展现场检查的，予以取消备案。</w:t>
      </w:r>
    </w:p>
    <w:p>
      <w:pPr>
        <w:wordWrap w:val="0"/>
        <w:spacing w:before="159" w:after="0" w:line="239" w:lineRule="auto"/>
        <w:ind w:firstLine="720"/>
        <w:jc w:val="both"/>
        <w:rPr>
          <w:sz w:val="32"/>
        </w:rPr>
        <w:sectPr>
          <w:headerReference r:id="rId15" w:type="default"/>
          <w:footerReference r:id="rId16" w:type="default"/>
          <w:type w:val="continuous"/>
          <w:pgSz w:w="11901" w:h="16841"/>
          <w:pgMar w:top="2880" w:right="1440" w:bottom="2400" w:left="1440" w:header="1440" w:footer="1200" w:gutter="0"/>
          <w:cols w:space="720" w:num="1"/>
        </w:sectPr>
      </w:pPr>
      <w:r>
        <w:rPr>
          <w:rFonts w:hint="eastAsia" w:ascii="宋体" w:hAnsi="宋体" w:eastAsia="宋体"/>
          <w:color w:val="000000"/>
          <w:sz w:val="32"/>
        </w:rPr>
        <w:t>省药监局发现企业备案提供虚假材料或者在日常监管中发</w:t>
      </w:r>
    </w:p>
    <w:p>
      <w:pPr>
        <w:wordWrap w:val="0"/>
        <w:spacing w:before="0" w:after="0" w:line="261" w:lineRule="auto"/>
        <w:ind w:left="100" w:right="220" w:hanging="60"/>
        <w:jc w:val="both"/>
        <w:rPr>
          <w:sz w:val="32"/>
        </w:rPr>
      </w:pPr>
      <w:r>
        <w:rPr>
          <w:rFonts w:hint="eastAsia" w:ascii="宋体" w:hAnsi="宋体" w:eastAsia="宋体"/>
          <w:color w:val="000000"/>
          <w:sz w:val="32"/>
        </w:rPr>
        <w:t>现存在违法违规行为的，应当依法处理。情形严重的，应当向社会公示，并及时向通信主管部门通报。</w:t>
      </w:r>
    </w:p>
    <w:p>
      <w:pPr>
        <w:wordWrap w:val="0"/>
        <w:spacing w:before="0" w:after="0" w:line="240" w:lineRule="auto"/>
        <w:ind w:firstLine="0"/>
        <w:jc w:val="both"/>
        <w:rPr>
          <w:rFonts w:hint="eastAsia" w:ascii="宋体" w:hAnsi="宋体" w:eastAsia="宋体"/>
          <w:color w:val="000000"/>
          <w:sz w:val="21"/>
        </w:rPr>
      </w:pPr>
    </w:p>
    <w:p>
      <w:pPr>
        <w:wordWrap w:val="0"/>
        <w:spacing w:before="0" w:after="0" w:line="261" w:lineRule="auto"/>
        <w:ind w:left="40" w:right="220" w:firstLine="660"/>
        <w:jc w:val="both"/>
        <w:rPr>
          <w:sz w:val="32"/>
        </w:rPr>
      </w:pPr>
      <w:r>
        <w:rPr>
          <w:rFonts w:hint="eastAsia" w:ascii="宋体" w:hAnsi="宋体" w:eastAsia="宋体"/>
          <w:b/>
          <w:color w:val="000000"/>
          <w:sz w:val="32"/>
        </w:rPr>
        <w:t>第四十八条</w:t>
      </w:r>
      <w:r>
        <w:rPr>
          <w:rFonts w:hint="eastAsia" w:ascii="宋体" w:hAnsi="宋体" w:eastAsia="宋体"/>
          <w:color w:val="000000"/>
          <w:sz w:val="32"/>
        </w:rPr>
        <w:t xml:space="preserve"> 各级药品监督管理部门应当加强药品网络销售监测和处置工作。</w:t>
      </w:r>
    </w:p>
    <w:p>
      <w:pPr>
        <w:wordWrap w:val="0"/>
        <w:spacing w:before="0" w:after="0" w:line="240" w:lineRule="auto"/>
        <w:ind w:firstLine="0"/>
        <w:jc w:val="both"/>
        <w:rPr>
          <w:rFonts w:hint="eastAsia" w:ascii="宋体" w:hAnsi="宋体" w:eastAsia="宋体"/>
          <w:color w:val="000000"/>
          <w:sz w:val="21"/>
        </w:rPr>
      </w:pPr>
    </w:p>
    <w:p>
      <w:pPr>
        <w:wordWrap w:val="0"/>
        <w:spacing w:before="0" w:after="0" w:line="261" w:lineRule="auto"/>
        <w:ind w:left="40" w:right="220" w:firstLine="660"/>
        <w:jc w:val="both"/>
        <w:rPr>
          <w:sz w:val="32"/>
        </w:rPr>
      </w:pPr>
      <w:r>
        <w:rPr>
          <w:rFonts w:hint="eastAsia" w:ascii="宋体" w:hAnsi="宋体" w:eastAsia="宋体"/>
          <w:color w:val="000000"/>
          <w:sz w:val="32"/>
        </w:rPr>
        <w:t>通过国家药品网络销售监测平台交办的线索，各级药品监督管理部门应当自线索接收之日起</w:t>
      </w:r>
      <w:r>
        <w:rPr>
          <w:rFonts w:hint="eastAsia" w:ascii="Calibri" w:hAnsi="Calibri" w:eastAsia="Calibri"/>
          <w:color w:val="000000"/>
          <w:sz w:val="32"/>
        </w:rPr>
        <w:t>15</w:t>
      </w:r>
      <w:r>
        <w:rPr>
          <w:rFonts w:hint="eastAsia" w:ascii="宋体" w:hAnsi="宋体" w:eastAsia="宋体"/>
          <w:color w:val="000000"/>
          <w:sz w:val="32"/>
        </w:rPr>
        <w:t>个工作日内启动核查，</w:t>
      </w:r>
      <w:r>
        <w:rPr>
          <w:rFonts w:hint="eastAsia" w:ascii="Calibri" w:hAnsi="Calibri" w:eastAsia="Calibri"/>
          <w:color w:val="000000"/>
          <w:sz w:val="32"/>
        </w:rPr>
        <w:t>40</w:t>
      </w:r>
      <w:r>
        <w:rPr>
          <w:rFonts w:hint="eastAsia" w:ascii="宋体" w:hAnsi="宋体" w:eastAsia="宋体"/>
          <w:color w:val="000000"/>
          <w:sz w:val="32"/>
        </w:rPr>
        <w:t>个工作日内通过国家药品网络销售监测平台反馈处置进度或者结果。因情形复杂确需延长核查处置期限的，可在期限届满前通过平台反馈处置进度，并申请延期。通过平台提交处置结果和相关证明材料时，需上传相关证明材料。</w:t>
      </w:r>
    </w:p>
    <w:p>
      <w:pPr>
        <w:wordWrap w:val="0"/>
        <w:spacing w:before="0" w:after="0" w:line="240" w:lineRule="auto"/>
        <w:ind w:firstLine="0"/>
        <w:jc w:val="both"/>
        <w:rPr>
          <w:rFonts w:hint="eastAsia" w:ascii="宋体" w:hAnsi="宋体" w:eastAsia="宋体"/>
          <w:color w:val="000000"/>
          <w:sz w:val="21"/>
        </w:rPr>
      </w:pPr>
    </w:p>
    <w:p>
      <w:pPr>
        <w:wordWrap w:val="0"/>
        <w:spacing w:before="0" w:after="0" w:line="261" w:lineRule="auto"/>
        <w:ind w:left="40" w:right="220" w:firstLine="660"/>
        <w:jc w:val="both"/>
        <w:rPr>
          <w:sz w:val="32"/>
        </w:rPr>
      </w:pPr>
      <w:r>
        <w:rPr>
          <w:rFonts w:hint="eastAsia" w:ascii="宋体" w:hAnsi="宋体" w:eastAsia="宋体"/>
          <w:color w:val="000000"/>
          <w:sz w:val="32"/>
        </w:rPr>
        <w:t>各级药品监督管理部门应结合本地实际自主开展药品网络销售监测工作，充分利用信息化手段，排查辖区内药品网络销售企业违法违规行为。</w:t>
      </w:r>
    </w:p>
    <w:p>
      <w:pPr>
        <w:wordWrap w:val="0"/>
        <w:spacing w:before="0" w:after="0" w:line="261" w:lineRule="auto"/>
        <w:ind w:left="40" w:right="220" w:firstLine="660"/>
        <w:jc w:val="both"/>
        <w:rPr>
          <w:sz w:val="32"/>
        </w:rPr>
      </w:pPr>
      <w:r>
        <w:rPr>
          <w:rFonts w:hint="eastAsia" w:ascii="宋体" w:hAnsi="宋体" w:eastAsia="宋体"/>
          <w:b/>
          <w:color w:val="000000"/>
          <w:sz w:val="32"/>
        </w:rPr>
        <w:t>第四十九条</w:t>
      </w:r>
      <w:r>
        <w:rPr>
          <w:rFonts w:hint="eastAsia" w:ascii="宋体" w:hAnsi="宋体" w:eastAsia="宋体"/>
          <w:color w:val="000000"/>
          <w:sz w:val="32"/>
        </w:rPr>
        <w:t xml:space="preserve"> 对有证据证明可能存在安全隐患的，药品监督管理部门根据监督检查情况，应当采取告诫、约谈、限期整改以及暂停生产、销售、进口等措施，并及时公布检查处理结果。</w:t>
      </w:r>
    </w:p>
    <w:p>
      <w:pPr>
        <w:wordWrap w:val="0"/>
        <w:spacing w:before="0" w:after="0" w:line="240" w:lineRule="auto"/>
        <w:ind w:firstLine="0"/>
        <w:jc w:val="both"/>
        <w:rPr>
          <w:rFonts w:hint="eastAsia" w:ascii="宋体" w:hAnsi="宋体" w:eastAsia="宋体"/>
          <w:color w:val="000000"/>
          <w:sz w:val="21"/>
        </w:rPr>
      </w:pPr>
    </w:p>
    <w:p>
      <w:pPr>
        <w:wordWrap w:val="0"/>
        <w:spacing w:before="0" w:after="0" w:line="261" w:lineRule="auto"/>
        <w:ind w:left="40" w:right="220" w:firstLine="660"/>
        <w:jc w:val="both"/>
        <w:rPr>
          <w:sz w:val="32"/>
        </w:rPr>
      </w:pPr>
      <w:r>
        <w:rPr>
          <w:rFonts w:hint="eastAsia" w:ascii="宋体" w:hAnsi="宋体" w:eastAsia="宋体"/>
          <w:b/>
          <w:color w:val="000000"/>
          <w:sz w:val="32"/>
        </w:rPr>
        <w:t>第五十条</w:t>
      </w:r>
      <w:r>
        <w:rPr>
          <w:rFonts w:hint="eastAsia" w:ascii="宋体" w:hAnsi="宋体" w:eastAsia="宋体"/>
          <w:color w:val="000000"/>
          <w:sz w:val="32"/>
        </w:rPr>
        <w:t xml:space="preserve"> 各级药品监督管理部门在监督检查中发现有违反《中华人民共和国药品管理法》及其实施条例、《药品经营和使用质量监督管理办法》《药品网络销售监督管理办法》等法律法规的，应当依法依规处理。</w:t>
      </w:r>
    </w:p>
    <w:p>
      <w:pPr>
        <w:wordWrap w:val="0"/>
        <w:spacing w:before="0" w:after="0" w:line="261" w:lineRule="auto"/>
        <w:ind w:left="40" w:right="220" w:firstLine="660"/>
        <w:jc w:val="both"/>
        <w:rPr>
          <w:sz w:val="32"/>
        </w:rPr>
        <w:sectPr>
          <w:headerReference r:id="rId17" w:type="default"/>
          <w:footerReference r:id="rId18" w:type="default"/>
          <w:type w:val="continuous"/>
          <w:pgSz w:w="11900" w:h="16840"/>
          <w:pgMar w:top="2160" w:right="1440" w:bottom="2400" w:left="1440" w:header="1080" w:footer="1200" w:gutter="0"/>
          <w:cols w:space="720" w:num="1"/>
        </w:sectPr>
      </w:pPr>
      <w:r>
        <w:rPr>
          <w:rFonts w:hint="eastAsia" w:ascii="宋体" w:hAnsi="宋体" w:eastAsia="宋体"/>
          <w:b/>
          <w:color w:val="000000"/>
          <w:sz w:val="32"/>
        </w:rPr>
        <w:t>第五十一条</w:t>
      </w:r>
      <w:r>
        <w:rPr>
          <w:rFonts w:hint="eastAsia" w:ascii="宋体" w:hAnsi="宋体" w:eastAsia="宋体"/>
          <w:color w:val="000000"/>
          <w:sz w:val="32"/>
        </w:rPr>
        <w:t xml:space="preserve"> 各级药品监督管理部门应当对药品网络销售企业或者第三方平台提供的个人信息和商业秘密严格保密，不得</w:t>
      </w:r>
    </w:p>
    <w:p>
      <w:pPr>
        <w:wordWrap w:val="0"/>
        <w:spacing w:before="0" w:after="0" w:line="201" w:lineRule="auto"/>
        <w:ind w:firstLine="40"/>
        <w:jc w:val="both"/>
        <w:rPr>
          <w:sz w:val="33"/>
        </w:rPr>
      </w:pPr>
      <w:r>
        <w:rPr>
          <w:rFonts w:hint="eastAsia" w:ascii="宋体" w:hAnsi="宋体" w:eastAsia="宋体"/>
          <w:color w:val="000000"/>
          <w:sz w:val="33"/>
        </w:rPr>
        <w:t>泄露、出售或者非法向他人提供。</w:t>
      </w:r>
    </w:p>
    <w:p>
      <w:pPr>
        <w:wordWrap w:val="0"/>
        <w:spacing w:before="31" w:after="0" w:line="275" w:lineRule="auto"/>
        <w:ind w:left="40" w:right="200" w:firstLine="660"/>
        <w:jc w:val="both"/>
        <w:rPr>
          <w:sz w:val="33"/>
        </w:rPr>
      </w:pPr>
      <w:r>
        <w:rPr>
          <w:rFonts w:hint="eastAsia" w:ascii="宋体" w:hAnsi="宋体" w:eastAsia="宋体"/>
          <w:b/>
          <w:color w:val="000000"/>
          <w:sz w:val="33"/>
        </w:rPr>
        <w:t>第五十二条</w:t>
      </w:r>
      <w:r>
        <w:rPr>
          <w:rFonts w:hint="eastAsia" w:ascii="宋体" w:hAnsi="宋体" w:eastAsia="宋体"/>
          <w:color w:val="000000"/>
          <w:sz w:val="33"/>
        </w:rPr>
        <w:t xml:space="preserve"> 各级药品监督管理部门应当加强与公安、卫健、工信等部门的协作，建立健全联合执法、协助调查、案件移送、信息通报等工作机制。</w:t>
      </w:r>
    </w:p>
    <w:p>
      <w:pPr>
        <w:wordWrap w:val="0"/>
        <w:spacing w:before="0" w:after="0" w:line="240" w:lineRule="auto"/>
        <w:ind w:firstLine="0"/>
        <w:jc w:val="both"/>
        <w:rPr>
          <w:rFonts w:hint="eastAsia" w:ascii="宋体" w:hAnsi="宋体" w:eastAsia="宋体"/>
          <w:color w:val="000000"/>
          <w:sz w:val="21"/>
        </w:rPr>
      </w:pPr>
    </w:p>
    <w:p>
      <w:pPr>
        <w:wordWrap w:val="0"/>
        <w:spacing w:before="0" w:after="0" w:line="240" w:lineRule="auto"/>
        <w:ind w:firstLine="0"/>
        <w:jc w:val="both"/>
        <w:rPr>
          <w:rFonts w:hint="eastAsia" w:ascii="宋体" w:hAnsi="宋体" w:eastAsia="宋体"/>
          <w:color w:val="000000"/>
          <w:sz w:val="21"/>
        </w:rPr>
      </w:pPr>
    </w:p>
    <w:p>
      <w:pPr>
        <w:wordWrap w:val="0"/>
        <w:spacing w:before="147" w:after="0" w:line="239" w:lineRule="auto"/>
        <w:jc w:val="center"/>
        <w:rPr>
          <w:sz w:val="33"/>
        </w:rPr>
      </w:pPr>
      <w:r>
        <w:rPr>
          <w:rFonts w:hint="eastAsia" w:ascii="宋体" w:hAnsi="宋体" w:eastAsia="宋体"/>
          <w:b/>
          <w:color w:val="000000"/>
          <w:sz w:val="33"/>
        </w:rPr>
        <w:t>第五章 附则</w:t>
      </w:r>
    </w:p>
    <w:p>
      <w:pPr>
        <w:wordWrap w:val="0"/>
        <w:spacing w:before="172" w:after="0" w:line="239" w:lineRule="auto"/>
        <w:ind w:firstLine="700"/>
        <w:jc w:val="both"/>
        <w:rPr>
          <w:sz w:val="33"/>
        </w:rPr>
      </w:pPr>
      <w:r>
        <w:rPr>
          <w:rFonts w:hint="eastAsia" w:ascii="宋体" w:hAnsi="宋体" w:eastAsia="宋体"/>
          <w:b/>
          <w:color w:val="000000"/>
          <w:sz w:val="33"/>
        </w:rPr>
        <w:t>第五十三条</w:t>
      </w:r>
      <w:r>
        <w:rPr>
          <w:rFonts w:hint="eastAsia" w:ascii="宋体" w:hAnsi="宋体" w:eastAsia="宋体"/>
          <w:color w:val="000000"/>
          <w:sz w:val="33"/>
        </w:rPr>
        <w:t xml:space="preserve"> 本细则有关术语的含义是：</w:t>
      </w:r>
    </w:p>
    <w:p>
      <w:pPr>
        <w:wordWrap w:val="0"/>
        <w:spacing w:before="0" w:after="0" w:line="275" w:lineRule="auto"/>
        <w:ind w:left="40" w:right="200" w:firstLine="660"/>
        <w:jc w:val="both"/>
        <w:rPr>
          <w:sz w:val="33"/>
        </w:rPr>
      </w:pPr>
      <w:r>
        <w:rPr>
          <w:rFonts w:hint="eastAsia" w:ascii="Calibri" w:hAnsi="Calibri" w:eastAsia="Calibri"/>
          <w:color w:val="000000"/>
          <w:sz w:val="33"/>
        </w:rPr>
        <w:t>BTB</w:t>
      </w:r>
      <w:r>
        <w:rPr>
          <w:rFonts w:hint="eastAsia" w:ascii="宋体" w:hAnsi="宋体" w:eastAsia="宋体"/>
          <w:color w:val="000000"/>
          <w:sz w:val="33"/>
        </w:rPr>
        <w:t>是指药品上市许可持有人、生产、批发企业通过网络向其他具备药品生产、经营、使用资质的企业或单位销售药品。</w:t>
      </w:r>
    </w:p>
    <w:p>
      <w:pPr>
        <w:wordWrap w:val="0"/>
        <w:spacing w:before="147" w:after="0" w:line="239" w:lineRule="auto"/>
        <w:ind w:firstLine="700"/>
        <w:jc w:val="both"/>
        <w:rPr>
          <w:sz w:val="33"/>
        </w:rPr>
      </w:pPr>
      <w:r>
        <w:rPr>
          <w:rFonts w:hint="eastAsia" w:ascii="Calibri" w:hAnsi="Calibri" w:eastAsia="Calibri"/>
          <w:color w:val="000000"/>
          <w:sz w:val="33"/>
        </w:rPr>
        <w:t>B2C</w:t>
      </w:r>
      <w:r>
        <w:rPr>
          <w:rFonts w:hint="eastAsia" w:ascii="宋体" w:hAnsi="宋体" w:eastAsia="宋体"/>
          <w:color w:val="000000"/>
          <w:sz w:val="33"/>
        </w:rPr>
        <w:t>是指药品网络零售企业通过网络向个人销售药品。</w:t>
      </w:r>
    </w:p>
    <w:p>
      <w:pPr>
        <w:wordWrap w:val="0"/>
        <w:spacing w:before="30" w:after="0" w:line="275" w:lineRule="auto"/>
        <w:ind w:left="40" w:right="200" w:firstLine="660"/>
        <w:jc w:val="both"/>
        <w:rPr>
          <w:sz w:val="33"/>
        </w:rPr>
      </w:pPr>
      <w:r>
        <w:rPr>
          <w:rFonts w:hint="eastAsia" w:ascii="宋体" w:hAnsi="宋体" w:eastAsia="宋体"/>
          <w:color w:val="000000"/>
          <w:sz w:val="33"/>
        </w:rPr>
        <w:t>零售配送活动是指根据消费者购药需求，对药品进行拣选、复核、包装、封签、发货、运输等作业，将药品送达消费者指定地点并签收的物流活动。</w:t>
      </w:r>
    </w:p>
    <w:p>
      <w:pPr>
        <w:wordWrap w:val="0"/>
        <w:spacing w:before="152" w:after="0" w:line="239" w:lineRule="auto"/>
        <w:ind w:firstLine="700"/>
        <w:jc w:val="both"/>
        <w:rPr>
          <w:sz w:val="33"/>
        </w:rPr>
      </w:pPr>
      <w:r>
        <w:rPr>
          <w:rFonts w:hint="eastAsia" w:ascii="宋体" w:hAnsi="宋体" w:eastAsia="宋体"/>
          <w:b/>
          <w:color w:val="000000"/>
          <w:sz w:val="33"/>
        </w:rPr>
        <w:t>第五十四条</w:t>
      </w:r>
      <w:r>
        <w:rPr>
          <w:rFonts w:hint="eastAsia" w:ascii="宋体" w:hAnsi="宋体" w:eastAsia="宋体"/>
          <w:color w:val="000000"/>
          <w:sz w:val="33"/>
        </w:rPr>
        <w:t xml:space="preserve"> 本细则由辽宁省药品监督管理局负责解释。</w:t>
      </w:r>
    </w:p>
    <w:p>
      <w:pPr>
        <w:wordWrap w:val="0"/>
        <w:spacing w:before="152" w:after="0" w:line="239" w:lineRule="auto"/>
        <w:ind w:firstLine="700"/>
        <w:jc w:val="both"/>
        <w:rPr>
          <w:sz w:val="33"/>
        </w:rPr>
      </w:pPr>
      <w:r>
        <w:rPr>
          <w:rFonts w:hint="eastAsia" w:ascii="宋体" w:hAnsi="宋体" w:eastAsia="宋体"/>
          <w:b/>
          <w:color w:val="000000"/>
          <w:sz w:val="33"/>
        </w:rPr>
        <w:t>第五十五条</w:t>
      </w:r>
      <w:r>
        <w:rPr>
          <w:rFonts w:hint="eastAsia" w:ascii="宋体" w:hAnsi="宋体" w:eastAsia="宋体"/>
          <w:color w:val="000000"/>
          <w:sz w:val="33"/>
        </w:rPr>
        <w:t xml:space="preserve"> 本细则自</w:t>
      </w:r>
      <w:r>
        <w:rPr>
          <w:rFonts w:hint="eastAsia" w:ascii="Calibri" w:hAnsi="Calibri" w:eastAsia="Calibri"/>
          <w:color w:val="000000"/>
          <w:sz w:val="33"/>
        </w:rPr>
        <w:t>2025</w:t>
      </w:r>
      <w:r>
        <w:rPr>
          <w:rFonts w:hint="eastAsia" w:ascii="宋体" w:hAnsi="宋体" w:eastAsia="宋体"/>
          <w:color w:val="000000"/>
          <w:sz w:val="33"/>
        </w:rPr>
        <w:t>年</w:t>
      </w:r>
      <w:r>
        <w:rPr>
          <w:rFonts w:hint="eastAsia" w:ascii="Calibri" w:hAnsi="Calibri" w:eastAsia="Calibri"/>
          <w:color w:val="000000"/>
          <w:sz w:val="33"/>
        </w:rPr>
        <w:t>3</w:t>
      </w:r>
      <w:r>
        <w:rPr>
          <w:rFonts w:hint="eastAsia" w:ascii="宋体" w:hAnsi="宋体" w:eastAsia="宋体"/>
          <w:color w:val="000000"/>
          <w:sz w:val="33"/>
        </w:rPr>
        <w:t>月</w:t>
      </w:r>
      <w:r>
        <w:rPr>
          <w:rFonts w:hint="eastAsia" w:ascii="Calibri" w:hAnsi="Calibri" w:eastAsia="Calibri"/>
          <w:color w:val="000000"/>
          <w:sz w:val="33"/>
        </w:rPr>
        <w:t>1</w:t>
      </w:r>
      <w:r>
        <w:rPr>
          <w:rFonts w:hint="eastAsia" w:ascii="宋体" w:hAnsi="宋体" w:eastAsia="宋体"/>
          <w:color w:val="000000"/>
          <w:sz w:val="33"/>
        </w:rPr>
        <w:t>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4" w:lineRule="auto"/>
      <w:jc w:val="center"/>
    </w:pPr>
    <w:r>
      <w:rPr>
        <w:rFonts w:hint="eastAsia" w:ascii="Calibri" w:hAnsi="Calibri" w:eastAsia="Calibri"/>
        <w:color w:val="000000"/>
        <w:sz w:val="16"/>
      </w:rPr>
      <w:t>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9" w:lineRule="auto"/>
      <w:jc w:val="center"/>
    </w:pPr>
    <w:r>
      <w:rPr>
        <w:rFonts w:hint="eastAsia" w:ascii="Calibri" w:hAnsi="Calibri" w:eastAsia="Calibri"/>
        <w:color w:val="000000"/>
        <w:sz w:val="19"/>
      </w:rPr>
      <w:t>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5" w:lineRule="auto"/>
      <w:jc w:val="center"/>
    </w:pPr>
    <w:r>
      <w:rPr>
        <w:rFonts w:hint="eastAsia" w:ascii="Calibri" w:hAnsi="Calibri" w:eastAsia="Calibri"/>
        <w:color w:val="000000"/>
        <w:sz w:val="19"/>
      </w:rPr>
      <w:t>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9" w:lineRule="auto"/>
      <w:jc w:val="center"/>
    </w:pPr>
    <w:r>
      <w:rPr>
        <w:rFonts w:hint="eastAsia" w:ascii="Calibri" w:hAnsi="Calibri" w:eastAsia="Calibri"/>
        <w:color w:val="000000"/>
        <w:sz w:val="18"/>
      </w:rPr>
      <w:t>14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9" w:lineRule="auto"/>
      <w:jc w:val="center"/>
    </w:pPr>
    <w:r>
      <w:rPr>
        <w:rFonts w:hint="eastAsia" w:ascii="Calibri" w:hAnsi="Calibri" w:eastAsia="Calibri"/>
        <w:color w:val="000000"/>
        <w:sz w:val="19"/>
      </w:rPr>
      <w:t>15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center"/>
    </w:pPr>
    <w:r>
      <w:rPr>
        <w:rFonts w:hint="eastAsia" w:ascii="Calibri" w:hAnsi="Calibri" w:eastAsia="Calibri"/>
        <w:color w:val="000000"/>
        <w:sz w:val="16"/>
      </w:rPr>
      <w:t>16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jc w:val="center"/>
    </w:pPr>
    <w:r>
      <w:rPr>
        <w:rFonts w:hint="eastAsia" w:ascii="Calibri" w:hAnsi="Calibri" w:eastAsia="Calibri"/>
        <w:color w:val="000000"/>
        <w:sz w:val="18"/>
      </w:rPr>
      <w:t>17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902843"/>
    <w:rsid w:val="01902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2025-03-05T06:11:00Z</dcterms:created>
  <dc:creator>Administrator</dc:creator>
  <cp:lastModifiedBy>Administrator</cp:lastModifiedBy>
  <dcterms:modified xsi:type="dcterms:W3CDTF">2025-03-05T06:13:33Z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