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8A417B">
      <w:pPr>
        <w:rPr>
          <w:rFonts w:hint="eastAsia" w:asciiTheme="majorEastAsia" w:hAnsiTheme="majorEastAsia" w:eastAsiaTheme="majorEastAsia" w:cstheme="majorEastAsia"/>
          <w:sz w:val="48"/>
          <w:szCs w:val="48"/>
        </w:rPr>
      </w:pPr>
    </w:p>
    <w:p w14:paraId="749D3DA9">
      <w:pPr>
        <w:rPr>
          <w:rFonts w:hint="eastAsia" w:asciiTheme="majorEastAsia" w:hAnsiTheme="majorEastAsia" w:eastAsiaTheme="majorEastAsia" w:cstheme="majorEastAsia"/>
          <w:sz w:val="48"/>
          <w:szCs w:val="48"/>
        </w:rPr>
      </w:pPr>
    </w:p>
    <w:p w14:paraId="608E1024">
      <w:pPr>
        <w:rPr>
          <w:rFonts w:hint="eastAsia" w:asciiTheme="majorEastAsia" w:hAnsiTheme="majorEastAsia" w:eastAsiaTheme="majorEastAsia" w:cstheme="majorEastAsia"/>
          <w:sz w:val="48"/>
          <w:szCs w:val="48"/>
        </w:rPr>
      </w:pPr>
    </w:p>
    <w:p w14:paraId="6490CE57">
      <w:pPr>
        <w:rPr>
          <w:rFonts w:hint="eastAsia" w:asciiTheme="majorEastAsia" w:hAnsiTheme="majorEastAsia" w:eastAsiaTheme="majorEastAsia" w:cstheme="majorEastAsia"/>
          <w:sz w:val="48"/>
          <w:szCs w:val="48"/>
        </w:rPr>
      </w:pPr>
    </w:p>
    <w:p w14:paraId="10B977C2">
      <w:pPr>
        <w:jc w:val="center"/>
        <w:rPr>
          <w:rFonts w:hint="eastAsia" w:asciiTheme="majorEastAsia" w:hAnsiTheme="majorEastAsia" w:eastAsiaTheme="majorEastAsia" w:cstheme="majorEastAsia"/>
          <w:b/>
          <w:bCs/>
          <w:sz w:val="48"/>
          <w:szCs w:val="48"/>
        </w:rPr>
      </w:pPr>
    </w:p>
    <w:p w14:paraId="028325A7">
      <w:pPr>
        <w:jc w:val="center"/>
        <w:rPr>
          <w:rFonts w:hint="eastAsia" w:asciiTheme="majorEastAsia" w:hAnsiTheme="majorEastAsia" w:eastAsiaTheme="majorEastAsia" w:cstheme="majorEastAsia"/>
          <w:b/>
          <w:bCs/>
          <w:sz w:val="48"/>
          <w:szCs w:val="48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8"/>
          <w:szCs w:val="48"/>
        </w:rPr>
        <w:t>202</w:t>
      </w:r>
      <w:r>
        <w:rPr>
          <w:rFonts w:hint="eastAsia" w:asciiTheme="majorEastAsia" w:hAnsiTheme="majorEastAsia" w:eastAsiaTheme="majorEastAsia" w:cstheme="majorEastAsia"/>
          <w:b/>
          <w:bCs/>
          <w:sz w:val="48"/>
          <w:szCs w:val="48"/>
          <w:lang w:val="en-US" w:eastAsia="zh-CN"/>
        </w:rPr>
        <w:t>6</w:t>
      </w:r>
      <w:r>
        <w:rPr>
          <w:rFonts w:hint="eastAsia" w:asciiTheme="majorEastAsia" w:hAnsiTheme="majorEastAsia" w:eastAsiaTheme="majorEastAsia" w:cstheme="majorEastAsia"/>
          <w:b/>
          <w:bCs/>
          <w:sz w:val="48"/>
          <w:szCs w:val="48"/>
        </w:rPr>
        <w:t>年度</w:t>
      </w:r>
      <w:r>
        <w:rPr>
          <w:rFonts w:hint="eastAsia" w:asciiTheme="majorEastAsia" w:hAnsiTheme="majorEastAsia" w:eastAsiaTheme="majorEastAsia" w:cstheme="majorEastAsia"/>
          <w:b/>
          <w:bCs/>
          <w:sz w:val="48"/>
          <w:szCs w:val="48"/>
          <w:lang w:eastAsia="zh-CN"/>
        </w:rPr>
        <w:t>浑南区</w:t>
      </w:r>
      <w:r>
        <w:rPr>
          <w:rFonts w:hint="eastAsia" w:asciiTheme="majorEastAsia" w:hAnsiTheme="majorEastAsia" w:eastAsiaTheme="majorEastAsia" w:cstheme="majorEastAsia"/>
          <w:b/>
          <w:bCs/>
          <w:sz w:val="48"/>
          <w:szCs w:val="48"/>
        </w:rPr>
        <w:t>养老机构等级评定</w:t>
      </w:r>
    </w:p>
    <w:p w14:paraId="4D37AEA8">
      <w:pPr>
        <w:jc w:val="center"/>
        <w:rPr>
          <w:rFonts w:hint="eastAsia"/>
          <w:b/>
          <w:bCs/>
        </w:rPr>
      </w:pPr>
      <w:r>
        <w:rPr>
          <w:rFonts w:hint="eastAsia" w:asciiTheme="majorEastAsia" w:hAnsiTheme="majorEastAsia" w:eastAsiaTheme="majorEastAsia" w:cstheme="majorEastAsia"/>
          <w:b/>
          <w:bCs/>
          <w:sz w:val="48"/>
          <w:szCs w:val="48"/>
        </w:rPr>
        <w:t>初步评定意见</w:t>
      </w:r>
    </w:p>
    <w:p w14:paraId="7D4E1C24">
      <w:pPr>
        <w:rPr>
          <w:rFonts w:hint="eastAsia"/>
        </w:rPr>
      </w:pPr>
      <w:r>
        <w:rPr>
          <w:rFonts w:hint="eastAsia"/>
        </w:rPr>
        <w:t xml:space="preserve">   </w:t>
      </w:r>
    </w:p>
    <w:p w14:paraId="5FACA035">
      <w:pPr>
        <w:rPr>
          <w:rFonts w:hint="eastAsia"/>
        </w:rPr>
      </w:pPr>
    </w:p>
    <w:p w14:paraId="65DC377E">
      <w:pPr>
        <w:rPr>
          <w:rFonts w:hint="eastAsia"/>
        </w:rPr>
      </w:pPr>
    </w:p>
    <w:p w14:paraId="46450033">
      <w:pPr>
        <w:rPr>
          <w:rFonts w:hint="eastAsia"/>
        </w:rPr>
      </w:pPr>
    </w:p>
    <w:p w14:paraId="2789FC2C">
      <w:pPr>
        <w:rPr>
          <w:rFonts w:hint="eastAsia"/>
        </w:rPr>
      </w:pPr>
    </w:p>
    <w:p w14:paraId="77EAEDBE">
      <w:pPr>
        <w:rPr>
          <w:rFonts w:hint="eastAsia"/>
        </w:rPr>
      </w:pPr>
      <w:r>
        <w:rPr>
          <w:rFonts w:hint="eastAsia"/>
        </w:rPr>
        <w:t xml:space="preserve">      </w:t>
      </w:r>
    </w:p>
    <w:p w14:paraId="047555CA">
      <w:pPr>
        <w:rPr>
          <w:rFonts w:hint="eastAsia"/>
        </w:rPr>
      </w:pPr>
    </w:p>
    <w:p w14:paraId="4CA8243E">
      <w:pPr>
        <w:rPr>
          <w:rFonts w:hint="eastAsia"/>
        </w:rPr>
      </w:pPr>
    </w:p>
    <w:p w14:paraId="71AE3D40">
      <w:pPr>
        <w:rPr>
          <w:rFonts w:hint="eastAsia"/>
        </w:rPr>
      </w:pPr>
    </w:p>
    <w:p w14:paraId="5E79F128">
      <w:pPr>
        <w:rPr>
          <w:rFonts w:hint="eastAsia"/>
        </w:rPr>
      </w:pPr>
    </w:p>
    <w:p w14:paraId="54E463B5">
      <w:pPr>
        <w:rPr>
          <w:rFonts w:hint="eastAsia"/>
        </w:rPr>
      </w:pPr>
    </w:p>
    <w:p w14:paraId="653119EF">
      <w:pPr>
        <w:jc w:val="center"/>
        <w:rPr>
          <w:rFonts w:hint="eastAsia" w:ascii="仿宋" w:hAnsi="仿宋" w:eastAsia="仿宋" w:cs="仿宋"/>
          <w:sz w:val="36"/>
          <w:szCs w:val="36"/>
        </w:rPr>
      </w:pPr>
    </w:p>
    <w:p w14:paraId="146C7314">
      <w:pPr>
        <w:jc w:val="center"/>
        <w:rPr>
          <w:rFonts w:hint="eastAsia" w:ascii="仿宋" w:hAnsi="仿宋" w:eastAsia="仿宋" w:cs="仿宋"/>
          <w:sz w:val="36"/>
          <w:szCs w:val="36"/>
        </w:rPr>
      </w:pPr>
    </w:p>
    <w:p w14:paraId="625307C1">
      <w:pPr>
        <w:jc w:val="center"/>
        <w:rPr>
          <w:rFonts w:hint="eastAsia" w:ascii="仿宋" w:hAnsi="仿宋" w:eastAsia="仿宋" w:cs="仿宋"/>
          <w:sz w:val="36"/>
          <w:szCs w:val="36"/>
        </w:rPr>
      </w:pPr>
    </w:p>
    <w:p w14:paraId="62237317">
      <w:pPr>
        <w:ind w:firstLine="1440" w:firstLineChars="400"/>
        <w:jc w:val="both"/>
        <w:rPr>
          <w:rFonts w:hint="default" w:ascii="仿宋" w:hAnsi="仿宋" w:eastAsia="仿宋" w:cs="仿宋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6"/>
          <w:szCs w:val="36"/>
        </w:rPr>
        <w:t>单   位：</w:t>
      </w:r>
      <w:r>
        <w:rPr>
          <w:rFonts w:hint="eastAsia" w:ascii="仿宋" w:hAnsi="仿宋" w:eastAsia="仿宋" w:cs="仿宋"/>
          <w:sz w:val="36"/>
          <w:szCs w:val="36"/>
          <w:lang w:eastAsia="zh-CN"/>
        </w:rPr>
        <w:t>浑南区民政局</w:t>
      </w:r>
      <w:r>
        <w:rPr>
          <w:rFonts w:hint="eastAsia" w:ascii="仿宋" w:hAnsi="仿宋" w:eastAsia="仿宋" w:cs="仿宋"/>
          <w:sz w:val="36"/>
          <w:szCs w:val="36"/>
          <w:lang w:val="en-US" w:eastAsia="zh-CN"/>
        </w:rPr>
        <w:t xml:space="preserve">   </w:t>
      </w:r>
    </w:p>
    <w:p w14:paraId="67BB3672">
      <w:pPr>
        <w:jc w:val="center"/>
        <w:rPr>
          <w:rFonts w:hint="eastAsia" w:ascii="仿宋" w:hAnsi="仿宋" w:eastAsia="仿宋" w:cs="仿宋"/>
          <w:sz w:val="36"/>
          <w:szCs w:val="36"/>
        </w:rPr>
      </w:pPr>
    </w:p>
    <w:p w14:paraId="6FE958D6">
      <w:pPr>
        <w:ind w:firstLine="1440" w:firstLineChars="400"/>
        <w:jc w:val="both"/>
        <w:rPr>
          <w:rFonts w:hint="eastAsia" w:ascii="仿宋" w:hAnsi="仿宋" w:eastAsia="仿宋" w:cs="仿宋"/>
          <w:sz w:val="36"/>
          <w:szCs w:val="36"/>
        </w:rPr>
      </w:pPr>
      <w:r>
        <w:rPr>
          <w:rFonts w:hint="eastAsia" w:ascii="仿宋" w:hAnsi="仿宋" w:eastAsia="仿宋" w:cs="仿宋"/>
          <w:sz w:val="36"/>
          <w:szCs w:val="36"/>
        </w:rPr>
        <w:t xml:space="preserve">日 </w:t>
      </w:r>
      <w:r>
        <w:rPr>
          <w:rFonts w:hint="eastAsia" w:ascii="仿宋" w:hAnsi="仿宋" w:eastAsia="仿宋" w:cs="仿宋"/>
          <w:sz w:val="36"/>
          <w:szCs w:val="36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6"/>
          <w:szCs w:val="36"/>
        </w:rPr>
        <w:t xml:space="preserve"> 期：202</w:t>
      </w:r>
      <w:r>
        <w:rPr>
          <w:rFonts w:hint="eastAsia" w:ascii="仿宋" w:hAnsi="仿宋" w:eastAsia="仿宋" w:cs="仿宋"/>
          <w:sz w:val="36"/>
          <w:szCs w:val="36"/>
          <w:lang w:val="en-US" w:eastAsia="zh-CN"/>
        </w:rPr>
        <w:t>6</w:t>
      </w:r>
      <w:r>
        <w:rPr>
          <w:rFonts w:hint="eastAsia" w:ascii="仿宋" w:hAnsi="仿宋" w:eastAsia="仿宋" w:cs="仿宋"/>
          <w:sz w:val="36"/>
          <w:szCs w:val="36"/>
        </w:rPr>
        <w:t xml:space="preserve"> 年 </w:t>
      </w:r>
      <w:r>
        <w:rPr>
          <w:rFonts w:hint="eastAsia" w:ascii="仿宋" w:hAnsi="仿宋" w:eastAsia="仿宋" w:cs="仿宋"/>
          <w:sz w:val="36"/>
          <w:szCs w:val="36"/>
          <w:lang w:val="en-US" w:eastAsia="zh-CN"/>
        </w:rPr>
        <w:t xml:space="preserve">7 </w:t>
      </w:r>
      <w:r>
        <w:rPr>
          <w:rFonts w:hint="eastAsia" w:ascii="仿宋" w:hAnsi="仿宋" w:eastAsia="仿宋" w:cs="仿宋"/>
          <w:sz w:val="36"/>
          <w:szCs w:val="36"/>
        </w:rPr>
        <w:t xml:space="preserve">月 </w:t>
      </w:r>
      <w:r>
        <w:rPr>
          <w:rFonts w:hint="eastAsia" w:ascii="仿宋" w:hAnsi="仿宋" w:eastAsia="仿宋" w:cs="仿宋"/>
          <w:sz w:val="36"/>
          <w:szCs w:val="36"/>
          <w:lang w:val="en-US" w:eastAsia="zh-CN"/>
        </w:rPr>
        <w:t>8</w:t>
      </w:r>
      <w:r>
        <w:rPr>
          <w:rFonts w:hint="eastAsia" w:ascii="仿宋" w:hAnsi="仿宋" w:eastAsia="仿宋" w:cs="仿宋"/>
          <w:sz w:val="36"/>
          <w:szCs w:val="36"/>
        </w:rPr>
        <w:t xml:space="preserve"> 日</w:t>
      </w:r>
    </w:p>
    <w:p w14:paraId="4F3C5FB0">
      <w:pPr>
        <w:ind w:firstLine="1440" w:firstLineChars="400"/>
        <w:jc w:val="both"/>
        <w:rPr>
          <w:rFonts w:hint="eastAsia" w:ascii="仿宋" w:hAnsi="仿宋" w:eastAsia="仿宋" w:cs="仿宋"/>
          <w:sz w:val="36"/>
          <w:szCs w:val="36"/>
        </w:rPr>
      </w:pPr>
    </w:p>
    <w:p w14:paraId="6618A17C">
      <w:pPr>
        <w:ind w:firstLine="1440" w:firstLineChars="400"/>
        <w:jc w:val="both"/>
        <w:rPr>
          <w:rFonts w:hint="eastAsia" w:ascii="仿宋" w:hAnsi="仿宋" w:eastAsia="仿宋" w:cs="仿宋"/>
          <w:sz w:val="36"/>
          <w:szCs w:val="36"/>
        </w:rPr>
      </w:pPr>
    </w:p>
    <w:p w14:paraId="0618817A">
      <w:pPr>
        <w:ind w:firstLine="1440" w:firstLineChars="400"/>
        <w:jc w:val="both"/>
        <w:rPr>
          <w:rFonts w:hint="eastAsia" w:ascii="仿宋" w:hAnsi="仿宋" w:eastAsia="仿宋" w:cs="仿宋"/>
          <w:sz w:val="36"/>
          <w:szCs w:val="36"/>
        </w:rPr>
      </w:pPr>
    </w:p>
    <w:p w14:paraId="09657F48">
      <w:pPr>
        <w:jc w:val="both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一、浑南区</w:t>
      </w:r>
      <w:r>
        <w:rPr>
          <w:rFonts w:hint="eastAsia" w:ascii="黑体" w:hAnsi="黑体" w:eastAsia="黑体" w:cs="黑体"/>
          <w:sz w:val="36"/>
          <w:szCs w:val="36"/>
        </w:rPr>
        <w:t>养老机构等级评定初步评定意见分析</w:t>
      </w:r>
    </w:p>
    <w:p w14:paraId="69858A74">
      <w:pPr>
        <w:ind w:firstLine="720" w:firstLineChars="200"/>
        <w:jc w:val="both"/>
        <w:rPr>
          <w:rFonts w:hint="eastAsia" w:ascii="仿宋" w:hAnsi="仿宋" w:eastAsia="仿宋" w:cs="仿宋"/>
          <w:sz w:val="36"/>
          <w:szCs w:val="36"/>
        </w:rPr>
      </w:pPr>
      <w:r>
        <w:rPr>
          <w:rFonts w:hint="eastAsia" w:ascii="仿宋" w:hAnsi="仿宋" w:eastAsia="仿宋" w:cs="仿宋"/>
          <w:sz w:val="36"/>
          <w:szCs w:val="36"/>
        </w:rPr>
        <w:t>共计报名养老机构</w:t>
      </w:r>
      <w:r>
        <w:rPr>
          <w:rFonts w:hint="eastAsia" w:ascii="仿宋" w:hAnsi="仿宋" w:eastAsia="仿宋" w:cs="仿宋"/>
          <w:sz w:val="36"/>
          <w:szCs w:val="36"/>
          <w:lang w:val="en-US" w:eastAsia="zh-CN"/>
        </w:rPr>
        <w:t>4</w:t>
      </w:r>
      <w:r>
        <w:rPr>
          <w:rFonts w:hint="eastAsia" w:ascii="仿宋" w:hAnsi="仿宋" w:eastAsia="仿宋" w:cs="仿宋"/>
          <w:sz w:val="36"/>
          <w:szCs w:val="36"/>
        </w:rPr>
        <w:t>家，实际完成等级评定养老机构</w:t>
      </w:r>
      <w:r>
        <w:rPr>
          <w:rFonts w:hint="eastAsia" w:ascii="仿宋" w:hAnsi="仿宋" w:eastAsia="仿宋" w:cs="仿宋"/>
          <w:sz w:val="36"/>
          <w:szCs w:val="36"/>
          <w:lang w:val="en-US" w:eastAsia="zh-CN"/>
        </w:rPr>
        <w:t>4</w:t>
      </w:r>
      <w:r>
        <w:rPr>
          <w:rFonts w:hint="eastAsia" w:ascii="仿宋" w:hAnsi="仿宋" w:eastAsia="仿宋" w:cs="仿宋"/>
          <w:sz w:val="36"/>
          <w:szCs w:val="36"/>
        </w:rPr>
        <w:t>家。养老机构等级评定初步评定意见如下：</w:t>
      </w:r>
    </w:p>
    <w:tbl>
      <w:tblPr>
        <w:tblStyle w:val="2"/>
        <w:tblpPr w:leftFromText="180" w:rightFromText="180" w:vertAnchor="text" w:horzAnchor="page" w:tblpX="971" w:tblpY="601"/>
        <w:tblOverlap w:val="never"/>
        <w:tblW w:w="10236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3"/>
        <w:gridCol w:w="1200"/>
        <w:gridCol w:w="960"/>
        <w:gridCol w:w="927"/>
        <w:gridCol w:w="956"/>
        <w:gridCol w:w="941"/>
        <w:gridCol w:w="956"/>
        <w:gridCol w:w="1620"/>
        <w:gridCol w:w="1513"/>
      </w:tblGrid>
      <w:tr w14:paraId="5EFD94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3" w:hRule="atLeast"/>
          <w:tblHeader/>
        </w:trPr>
        <w:tc>
          <w:tcPr>
            <w:tcW w:w="11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B5C7EA" w:themeFill="accent1" w:themeFillTint="66"/>
            <w:tcMar>
              <w:top w:w="15" w:type="dxa"/>
              <w:left w:w="15" w:type="dxa"/>
              <w:right w:w="15" w:type="dxa"/>
            </w:tcMar>
            <w:vAlign w:val="center"/>
          </w:tcPr>
          <w:p w14:paraId="65D61FF4">
            <w:pPr>
              <w:widowControl/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所属区域</w:t>
            </w:r>
          </w:p>
        </w:tc>
        <w:tc>
          <w:tcPr>
            <w:tcW w:w="1200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B5C7EA" w:themeFill="accent1" w:themeFillTint="66"/>
            <w:tcMar>
              <w:top w:w="15" w:type="dxa"/>
              <w:left w:w="15" w:type="dxa"/>
              <w:right w:w="15" w:type="dxa"/>
            </w:tcMar>
            <w:vAlign w:val="center"/>
          </w:tcPr>
          <w:p w14:paraId="4690C8A2">
            <w:pPr>
              <w:widowControl/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实际评定数量小计</w:t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B5C7EA" w:themeFill="accent1" w:themeFillTint="66"/>
            <w:tcMar>
              <w:top w:w="15" w:type="dxa"/>
              <w:left w:w="15" w:type="dxa"/>
              <w:right w:w="15" w:type="dxa"/>
            </w:tcMar>
            <w:vAlign w:val="center"/>
          </w:tcPr>
          <w:p w14:paraId="4AFE4B61">
            <w:pPr>
              <w:widowControl/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不予</w:t>
            </w:r>
          </w:p>
          <w:p w14:paraId="48A2E489">
            <w:pPr>
              <w:widowControl/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推荐</w:t>
            </w:r>
          </w:p>
        </w:tc>
        <w:tc>
          <w:tcPr>
            <w:tcW w:w="927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B5C7EA" w:themeFill="accent1" w:themeFillTint="66"/>
            <w:tcMar>
              <w:top w:w="15" w:type="dxa"/>
              <w:left w:w="15" w:type="dxa"/>
              <w:right w:w="15" w:type="dxa"/>
            </w:tcMar>
            <w:vAlign w:val="center"/>
          </w:tcPr>
          <w:p w14:paraId="3832E9F7">
            <w:pPr>
              <w:widowControl/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一级</w:t>
            </w:r>
          </w:p>
        </w:tc>
        <w:tc>
          <w:tcPr>
            <w:tcW w:w="956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B5C7EA" w:themeFill="accent1" w:themeFillTint="66"/>
            <w:tcMar>
              <w:top w:w="15" w:type="dxa"/>
              <w:left w:w="15" w:type="dxa"/>
              <w:right w:w="15" w:type="dxa"/>
            </w:tcMar>
            <w:vAlign w:val="center"/>
          </w:tcPr>
          <w:p w14:paraId="0EC077B0">
            <w:pPr>
              <w:widowControl/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二级</w:t>
            </w:r>
          </w:p>
        </w:tc>
        <w:tc>
          <w:tcPr>
            <w:tcW w:w="941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B5C7EA" w:themeFill="accent1" w:themeFillTint="66"/>
            <w:tcMar>
              <w:top w:w="15" w:type="dxa"/>
              <w:left w:w="15" w:type="dxa"/>
              <w:right w:w="15" w:type="dxa"/>
            </w:tcMar>
            <w:vAlign w:val="center"/>
          </w:tcPr>
          <w:p w14:paraId="605488CB">
            <w:pPr>
              <w:widowControl/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三级</w:t>
            </w:r>
          </w:p>
        </w:tc>
        <w:tc>
          <w:tcPr>
            <w:tcW w:w="956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B5C7EA" w:themeFill="accent1" w:themeFillTint="66"/>
            <w:tcMar>
              <w:top w:w="15" w:type="dxa"/>
              <w:left w:w="15" w:type="dxa"/>
              <w:right w:w="15" w:type="dxa"/>
            </w:tcMar>
            <w:vAlign w:val="center"/>
          </w:tcPr>
          <w:p w14:paraId="237E1E52">
            <w:pPr>
              <w:widowControl/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四级</w:t>
            </w:r>
          </w:p>
        </w:tc>
        <w:tc>
          <w:tcPr>
            <w:tcW w:w="1620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B5C7EA" w:themeFill="accent1" w:themeFillTint="66"/>
            <w:tcMar>
              <w:top w:w="15" w:type="dxa"/>
              <w:left w:w="15" w:type="dxa"/>
              <w:right w:w="15" w:type="dxa"/>
            </w:tcMar>
            <w:vAlign w:val="center"/>
          </w:tcPr>
          <w:p w14:paraId="363F933F">
            <w:pPr>
              <w:widowControl/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推荐等级</w:t>
            </w:r>
          </w:p>
          <w:p w14:paraId="17FB620C">
            <w:pPr>
              <w:widowControl/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数量小计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B5C7EA" w:themeFill="accent1" w:themeFillTint="66"/>
            <w:tcMar>
              <w:top w:w="15" w:type="dxa"/>
              <w:left w:w="15" w:type="dxa"/>
              <w:right w:w="15" w:type="dxa"/>
            </w:tcMar>
            <w:vAlign w:val="center"/>
          </w:tcPr>
          <w:p w14:paraId="222A07A6">
            <w:pPr>
              <w:widowControl/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区域</w:t>
            </w:r>
          </w:p>
          <w:p w14:paraId="110839FF">
            <w:pPr>
              <w:widowControl/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等级占比</w:t>
            </w:r>
          </w:p>
        </w:tc>
      </w:tr>
      <w:tr w14:paraId="415A27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EFF6FC"/>
            <w:tcMar>
              <w:top w:w="15" w:type="dxa"/>
              <w:left w:w="15" w:type="dxa"/>
              <w:right w:w="15" w:type="dxa"/>
            </w:tcMar>
            <w:vAlign w:val="center"/>
          </w:tcPr>
          <w:p w14:paraId="1EE9C62F">
            <w:pPr>
              <w:widowControl/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  <w:t>浑南区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BE5A2A">
            <w:pPr>
              <w:widowControl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E504F0">
            <w:pPr>
              <w:widowControl/>
              <w:spacing w:line="240" w:lineRule="auto"/>
              <w:jc w:val="center"/>
              <w:textAlignment w:val="center"/>
              <w:rPr>
                <w:rFonts w:hint="default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C491A3">
            <w:pPr>
              <w:widowControl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B1F9DB">
            <w:pPr>
              <w:widowControl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0CFF90">
            <w:pPr>
              <w:widowControl/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19A925">
            <w:pPr>
              <w:widowControl/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D696FF">
            <w:pPr>
              <w:widowControl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654209">
            <w:pPr>
              <w:widowControl/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</w:p>
        </w:tc>
      </w:tr>
    </w:tbl>
    <w:p w14:paraId="57163279">
      <w:pPr>
        <w:jc w:val="both"/>
        <w:rPr>
          <w:rFonts w:hint="eastAsia" w:ascii="仿宋" w:hAnsi="仿宋" w:eastAsia="仿宋" w:cs="仿宋"/>
          <w:sz w:val="36"/>
          <w:szCs w:val="36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3CED388D">
      <w:pPr>
        <w:jc w:val="both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二、浑南区参评养老机构等级评定初步评定情况汇总</w:t>
      </w:r>
    </w:p>
    <w:tbl>
      <w:tblPr>
        <w:tblStyle w:val="2"/>
        <w:tblW w:w="15583" w:type="dxa"/>
        <w:tblInd w:w="-17" w:type="dxa"/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672"/>
        <w:gridCol w:w="825"/>
        <w:gridCol w:w="2550"/>
        <w:gridCol w:w="955"/>
        <w:gridCol w:w="2168"/>
        <w:gridCol w:w="1636"/>
        <w:gridCol w:w="1787"/>
        <w:gridCol w:w="1568"/>
        <w:gridCol w:w="1699"/>
        <w:gridCol w:w="1723"/>
      </w:tblGrid>
      <w:tr w14:paraId="1310177C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76" w:hRule="atLeast"/>
          <w:tblHeader/>
        </w:trPr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5C7EA" w:themeFill="accent1" w:themeFillTint="66"/>
            <w:noWrap/>
            <w:vAlign w:val="center"/>
          </w:tcPr>
          <w:p w14:paraId="764B010A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仿宋" w:hAnsi="仿宋" w:eastAsia="仿宋" w:cs="仿宋"/>
                <w:b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5C7EA" w:themeFill="accent1" w:themeFillTint="66"/>
            <w:noWrap/>
            <w:vAlign w:val="center"/>
          </w:tcPr>
          <w:p w14:paraId="3673C9F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仿宋" w:hAnsi="仿宋" w:eastAsia="仿宋" w:cs="仿宋"/>
                <w:b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bidi="ar"/>
              </w:rPr>
              <w:t>所属区域</w:t>
            </w:r>
          </w:p>
        </w:tc>
        <w:tc>
          <w:tcPr>
            <w:tcW w:w="2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5C7EA" w:themeFill="accent1" w:themeFillTint="66"/>
            <w:noWrap/>
            <w:vAlign w:val="center"/>
          </w:tcPr>
          <w:p w14:paraId="13177015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仿宋" w:hAnsi="仿宋" w:eastAsia="仿宋" w:cs="仿宋"/>
                <w:b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bidi="ar"/>
              </w:rPr>
              <w:t>养老机构名称</w:t>
            </w:r>
          </w:p>
        </w:tc>
        <w:tc>
          <w:tcPr>
            <w:tcW w:w="9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5C7EA" w:themeFill="accent1" w:themeFillTint="66"/>
            <w:noWrap/>
            <w:vAlign w:val="center"/>
          </w:tcPr>
          <w:p w14:paraId="05339253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仿宋" w:hAnsi="仿宋" w:eastAsia="仿宋" w:cs="仿宋"/>
                <w:b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bidi="ar"/>
              </w:rPr>
              <w:t>申报等级</w:t>
            </w:r>
          </w:p>
        </w:tc>
        <w:tc>
          <w:tcPr>
            <w:tcW w:w="21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5C7EA" w:themeFill="accent1" w:themeFillTint="66"/>
            <w:vAlign w:val="center"/>
          </w:tcPr>
          <w:p w14:paraId="26813293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仿宋" w:hAnsi="仿宋" w:eastAsia="仿宋" w:cs="仿宋"/>
                <w:b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bidi="ar"/>
              </w:rPr>
              <w:t>初步评定意见</w:t>
            </w:r>
          </w:p>
        </w:tc>
        <w:tc>
          <w:tcPr>
            <w:tcW w:w="16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5C7EA" w:themeFill="accent1" w:themeFillTint="66"/>
            <w:vAlign w:val="center"/>
          </w:tcPr>
          <w:p w14:paraId="457E02A0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仿宋" w:hAnsi="仿宋" w:eastAsia="仿宋" w:cs="仿宋"/>
                <w:b/>
                <w:bCs/>
                <w:color w:val="00000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Cs w:val="21"/>
                <w:lang w:bidi="ar"/>
              </w:rPr>
              <w:t>环境得分/</w:t>
            </w:r>
          </w:p>
          <w:p w14:paraId="0E378A12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仿宋" w:hAnsi="仿宋" w:eastAsia="仿宋" w:cs="仿宋"/>
                <w:b/>
                <w:bCs/>
                <w:color w:val="00000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Cs w:val="21"/>
                <w:lang w:bidi="ar"/>
              </w:rPr>
              <w:t>单项得分占比</w:t>
            </w:r>
          </w:p>
        </w:tc>
        <w:tc>
          <w:tcPr>
            <w:tcW w:w="17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5C7EA" w:themeFill="accent1" w:themeFillTint="66"/>
            <w:vAlign w:val="center"/>
          </w:tcPr>
          <w:p w14:paraId="03B89522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仿宋" w:hAnsi="仿宋" w:eastAsia="仿宋" w:cs="仿宋"/>
                <w:b/>
                <w:bCs/>
                <w:color w:val="00000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Cs w:val="21"/>
                <w:lang w:bidi="ar"/>
              </w:rPr>
              <w:t>设备设施得分/</w:t>
            </w:r>
          </w:p>
          <w:p w14:paraId="5B3DDC7E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仿宋" w:hAnsi="仿宋" w:eastAsia="仿宋" w:cs="仿宋"/>
                <w:b/>
                <w:bCs/>
                <w:color w:val="00000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Cs w:val="21"/>
                <w:lang w:bidi="ar"/>
              </w:rPr>
              <w:t>单项得分占比</w:t>
            </w:r>
          </w:p>
        </w:tc>
        <w:tc>
          <w:tcPr>
            <w:tcW w:w="15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5C7EA" w:themeFill="accent1" w:themeFillTint="66"/>
            <w:vAlign w:val="center"/>
          </w:tcPr>
          <w:p w14:paraId="6F40AEE1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仿宋" w:hAnsi="仿宋" w:eastAsia="仿宋" w:cs="仿宋"/>
                <w:b/>
                <w:bCs/>
                <w:color w:val="00000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Cs w:val="21"/>
                <w:lang w:bidi="ar"/>
              </w:rPr>
              <w:t>运营管理得分/</w:t>
            </w:r>
          </w:p>
          <w:p w14:paraId="1F81D72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仿宋" w:hAnsi="仿宋" w:eastAsia="仿宋" w:cs="仿宋"/>
                <w:b/>
                <w:bCs/>
                <w:color w:val="00000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Cs w:val="21"/>
                <w:lang w:bidi="ar"/>
              </w:rPr>
              <w:t>单项得分占比</w:t>
            </w:r>
          </w:p>
        </w:tc>
        <w:tc>
          <w:tcPr>
            <w:tcW w:w="16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5C7EA" w:themeFill="accent1" w:themeFillTint="66"/>
            <w:vAlign w:val="center"/>
          </w:tcPr>
          <w:p w14:paraId="53282F9D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仿宋" w:hAnsi="仿宋" w:eastAsia="仿宋" w:cs="仿宋"/>
                <w:b/>
                <w:bCs/>
                <w:color w:val="00000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Cs w:val="21"/>
                <w:lang w:bidi="ar"/>
              </w:rPr>
              <w:t>服务得分/</w:t>
            </w:r>
          </w:p>
          <w:p w14:paraId="47B76D35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仿宋" w:hAnsi="仿宋" w:eastAsia="仿宋" w:cs="仿宋"/>
                <w:b/>
                <w:bCs/>
                <w:color w:val="00000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Cs w:val="21"/>
                <w:lang w:bidi="ar"/>
              </w:rPr>
              <w:t>单项得分占比</w:t>
            </w:r>
          </w:p>
        </w:tc>
        <w:tc>
          <w:tcPr>
            <w:tcW w:w="17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5C7EA" w:themeFill="accent1" w:themeFillTint="66"/>
            <w:vAlign w:val="center"/>
          </w:tcPr>
          <w:p w14:paraId="62E5558E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仿宋" w:hAnsi="仿宋" w:eastAsia="仿宋" w:cs="仿宋"/>
                <w:b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bidi="ar"/>
              </w:rPr>
              <w:t>总分</w:t>
            </w:r>
          </w:p>
        </w:tc>
      </w:tr>
      <w:tr w14:paraId="5F453E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619CED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2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FD78D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  <w:p w14:paraId="10425EA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浑南区</w:t>
            </w:r>
          </w:p>
          <w:p w14:paraId="54FEABC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 w:bidi="ar"/>
              </w:rPr>
              <w:t>（4）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124B1E">
            <w:pPr>
              <w:widowControl/>
              <w:jc w:val="left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沈阳市浑南区颐康老年公寓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D8848E"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 w:bidi="ar"/>
              </w:rPr>
              <w:t>一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级</w:t>
            </w:r>
          </w:p>
        </w:tc>
        <w:tc>
          <w:tcPr>
            <w:tcW w:w="2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622070">
            <w:pPr>
              <w:widowControl/>
              <w:jc w:val="left"/>
              <w:textAlignment w:val="bottom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 w:bidi="ar"/>
              </w:rPr>
              <w:t>设施不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满足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 w:bidi="ar"/>
              </w:rPr>
              <w:t>一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级；</w:t>
            </w:r>
          </w:p>
          <w:p w14:paraId="20F1D252">
            <w:pPr>
              <w:widowControl/>
              <w:spacing w:line="240" w:lineRule="auto"/>
              <w:jc w:val="both"/>
              <w:textAlignment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不予推荐</w:t>
            </w:r>
          </w:p>
        </w:tc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706620"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 w:bidi="ar"/>
              </w:rPr>
              <w:t>65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/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 w:bidi="ar"/>
              </w:rPr>
              <w:t>54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%</w:t>
            </w:r>
          </w:p>
        </w:tc>
        <w:tc>
          <w:tcPr>
            <w:tcW w:w="1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0AB051"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 w:bidi="ar"/>
              </w:rPr>
              <w:t>44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/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 w:bidi="ar"/>
              </w:rPr>
              <w:t>34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%</w:t>
            </w: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1AF355"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 w:bidi="ar"/>
              </w:rPr>
              <w:t>85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/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 w:bidi="ar"/>
              </w:rPr>
              <w:t>56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%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F5F0E7"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 w:bidi="ar"/>
              </w:rPr>
              <w:t>225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/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 w:bidi="ar"/>
              </w:rPr>
              <w:t>37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%</w:t>
            </w:r>
          </w:p>
        </w:tc>
        <w:tc>
          <w:tcPr>
            <w:tcW w:w="1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278C7C">
            <w:pPr>
              <w:widowControl/>
              <w:jc w:val="center"/>
              <w:textAlignment w:val="bottom"/>
              <w:rPr>
                <w:rFonts w:hint="default" w:ascii="仿宋" w:hAnsi="仿宋" w:eastAsia="仿宋" w:cs="仿宋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 w:bidi="ar"/>
              </w:rPr>
              <w:t>422</w:t>
            </w:r>
          </w:p>
        </w:tc>
      </w:tr>
      <w:tr w14:paraId="20C93A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70EDFD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2</w:t>
            </w:r>
          </w:p>
        </w:tc>
        <w:tc>
          <w:tcPr>
            <w:tcW w:w="82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670895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C117C5">
            <w:pPr>
              <w:widowControl/>
              <w:jc w:val="left"/>
              <w:textAlignment w:val="bottom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沈阳市浑南区鑫颐康老年公寓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B999A9"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 w:bidi="ar"/>
              </w:rPr>
              <w:t>一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级</w:t>
            </w:r>
          </w:p>
        </w:tc>
        <w:tc>
          <w:tcPr>
            <w:tcW w:w="2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8EB0F7">
            <w:pPr>
              <w:widowControl/>
              <w:jc w:val="left"/>
              <w:textAlignment w:val="bottom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 w:bidi="ar"/>
              </w:rPr>
              <w:t>服务不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满足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 w:bidi="ar"/>
              </w:rPr>
              <w:t>一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级；</w:t>
            </w:r>
          </w:p>
          <w:p w14:paraId="49A7AD96">
            <w:pPr>
              <w:widowControl/>
              <w:jc w:val="left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不予推荐</w:t>
            </w:r>
          </w:p>
        </w:tc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E516E5">
            <w:pPr>
              <w:widowControl/>
              <w:jc w:val="center"/>
              <w:textAlignment w:val="bottom"/>
              <w:rPr>
                <w:rFonts w:hint="default" w:ascii="仿宋" w:hAnsi="仿宋" w:eastAsia="仿宋" w:cs="仿宋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 w:bidi="ar"/>
              </w:rPr>
              <w:t>71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/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 w:bidi="ar"/>
              </w:rPr>
              <w:t>59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%</w:t>
            </w:r>
          </w:p>
        </w:tc>
        <w:tc>
          <w:tcPr>
            <w:tcW w:w="1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AC1B3F"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 w:bidi="ar"/>
              </w:rPr>
              <w:t>52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/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 w:bidi="ar"/>
              </w:rPr>
              <w:t>40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%</w:t>
            </w: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9E0160"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 w:bidi="ar"/>
              </w:rPr>
              <w:t>85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/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 w:bidi="ar"/>
              </w:rPr>
              <w:t>56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%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A79047"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 w:bidi="ar"/>
              </w:rPr>
              <w:t>225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/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 w:bidi="ar"/>
              </w:rPr>
              <w:t>37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%</w:t>
            </w:r>
          </w:p>
        </w:tc>
        <w:tc>
          <w:tcPr>
            <w:tcW w:w="1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56A373">
            <w:pPr>
              <w:widowControl/>
              <w:jc w:val="center"/>
              <w:textAlignment w:val="bottom"/>
              <w:rPr>
                <w:rFonts w:hint="default" w:ascii="仿宋" w:hAnsi="仿宋" w:eastAsia="仿宋" w:cs="仿宋"/>
                <w:color w:val="000000"/>
                <w:sz w:val="24"/>
                <w:szCs w:val="24"/>
                <w:lang w:val="en-US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 w:bidi="ar"/>
              </w:rPr>
              <w:t>433</w:t>
            </w:r>
          </w:p>
        </w:tc>
      </w:tr>
      <w:tr w14:paraId="2E83E7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CF03CE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82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45793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68CC6E">
            <w:pPr>
              <w:widowControl/>
              <w:jc w:val="left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沈阳市浑南区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圣青树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老年公寓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EA8FF0"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 w:bidi="ar"/>
              </w:rPr>
              <w:t>一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级</w:t>
            </w:r>
          </w:p>
        </w:tc>
        <w:tc>
          <w:tcPr>
            <w:tcW w:w="2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9FACFA">
            <w:pPr>
              <w:widowControl/>
              <w:jc w:val="left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总分满足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 w:bidi="ar"/>
              </w:rPr>
              <w:t>一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级；</w:t>
            </w:r>
          </w:p>
          <w:p w14:paraId="70E023B8">
            <w:pPr>
              <w:widowControl/>
              <w:jc w:val="left"/>
              <w:textAlignment w:val="bottom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bidi="ar"/>
              </w:rPr>
              <w:t>综合推荐为：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eastAsia="zh-CN" w:bidi="ar"/>
              </w:rPr>
              <w:t>一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bidi="ar"/>
              </w:rPr>
              <w:t>级</w:t>
            </w:r>
          </w:p>
        </w:tc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83129A">
            <w:pPr>
              <w:widowControl/>
              <w:jc w:val="center"/>
              <w:textAlignment w:val="bottom"/>
              <w:rPr>
                <w:rFonts w:hint="default" w:ascii="仿宋" w:hAnsi="仿宋" w:eastAsia="仿宋" w:cs="仿宋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 w:bidi="ar"/>
              </w:rPr>
              <w:t>76.9/64.1%</w:t>
            </w:r>
          </w:p>
        </w:tc>
        <w:tc>
          <w:tcPr>
            <w:tcW w:w="1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58CC55">
            <w:pPr>
              <w:widowControl/>
              <w:jc w:val="center"/>
              <w:textAlignment w:val="bottom"/>
              <w:rPr>
                <w:rFonts w:hint="default" w:ascii="仿宋" w:hAnsi="仿宋" w:eastAsia="仿宋" w:cs="仿宋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 w:bidi="ar"/>
              </w:rPr>
              <w:t>61.4/46.5%</w:t>
            </w: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61A995">
            <w:pPr>
              <w:widowControl/>
              <w:jc w:val="center"/>
              <w:textAlignment w:val="bottom"/>
              <w:rPr>
                <w:rFonts w:hint="default" w:ascii="仿宋" w:hAnsi="仿宋" w:eastAsia="仿宋" w:cs="仿宋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 w:bidi="ar"/>
              </w:rPr>
              <w:t>91.0/60.7%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2EACEF">
            <w:pPr>
              <w:widowControl/>
              <w:jc w:val="center"/>
              <w:textAlignment w:val="bottom"/>
              <w:rPr>
                <w:rFonts w:hint="default" w:ascii="仿宋" w:hAnsi="仿宋" w:eastAsia="仿宋" w:cs="仿宋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 w:bidi="ar"/>
              </w:rPr>
              <w:t>282.0/47.0%</w:t>
            </w:r>
          </w:p>
        </w:tc>
        <w:tc>
          <w:tcPr>
            <w:tcW w:w="1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3D2A19">
            <w:pPr>
              <w:widowControl/>
              <w:jc w:val="center"/>
              <w:textAlignment w:val="bottom"/>
              <w:rPr>
                <w:rFonts w:hint="default" w:ascii="仿宋" w:hAnsi="仿宋" w:eastAsia="仿宋" w:cs="仿宋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 w:bidi="ar"/>
              </w:rPr>
              <w:t>510.3</w:t>
            </w:r>
          </w:p>
        </w:tc>
      </w:tr>
      <w:tr w14:paraId="7D1E49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715E3C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82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38F8EA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B21009">
            <w:pPr>
              <w:widowControl/>
              <w:jc w:val="left"/>
              <w:textAlignment w:val="bottom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沈阳市浑南区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爱晚晴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老年公寓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1DF9D2"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 w:bidi="ar"/>
              </w:rPr>
              <w:t>一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级</w:t>
            </w:r>
          </w:p>
        </w:tc>
        <w:tc>
          <w:tcPr>
            <w:tcW w:w="2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795F6B">
            <w:pPr>
              <w:widowControl/>
              <w:jc w:val="left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总分满足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 w:bidi="ar"/>
              </w:rPr>
              <w:t>一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级；</w:t>
            </w:r>
          </w:p>
          <w:p w14:paraId="38FD55C2">
            <w:pPr>
              <w:widowControl/>
              <w:jc w:val="left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bidi="ar"/>
              </w:rPr>
              <w:t>综合推荐为：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eastAsia="zh-CN" w:bidi="ar"/>
              </w:rPr>
              <w:t>一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bidi="ar"/>
              </w:rPr>
              <w:t>级</w:t>
            </w:r>
          </w:p>
        </w:tc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4E5215">
            <w:pPr>
              <w:widowControl/>
              <w:jc w:val="center"/>
              <w:textAlignment w:val="bottom"/>
              <w:rPr>
                <w:rFonts w:hint="default" w:ascii="仿宋" w:hAnsi="仿宋" w:eastAsia="仿宋" w:cs="仿宋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 w:bidi="ar"/>
              </w:rPr>
              <w:t>80.0/66.7%</w:t>
            </w:r>
          </w:p>
        </w:tc>
        <w:tc>
          <w:tcPr>
            <w:tcW w:w="1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AFAAAB">
            <w:pPr>
              <w:widowControl/>
              <w:jc w:val="center"/>
              <w:textAlignment w:val="bottom"/>
              <w:rPr>
                <w:rFonts w:hint="default" w:ascii="仿宋" w:hAnsi="仿宋" w:eastAsia="仿宋" w:cs="仿宋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 w:bidi="ar"/>
              </w:rPr>
              <w:t>59.3/45.6%</w:t>
            </w: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33676B">
            <w:pPr>
              <w:widowControl/>
              <w:jc w:val="center"/>
              <w:textAlignment w:val="bottom"/>
              <w:rPr>
                <w:rFonts w:hint="default" w:ascii="仿宋" w:hAnsi="仿宋" w:eastAsia="仿宋" w:cs="仿宋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 w:bidi="ar"/>
              </w:rPr>
              <w:t>75.0/50.0%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136A09">
            <w:pPr>
              <w:widowControl/>
              <w:jc w:val="center"/>
              <w:textAlignment w:val="bottom"/>
              <w:rPr>
                <w:rFonts w:hint="default" w:ascii="仿宋" w:hAnsi="仿宋" w:eastAsia="仿宋" w:cs="仿宋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 w:bidi="ar"/>
              </w:rPr>
              <w:t>263.0/43.8%</w:t>
            </w:r>
          </w:p>
        </w:tc>
        <w:tc>
          <w:tcPr>
            <w:tcW w:w="1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D79FE8">
            <w:pPr>
              <w:widowControl/>
              <w:jc w:val="center"/>
              <w:textAlignment w:val="bottom"/>
              <w:rPr>
                <w:rFonts w:hint="default" w:ascii="仿宋" w:hAnsi="仿宋" w:eastAsia="仿宋" w:cs="仿宋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 w:bidi="ar"/>
              </w:rPr>
              <w:t>477.3</w:t>
            </w:r>
          </w:p>
        </w:tc>
      </w:tr>
    </w:tbl>
    <w:p w14:paraId="5288F4C1">
      <w:pPr>
        <w:jc w:val="both"/>
        <w:rPr>
          <w:rFonts w:hint="eastAsia" w:ascii="仿宋" w:hAnsi="仿宋" w:eastAsia="仿宋" w:cs="仿宋"/>
          <w:sz w:val="36"/>
          <w:szCs w:val="36"/>
        </w:rPr>
      </w:pPr>
    </w:p>
    <w:p w14:paraId="46FEE1AF">
      <w:pPr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1800" w:right="930" w:bottom="1800" w:left="90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024435"/>
    <w:rsid w:val="01123D9E"/>
    <w:rsid w:val="01E90FE1"/>
    <w:rsid w:val="05735A3A"/>
    <w:rsid w:val="09CE54AD"/>
    <w:rsid w:val="0A4E24E1"/>
    <w:rsid w:val="0C1F0548"/>
    <w:rsid w:val="0C311C32"/>
    <w:rsid w:val="0D366EE9"/>
    <w:rsid w:val="115E3FEE"/>
    <w:rsid w:val="11DB2F47"/>
    <w:rsid w:val="12402E84"/>
    <w:rsid w:val="12DE0893"/>
    <w:rsid w:val="13B862C8"/>
    <w:rsid w:val="14060DE1"/>
    <w:rsid w:val="149F7716"/>
    <w:rsid w:val="183A374F"/>
    <w:rsid w:val="2031368A"/>
    <w:rsid w:val="21CB3814"/>
    <w:rsid w:val="2287716D"/>
    <w:rsid w:val="23264FFC"/>
    <w:rsid w:val="29A14289"/>
    <w:rsid w:val="2A415297"/>
    <w:rsid w:val="2D8366BB"/>
    <w:rsid w:val="39183631"/>
    <w:rsid w:val="399E39A9"/>
    <w:rsid w:val="39D71C86"/>
    <w:rsid w:val="3AAA60BB"/>
    <w:rsid w:val="3D6D582E"/>
    <w:rsid w:val="3D8A4574"/>
    <w:rsid w:val="3DB50FFF"/>
    <w:rsid w:val="44C67665"/>
    <w:rsid w:val="47F3216A"/>
    <w:rsid w:val="48BA11FA"/>
    <w:rsid w:val="4A804742"/>
    <w:rsid w:val="4CD9638C"/>
    <w:rsid w:val="4DFA0CB0"/>
    <w:rsid w:val="51B227FA"/>
    <w:rsid w:val="5234700E"/>
    <w:rsid w:val="52C131AC"/>
    <w:rsid w:val="55B45575"/>
    <w:rsid w:val="56CD0D0F"/>
    <w:rsid w:val="60065292"/>
    <w:rsid w:val="6284166C"/>
    <w:rsid w:val="65363F24"/>
    <w:rsid w:val="6589499B"/>
    <w:rsid w:val="65915CCD"/>
    <w:rsid w:val="66106E4C"/>
    <w:rsid w:val="6A1119AC"/>
    <w:rsid w:val="6A9774F1"/>
    <w:rsid w:val="6BD66D6A"/>
    <w:rsid w:val="6C33493E"/>
    <w:rsid w:val="71EF5B86"/>
    <w:rsid w:val="7A024435"/>
    <w:rsid w:val="7CE50341"/>
    <w:rsid w:val="7CFC42FA"/>
    <w:rsid w:val="7E933D3D"/>
    <w:rsid w:val="9FAA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391</Words>
  <Characters>474</Characters>
  <Lines>0</Lines>
  <Paragraphs>0</Paragraphs>
  <TotalTime>18</TotalTime>
  <ScaleCrop>false</ScaleCrop>
  <LinksUpToDate>false</LinksUpToDate>
  <CharactersWithSpaces>499</CharactersWithSpaces>
  <Application>WPS Office_12.1.2.24720_F1E327BC-269C-435d-A152-05C5408002CA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2025-09-25T13:54:00Z</dcterms:created>
  <dc:creator>晏柔</dc:creator>
  <cp:lastModifiedBy>廖云松</cp:lastModifiedBy>
  <dcterms:modified xsi:type="dcterms:W3CDTF">2026-07-08T10:25:10Z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2052-12.1.2.24720</vt:lpwstr>
  </property>
  <property fmtid="{D5CDD505-2E9C-101B-9397-08002B2CF9AE}" pid="3" name="ICV">
    <vt:lpwstr>398A04B72974453B06B54D6A9753A4DF_43</vt:lpwstr>
  </property>
  <property fmtid="{D5CDD505-2E9C-101B-9397-08002B2CF9AE}" pid="4" name="KSOTemplateDocerSaveRecord">
    <vt:lpwstr>eyJoZGlkIjoiNzgzY2IxMjZmZmJiN2YwZjk5YjIwYjA0NTU3NTkyYzUiLCJ1c2VySWQiOiI0MzE2NzExNzAifQ==</vt:lpwstr>
  </property>
</Properties>
</file>