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1AB89">
      <w:pPr>
        <w:keepNext w:val="0"/>
        <w:keepLines w:val="0"/>
        <w:pageBreakBefore w:val="0"/>
        <w:widowControl w:val="0"/>
        <w:kinsoku/>
        <w:wordWrap/>
        <w:topLinePunct w:val="0"/>
        <w:autoSpaceDE/>
        <w:autoSpaceDN/>
        <w:bidi w:val="0"/>
        <w:adjustRightInd/>
        <w:snapToGrid/>
        <w:spacing w:line="560" w:lineRule="exact"/>
        <w:ind w:left="0" w:leftChars="0"/>
        <w:jc w:val="both"/>
        <w:textAlignment w:val="auto"/>
        <w:rPr>
          <w:rFonts w:hint="eastAsia" w:ascii="黑体" w:hAnsi="黑体" w:eastAsia="黑体" w:cs="黑体"/>
          <w:snapToGrid w:val="0"/>
          <w:color w:val="auto"/>
          <w:kern w:val="0"/>
          <w:sz w:val="32"/>
          <w:szCs w:val="32"/>
          <w:lang w:val="en-US" w:eastAsia="zh-CN"/>
        </w:rPr>
      </w:pPr>
      <w:r>
        <w:rPr>
          <w:rFonts w:hint="eastAsia" w:ascii="黑体" w:hAnsi="黑体" w:eastAsia="黑体" w:cs="黑体"/>
          <w:snapToGrid w:val="0"/>
          <w:color w:val="auto"/>
          <w:kern w:val="0"/>
          <w:sz w:val="32"/>
          <w:szCs w:val="32"/>
        </w:rPr>
        <w:t>附件</w:t>
      </w:r>
      <w:r>
        <w:rPr>
          <w:rFonts w:hint="eastAsia" w:ascii="黑体" w:hAnsi="黑体" w:eastAsia="黑体" w:cs="黑体"/>
          <w:snapToGrid w:val="0"/>
          <w:color w:val="auto"/>
          <w:kern w:val="0"/>
          <w:sz w:val="32"/>
          <w:szCs w:val="32"/>
          <w:lang w:val="en-US" w:eastAsia="zh-CN"/>
        </w:rPr>
        <w:t>4</w:t>
      </w:r>
    </w:p>
    <w:p w14:paraId="0FCDE22F">
      <w:pPr>
        <w:keepNext w:val="0"/>
        <w:keepLines w:val="0"/>
        <w:pageBreakBefore w:val="0"/>
        <w:widowControl w:val="0"/>
        <w:kinsoku/>
        <w:wordWrap/>
        <w:topLinePunct w:val="0"/>
        <w:autoSpaceDE/>
        <w:autoSpaceDN/>
        <w:bidi w:val="0"/>
        <w:adjustRightInd/>
        <w:snapToGrid/>
        <w:spacing w:line="560" w:lineRule="exact"/>
        <w:ind w:left="0" w:leftChars="0"/>
        <w:jc w:val="center"/>
        <w:textAlignment w:val="auto"/>
        <w:rPr>
          <w:rFonts w:hint="eastAsia" w:ascii="宋体" w:hAnsi="宋体" w:eastAsia="宋体" w:cs="宋体"/>
          <w:b/>
          <w:bCs/>
          <w:snapToGrid w:val="0"/>
          <w:color w:val="auto"/>
          <w:kern w:val="0"/>
          <w:sz w:val="44"/>
          <w:szCs w:val="52"/>
        </w:rPr>
      </w:pPr>
      <w:r>
        <w:rPr>
          <w:rFonts w:hint="eastAsia" w:ascii="宋体" w:hAnsi="宋体" w:eastAsia="宋体" w:cs="宋体"/>
          <w:b/>
          <w:bCs/>
          <w:snapToGrid w:val="0"/>
          <w:color w:val="auto"/>
          <w:kern w:val="0"/>
          <w:sz w:val="44"/>
          <w:szCs w:val="52"/>
        </w:rPr>
        <w:t>浑南区数字文化系统建设方案</w:t>
      </w:r>
    </w:p>
    <w:p w14:paraId="7AC8A919">
      <w:pPr>
        <w:keepNext w:val="0"/>
        <w:keepLines w:val="0"/>
        <w:pageBreakBefore w:val="0"/>
        <w:widowControl w:val="0"/>
        <w:kinsoku/>
        <w:wordWrap/>
        <w:topLinePunct w:val="0"/>
        <w:autoSpaceDE/>
        <w:autoSpaceDN/>
        <w:bidi w:val="0"/>
        <w:adjustRightInd/>
        <w:snapToGrid/>
        <w:spacing w:line="560" w:lineRule="exact"/>
        <w:ind w:left="0" w:leftChars="0" w:firstLine="643" w:firstLineChars="200"/>
        <w:jc w:val="both"/>
        <w:textAlignment w:val="auto"/>
        <w:rPr>
          <w:rFonts w:ascii="宋体" w:hAnsi="宋体" w:eastAsia="宋体" w:cs="宋体"/>
          <w:b/>
          <w:bCs/>
          <w:snapToGrid w:val="0"/>
          <w:color w:val="auto"/>
          <w:kern w:val="0"/>
          <w:sz w:val="32"/>
          <w:szCs w:val="52"/>
        </w:rPr>
      </w:pPr>
    </w:p>
    <w:p w14:paraId="7E14DF68">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jc w:val="both"/>
        <w:textAlignment w:val="auto"/>
        <w:rPr>
          <w:rFonts w:ascii="仿宋_GB2312" w:hAnsi="仿宋_GB2312" w:eastAsia="仿宋_GB2312" w:cs="仿宋_GB2312"/>
          <w:snapToGrid w:val="0"/>
          <w:color w:val="auto"/>
          <w:kern w:val="0"/>
          <w:sz w:val="32"/>
          <w:szCs w:val="40"/>
        </w:rPr>
      </w:pPr>
      <w:r>
        <w:rPr>
          <w:rFonts w:hint="eastAsia" w:ascii="仿宋_GB2312" w:hAnsi="仿宋_GB2312" w:eastAsia="仿宋_GB2312" w:cs="仿宋_GB2312"/>
          <w:snapToGrid w:val="0"/>
          <w:color w:val="auto"/>
          <w:kern w:val="0"/>
          <w:sz w:val="32"/>
          <w:szCs w:val="40"/>
        </w:rPr>
        <w:t>根据《数字沈阳发展规划》《沈阳市推进文化数字化战略实施方案》等有关文件精神，为全面提升数字文化建设的整体性、系统性、协同性，促进数字浑南建设，结合浑南区实际，现制定本方案。</w:t>
      </w:r>
    </w:p>
    <w:p w14:paraId="3A4CB0B9">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jc w:val="both"/>
        <w:textAlignment w:val="auto"/>
        <w:rPr>
          <w:rFonts w:ascii="黑体" w:hAnsi="黑体" w:eastAsia="黑体" w:cs="黑体"/>
          <w:snapToGrid w:val="0"/>
          <w:color w:val="auto"/>
          <w:kern w:val="0"/>
          <w:sz w:val="32"/>
          <w:szCs w:val="40"/>
        </w:rPr>
      </w:pPr>
      <w:r>
        <w:rPr>
          <w:rFonts w:hint="eastAsia" w:ascii="黑体" w:hAnsi="黑体" w:eastAsia="黑体" w:cs="黑体"/>
          <w:snapToGrid w:val="0"/>
          <w:color w:val="auto"/>
          <w:kern w:val="0"/>
          <w:sz w:val="32"/>
          <w:szCs w:val="40"/>
        </w:rPr>
        <w:t>一、总体要求</w:t>
      </w:r>
    </w:p>
    <w:p w14:paraId="388488A0">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jc w:val="both"/>
        <w:textAlignment w:val="auto"/>
        <w:rPr>
          <w:rFonts w:ascii="仿宋_GB2312" w:hAnsi="仿宋_GB2312" w:eastAsia="仿宋_GB2312" w:cs="仿宋_GB2312"/>
          <w:snapToGrid w:val="0"/>
          <w:color w:val="auto"/>
          <w:kern w:val="0"/>
          <w:sz w:val="32"/>
          <w:szCs w:val="40"/>
        </w:rPr>
      </w:pPr>
      <w:r>
        <w:rPr>
          <w:rFonts w:hint="eastAsia" w:ascii="仿宋_GB2312" w:hAnsi="仿宋_GB2312" w:eastAsia="仿宋_GB2312" w:cs="仿宋_GB2312"/>
          <w:snapToGrid w:val="0"/>
          <w:color w:val="auto"/>
          <w:kern w:val="0"/>
          <w:sz w:val="32"/>
          <w:szCs w:val="40"/>
        </w:rPr>
        <w:t>以习近平新时代中国特色社会主义思想为指导，全面贯彻党的二十大和二十届一中、二中全会精神，深入贯彻落实习近平总书记关于东北、辽宁振兴发展的重要讲话和指示批示精神，坚持社会效益优先、社会效益和经济效益相统一的原则，统筹运用数字技术、数字思维、数字认知，以文化大数据体系建设为抓手，大力推进实施文化数字化战略，进一步激发文化创新创造活力，提升文化治理能力现代化水平，抢占数字文化新赛道。到2024年，建成1家数字化爱国主义教育示范基地、2个数字化图书馆（城市书房），推动数字文化基础设施不断完善。到2025年，重点推广应用“一机游沈阳”平台和文旅大数据分析平台，建成市级融媒体中心，推动数字文化系统迭代升级。到2026年，建成1个数字引领型文化产业园区（基地），推出1个文旅元宇宙应用场景，数字文化消费规模进一步扩大，数字文化供给质量显著提升，为我区在辽宁打造新时代“六地”中当好文化“排头兵”有效赋能。</w:t>
      </w:r>
    </w:p>
    <w:p w14:paraId="264422A3">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jc w:val="both"/>
        <w:textAlignment w:val="auto"/>
        <w:rPr>
          <w:rFonts w:ascii="黑体" w:hAnsi="黑体" w:eastAsia="黑体" w:cs="黑体"/>
          <w:snapToGrid w:val="0"/>
          <w:color w:val="auto"/>
          <w:kern w:val="0"/>
          <w:sz w:val="32"/>
          <w:szCs w:val="32"/>
        </w:rPr>
      </w:pPr>
      <w:r>
        <w:rPr>
          <w:rFonts w:ascii="黑体" w:hAnsi="黑体" w:eastAsia="黑体" w:cs="黑体"/>
          <w:snapToGrid w:val="0"/>
          <w:color w:val="auto"/>
          <w:kern w:val="0"/>
          <w:sz w:val="32"/>
          <w:szCs w:val="32"/>
        </w:rPr>
        <w:t>二、</w:t>
      </w:r>
      <w:r>
        <w:rPr>
          <w:rFonts w:hint="eastAsia" w:ascii="黑体" w:hAnsi="黑体" w:eastAsia="黑体" w:cs="黑体"/>
          <w:snapToGrid w:val="0"/>
          <w:color w:val="auto"/>
          <w:kern w:val="0"/>
          <w:sz w:val="32"/>
          <w:szCs w:val="32"/>
        </w:rPr>
        <w:t>工作</w:t>
      </w:r>
      <w:r>
        <w:rPr>
          <w:rFonts w:ascii="黑体" w:hAnsi="黑体" w:eastAsia="黑体" w:cs="黑体"/>
          <w:snapToGrid w:val="0"/>
          <w:color w:val="auto"/>
          <w:kern w:val="0"/>
          <w:sz w:val="32"/>
          <w:szCs w:val="32"/>
        </w:rPr>
        <w:t>任务</w:t>
      </w:r>
    </w:p>
    <w:p w14:paraId="5CF9394C">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jc w:val="both"/>
        <w:textAlignment w:val="auto"/>
        <w:rPr>
          <w:rFonts w:ascii="楷体_GB2312" w:hAnsi="楷体_GB2312" w:eastAsia="楷体_GB2312" w:cs="楷体_GB2312"/>
          <w:b/>
          <w:bCs/>
          <w:snapToGrid w:val="0"/>
          <w:color w:val="auto"/>
          <w:kern w:val="0"/>
          <w:sz w:val="32"/>
          <w:szCs w:val="40"/>
        </w:rPr>
      </w:pPr>
      <w:r>
        <w:rPr>
          <w:rFonts w:hint="eastAsia" w:ascii="楷体_GB2312" w:hAnsi="楷体_GB2312" w:eastAsia="楷体_GB2312" w:cs="楷体_GB2312"/>
          <w:snapToGrid w:val="0"/>
          <w:color w:val="auto"/>
          <w:kern w:val="0"/>
          <w:sz w:val="32"/>
          <w:szCs w:val="40"/>
        </w:rPr>
        <w:t>（一）实施文化数据资源共享工程</w:t>
      </w:r>
    </w:p>
    <w:p w14:paraId="0C704973">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3" w:firstLineChars="200"/>
        <w:jc w:val="both"/>
        <w:textAlignment w:val="auto"/>
        <w:rPr>
          <w:rFonts w:ascii="仿宋_GB2312" w:hAnsi="仿宋_GB2312" w:eastAsia="仿宋_GB2312" w:cs="仿宋_GB2312"/>
          <w:snapToGrid w:val="0"/>
          <w:color w:val="auto"/>
          <w:kern w:val="0"/>
          <w:sz w:val="32"/>
          <w:szCs w:val="40"/>
        </w:rPr>
      </w:pPr>
      <w:r>
        <w:rPr>
          <w:rFonts w:hint="eastAsia" w:ascii="仿宋_GB2312" w:hAnsi="仿宋_GB2312" w:eastAsia="仿宋_GB2312" w:cs="仿宋_GB2312"/>
          <w:b/>
          <w:bCs/>
          <w:snapToGrid w:val="0"/>
          <w:color w:val="auto"/>
          <w:kern w:val="0"/>
          <w:sz w:val="32"/>
          <w:szCs w:val="40"/>
        </w:rPr>
        <w:t>主要目标</w:t>
      </w:r>
      <w:r>
        <w:rPr>
          <w:rFonts w:hint="eastAsia" w:ascii="仿宋_GB2312" w:hAnsi="仿宋_GB2312" w:eastAsia="仿宋_GB2312" w:cs="仿宋_GB2312"/>
          <w:snapToGrid w:val="0"/>
          <w:color w:val="auto"/>
          <w:kern w:val="0"/>
          <w:sz w:val="32"/>
          <w:szCs w:val="40"/>
        </w:rPr>
        <w:t>：加快文化资源的数字化步伐，促进资源数字化开发和转化。到2024年，完成1家数字化爱国主义教育示范基地建设；到2025年，完成2家数字化爱国主义教育示范基地建设；到2026年，建成浑南区红色基因库，与全市文化专题数据库贯通。</w:t>
      </w:r>
    </w:p>
    <w:p w14:paraId="781BB872">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3" w:firstLineChars="200"/>
        <w:jc w:val="both"/>
        <w:textAlignment w:val="auto"/>
        <w:rPr>
          <w:rFonts w:ascii="仿宋_GB2312" w:hAnsi="仿宋_GB2312" w:eastAsia="仿宋_GB2312" w:cs="仿宋_GB2312"/>
          <w:snapToGrid w:val="0"/>
          <w:color w:val="auto"/>
          <w:kern w:val="0"/>
          <w:sz w:val="32"/>
          <w:szCs w:val="40"/>
        </w:rPr>
      </w:pPr>
      <w:r>
        <w:rPr>
          <w:rFonts w:hint="eastAsia" w:ascii="仿宋_GB2312" w:hAnsi="仿宋_GB2312" w:eastAsia="仿宋_GB2312" w:cs="仿宋_GB2312"/>
          <w:b/>
          <w:bCs/>
          <w:snapToGrid w:val="0"/>
          <w:color w:val="auto"/>
          <w:kern w:val="0"/>
          <w:sz w:val="32"/>
          <w:szCs w:val="40"/>
        </w:rPr>
        <w:t>实施路径</w:t>
      </w:r>
      <w:r>
        <w:rPr>
          <w:rFonts w:hint="eastAsia" w:ascii="仿宋_GB2312" w:hAnsi="仿宋_GB2312" w:eastAsia="仿宋_GB2312" w:cs="仿宋_GB2312"/>
          <w:snapToGrid w:val="0"/>
          <w:color w:val="auto"/>
          <w:kern w:val="0"/>
          <w:sz w:val="32"/>
          <w:szCs w:val="40"/>
        </w:rPr>
        <w:t>：统筹利用浑南区文化领域各类数字化工程和数据库所形成的成果，按照统一标准关联不同领域、不同形态的文化资源数据及文化数据源、文化实体。开展爱国主义教育示范基地等场馆数字化建设工作，丰富提升文化资源数字化服务能力。</w:t>
      </w:r>
    </w:p>
    <w:p w14:paraId="6B2A8C56">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3" w:firstLineChars="200"/>
        <w:jc w:val="both"/>
        <w:textAlignment w:val="auto"/>
        <w:rPr>
          <w:rFonts w:ascii="仿宋_GB2312" w:hAnsi="仿宋_GB2312" w:eastAsia="仿宋_GB2312" w:cs="仿宋_GB2312"/>
          <w:snapToGrid w:val="0"/>
          <w:color w:val="auto"/>
          <w:kern w:val="2"/>
          <w:sz w:val="32"/>
          <w:szCs w:val="40"/>
          <w:lang w:val="en-US" w:eastAsia="zh-CN" w:bidi="ar-SA"/>
        </w:rPr>
      </w:pPr>
      <w:r>
        <w:rPr>
          <w:rFonts w:hint="eastAsia" w:ascii="仿宋_GB2312" w:hAnsi="仿宋_GB2312" w:eastAsia="仿宋_GB2312" w:cs="仿宋_GB2312"/>
          <w:b/>
          <w:bCs/>
          <w:snapToGrid w:val="0"/>
          <w:color w:val="auto"/>
          <w:kern w:val="2"/>
          <w:sz w:val="32"/>
          <w:szCs w:val="40"/>
          <w:lang w:val="en-US" w:eastAsia="zh-CN" w:bidi="ar-SA"/>
        </w:rPr>
        <w:t>重要举措</w:t>
      </w:r>
      <w:r>
        <w:rPr>
          <w:rFonts w:hint="eastAsia" w:ascii="仿宋_GB2312" w:hAnsi="仿宋_GB2312" w:eastAsia="仿宋_GB2312" w:cs="仿宋_GB2312"/>
          <w:snapToGrid w:val="0"/>
          <w:color w:val="auto"/>
          <w:kern w:val="2"/>
          <w:sz w:val="32"/>
          <w:szCs w:val="40"/>
          <w:lang w:val="en-US" w:eastAsia="zh-CN" w:bidi="ar-SA"/>
        </w:rPr>
        <w:t>：</w:t>
      </w:r>
    </w:p>
    <w:p w14:paraId="4D124DEC">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jc w:val="both"/>
        <w:textAlignment w:val="auto"/>
        <w:rPr>
          <w:rFonts w:ascii="仿宋_GB2312" w:hAnsi="仿宋_GB2312" w:eastAsia="仿宋_GB2312" w:cs="仿宋_GB2312"/>
          <w:snapToGrid w:val="0"/>
          <w:color w:val="auto"/>
          <w:kern w:val="0"/>
          <w:sz w:val="32"/>
          <w:szCs w:val="40"/>
        </w:rPr>
      </w:pPr>
      <w:r>
        <w:rPr>
          <w:rFonts w:hint="eastAsia" w:ascii="仿宋_GB2312" w:hAnsi="仿宋_GB2312" w:eastAsia="仿宋_GB2312" w:cs="仿宋_GB2312"/>
          <w:snapToGrid w:val="0"/>
          <w:color w:val="auto"/>
          <w:kern w:val="0"/>
          <w:sz w:val="32"/>
          <w:szCs w:val="40"/>
        </w:rPr>
        <w:t>1.启动、建设浑南区文化专题数据库共享、开放工作。依据国家文化大数据体系统一标准，按照“物理分布、逻辑关联”原则，贯通全民艺术资源，推动更多浑南区优秀地域文化资源融入全市文化遗产标本库、全市民族文化基因库、全市文化素材库。</w:t>
      </w:r>
    </w:p>
    <w:p w14:paraId="72951546">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jc w:val="both"/>
        <w:textAlignment w:val="auto"/>
        <w:rPr>
          <w:rFonts w:ascii="仿宋_GB2312" w:hAnsi="仿宋_GB2312" w:eastAsia="仿宋_GB2312" w:cs="仿宋_GB2312"/>
          <w:snapToGrid w:val="0"/>
          <w:color w:val="auto"/>
          <w:kern w:val="0"/>
          <w:sz w:val="32"/>
          <w:szCs w:val="40"/>
        </w:rPr>
      </w:pPr>
      <w:r>
        <w:rPr>
          <w:rFonts w:hint="eastAsia" w:ascii="仿宋_GB2312" w:hAnsi="仿宋_GB2312" w:eastAsia="仿宋_GB2312" w:cs="仿宋_GB2312"/>
          <w:snapToGrid w:val="0"/>
          <w:color w:val="auto"/>
          <w:kern w:val="0"/>
          <w:sz w:val="32"/>
          <w:szCs w:val="40"/>
        </w:rPr>
        <w:t>2.建设红色基因库。依托辽宁“六地”红色文化资源优势，结合棋盘山风景区的资源，弘扬传播浑南历史文化、红色文化、民族文化，以各级爱国主义教育示范基地、红色旅游经典名录为主要目标对象，分批次将地区的陈列品、纪念碑（塔）、出版物、音视频等进行高精度数据采集储存、共享、开放，并以历史事件、英烈人物、感人故事为线索，对红色文化数据进行专业化标注和关联。</w:t>
      </w:r>
    </w:p>
    <w:p w14:paraId="41870921">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jc w:val="both"/>
        <w:textAlignment w:val="auto"/>
        <w:rPr>
          <w:rFonts w:ascii="仿宋_GB2312" w:hAnsi="仿宋_GB2312" w:eastAsia="仿宋_GB2312" w:cs="仿宋_GB2312"/>
          <w:snapToGrid w:val="0"/>
          <w:color w:val="auto"/>
          <w:kern w:val="0"/>
          <w:sz w:val="32"/>
          <w:szCs w:val="40"/>
        </w:rPr>
      </w:pPr>
      <w:r>
        <w:rPr>
          <w:rFonts w:hint="eastAsia" w:ascii="仿宋_GB2312" w:hAnsi="仿宋_GB2312" w:eastAsia="仿宋_GB2312" w:cs="仿宋_GB2312"/>
          <w:snapToGrid w:val="0"/>
          <w:color w:val="auto"/>
          <w:kern w:val="0"/>
          <w:sz w:val="32"/>
          <w:szCs w:val="40"/>
        </w:rPr>
        <w:t>3.推进文物历史资源活化。加快数字技术与相关文化场馆的融合发展，逐步推出虚拟展厅、沉浸式体验、云展览、云直播等服务项目，运用数字技术手段，全场景、精细化复原馆藏展品，给游客带来身临其境的沉浸式体验。深入实施文物建筑可阅读工程，为文物保护单位及重要历史建筑加挂简介牌和二维码，展示文物历史建筑信息，深挖文物历史建筑背后的故事，让更多文物历史建筑借助数字技术“活”起来。</w:t>
      </w:r>
    </w:p>
    <w:p w14:paraId="6B2DBF27">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jc w:val="both"/>
        <w:textAlignment w:val="auto"/>
        <w:rPr>
          <w:rFonts w:ascii="仿宋_GB2312" w:hAnsi="仿宋_GB2312" w:eastAsia="仿宋_GB2312" w:cs="仿宋_GB2312"/>
          <w:snapToGrid w:val="0"/>
          <w:color w:val="auto"/>
          <w:kern w:val="0"/>
          <w:sz w:val="32"/>
          <w:szCs w:val="40"/>
        </w:rPr>
      </w:pPr>
      <w:r>
        <w:rPr>
          <w:rFonts w:hint="eastAsia" w:ascii="仿宋_GB2312" w:hAnsi="仿宋_GB2312" w:eastAsia="仿宋_GB2312" w:cs="仿宋_GB2312"/>
          <w:snapToGrid w:val="0"/>
          <w:color w:val="auto"/>
          <w:kern w:val="0"/>
          <w:sz w:val="32"/>
          <w:szCs w:val="40"/>
        </w:rPr>
        <w:t>4.实施</w:t>
      </w:r>
      <w:r>
        <w:rPr>
          <w:rFonts w:hint="eastAsia" w:ascii="仿宋_GB2312" w:hAnsi="仿宋_GB2312" w:eastAsia="仿宋_GB2312" w:cs="仿宋_GB2312"/>
          <w:snapToGrid w:val="0"/>
          <w:color w:val="auto"/>
          <w:kern w:val="0"/>
          <w:sz w:val="32"/>
          <w:szCs w:val="40"/>
          <w:lang w:eastAsia="zh-CN"/>
        </w:rPr>
        <w:t>“‘数据要素×’文化旅游”</w:t>
      </w:r>
      <w:r>
        <w:rPr>
          <w:rFonts w:hint="eastAsia" w:ascii="仿宋_GB2312" w:hAnsi="仿宋_GB2312" w:eastAsia="仿宋_GB2312" w:cs="仿宋_GB2312"/>
          <w:snapToGrid w:val="0"/>
          <w:color w:val="auto"/>
          <w:kern w:val="0"/>
          <w:sz w:val="32"/>
          <w:szCs w:val="40"/>
        </w:rPr>
        <w:t>行动。扎实做好文旅领域数字化共建、共享与应用工作，打造一批示范性强、显示度高、带动性广的典型应用场景，产品和服务质量效益实现明显提升，数据赋能文化旅游提质增效作用更加凸显，成为文旅行业高质量发展的重要驱动力量。</w:t>
      </w:r>
    </w:p>
    <w:p w14:paraId="49028071">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3" w:firstLineChars="200"/>
        <w:jc w:val="both"/>
        <w:textAlignment w:val="auto"/>
        <w:rPr>
          <w:rFonts w:ascii="仿宋_GB2312" w:hAnsi="仿宋_GB2312" w:eastAsia="仿宋_GB2312" w:cs="仿宋_GB2312"/>
          <w:snapToGrid w:val="0"/>
          <w:color w:val="auto"/>
          <w:kern w:val="0"/>
          <w:sz w:val="32"/>
          <w:szCs w:val="40"/>
        </w:rPr>
      </w:pPr>
      <w:r>
        <w:rPr>
          <w:rFonts w:hint="eastAsia" w:ascii="仿宋_GB2312" w:hAnsi="仿宋_GB2312" w:eastAsia="仿宋_GB2312" w:cs="仿宋_GB2312"/>
          <w:b/>
          <w:bCs/>
          <w:snapToGrid w:val="0"/>
          <w:color w:val="auto"/>
          <w:kern w:val="0"/>
          <w:sz w:val="32"/>
          <w:szCs w:val="40"/>
        </w:rPr>
        <w:t>政策保障</w:t>
      </w:r>
      <w:r>
        <w:rPr>
          <w:rFonts w:hint="eastAsia" w:ascii="仿宋_GB2312" w:hAnsi="仿宋_GB2312" w:eastAsia="仿宋_GB2312" w:cs="仿宋_GB2312"/>
          <w:snapToGrid w:val="0"/>
          <w:color w:val="auto"/>
          <w:kern w:val="0"/>
          <w:sz w:val="32"/>
          <w:szCs w:val="40"/>
        </w:rPr>
        <w:t>：《数字沈阳发展规划》《数字沈阳建设行动计划》《沈阳市推进文化数字化战略实施方案》《关于印发〈沈阳市博物馆“百馆”工程三年行动方案(2021-2023 年)〉和〈沈阳市非国有博物馆扶持办法〉的通</w:t>
      </w:r>
      <w:bookmarkStart w:id="0" w:name="_GoBack"/>
      <w:bookmarkEnd w:id="0"/>
      <w:r>
        <w:rPr>
          <w:rFonts w:hint="eastAsia" w:ascii="仿宋_GB2312" w:hAnsi="仿宋_GB2312" w:eastAsia="仿宋_GB2312" w:cs="仿宋_GB2312"/>
          <w:snapToGrid w:val="0"/>
          <w:color w:val="auto"/>
          <w:kern w:val="0"/>
          <w:sz w:val="32"/>
          <w:szCs w:val="40"/>
        </w:rPr>
        <w:t>知》</w:t>
      </w:r>
    </w:p>
    <w:p w14:paraId="3EF18461">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jc w:val="both"/>
        <w:textAlignment w:val="auto"/>
        <w:rPr>
          <w:rFonts w:ascii="楷体_GB2312" w:hAnsi="楷体_GB2312" w:eastAsia="楷体_GB2312" w:cs="楷体_GB2312"/>
          <w:snapToGrid w:val="0"/>
          <w:color w:val="auto"/>
          <w:kern w:val="0"/>
          <w:sz w:val="32"/>
          <w:szCs w:val="40"/>
        </w:rPr>
      </w:pPr>
      <w:r>
        <w:rPr>
          <w:rFonts w:hint="eastAsia" w:ascii="楷体_GB2312" w:hAnsi="楷体_GB2312" w:eastAsia="楷体_GB2312" w:cs="楷体_GB2312"/>
          <w:snapToGrid w:val="0"/>
          <w:color w:val="auto"/>
          <w:kern w:val="0"/>
          <w:sz w:val="32"/>
          <w:szCs w:val="40"/>
        </w:rPr>
        <w:t>（二）实施文化数字化基础设施夯实工程</w:t>
      </w:r>
    </w:p>
    <w:p w14:paraId="58BB2CEE">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3" w:firstLineChars="200"/>
        <w:jc w:val="both"/>
        <w:textAlignment w:val="auto"/>
        <w:rPr>
          <w:rFonts w:ascii="仿宋_GB2312" w:hAnsi="仿宋_GB2312" w:eastAsia="仿宋_GB2312" w:cs="仿宋_GB2312"/>
          <w:snapToGrid w:val="0"/>
          <w:color w:val="auto"/>
          <w:kern w:val="0"/>
          <w:sz w:val="32"/>
          <w:szCs w:val="40"/>
        </w:rPr>
      </w:pPr>
      <w:r>
        <w:rPr>
          <w:rFonts w:hint="eastAsia" w:ascii="仿宋_GB2312" w:hAnsi="仿宋_GB2312" w:eastAsia="仿宋_GB2312" w:cs="仿宋_GB2312"/>
          <w:b/>
          <w:bCs/>
          <w:snapToGrid w:val="0"/>
          <w:color w:val="auto"/>
          <w:kern w:val="0"/>
          <w:sz w:val="32"/>
          <w:szCs w:val="40"/>
        </w:rPr>
        <w:t>主要目标</w:t>
      </w:r>
      <w:r>
        <w:rPr>
          <w:rFonts w:hint="eastAsia" w:ascii="仿宋_GB2312" w:hAnsi="仿宋_GB2312" w:eastAsia="仿宋_GB2312" w:cs="仿宋_GB2312"/>
          <w:snapToGrid w:val="0"/>
          <w:color w:val="auto"/>
          <w:kern w:val="0"/>
          <w:sz w:val="32"/>
          <w:szCs w:val="40"/>
        </w:rPr>
        <w:t>：健全完善文化数字化基础设施，有效服务文化资源数据的存储、传输、交易和文化数字内容分发。到2024年，建设完善文化物联网设备设施；到2025年，开展与全市文化专网、各文化机构数据对接工作；到2026年，与全市以及省和国家文化大数据体系连接。</w:t>
      </w:r>
    </w:p>
    <w:p w14:paraId="0D600282">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3" w:firstLineChars="200"/>
        <w:jc w:val="both"/>
        <w:textAlignment w:val="auto"/>
        <w:rPr>
          <w:rFonts w:ascii="仿宋_GB2312" w:hAnsi="仿宋_GB2312" w:eastAsia="仿宋_GB2312" w:cs="仿宋_GB2312"/>
          <w:snapToGrid w:val="0"/>
          <w:color w:val="auto"/>
          <w:kern w:val="0"/>
          <w:sz w:val="32"/>
          <w:szCs w:val="40"/>
        </w:rPr>
      </w:pPr>
      <w:r>
        <w:rPr>
          <w:rFonts w:hint="eastAsia" w:ascii="仿宋_GB2312" w:hAnsi="仿宋_GB2312" w:eastAsia="仿宋_GB2312" w:cs="仿宋_GB2312"/>
          <w:b/>
          <w:bCs/>
          <w:snapToGrid w:val="0"/>
          <w:color w:val="auto"/>
          <w:kern w:val="0"/>
          <w:sz w:val="32"/>
          <w:szCs w:val="40"/>
        </w:rPr>
        <w:t>实施路径</w:t>
      </w:r>
      <w:r>
        <w:rPr>
          <w:rFonts w:hint="eastAsia" w:ascii="仿宋_GB2312" w:hAnsi="仿宋_GB2312" w:eastAsia="仿宋_GB2312" w:cs="仿宋_GB2312"/>
          <w:snapToGrid w:val="0"/>
          <w:color w:val="auto"/>
          <w:kern w:val="0"/>
          <w:sz w:val="32"/>
          <w:szCs w:val="40"/>
        </w:rPr>
        <w:t>：依托互联互通平台，运用5G、区块链、大数据、云计算、物联网等新技术，优化网络基础设施布局，推动文化物联网设备设施建设。</w:t>
      </w:r>
    </w:p>
    <w:p w14:paraId="4254188C">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3" w:firstLineChars="200"/>
        <w:jc w:val="both"/>
        <w:textAlignment w:val="auto"/>
        <w:rPr>
          <w:rFonts w:ascii="仿宋_GB2312" w:hAnsi="仿宋_GB2312" w:eastAsia="仿宋_GB2312" w:cs="仿宋_GB2312"/>
          <w:snapToGrid w:val="0"/>
          <w:color w:val="auto"/>
          <w:kern w:val="2"/>
          <w:sz w:val="32"/>
          <w:szCs w:val="40"/>
          <w:lang w:val="en-US" w:eastAsia="zh-CN" w:bidi="ar-SA"/>
        </w:rPr>
      </w:pPr>
      <w:r>
        <w:rPr>
          <w:rFonts w:hint="eastAsia" w:ascii="仿宋_GB2312" w:hAnsi="仿宋_GB2312" w:eastAsia="仿宋_GB2312" w:cs="仿宋_GB2312"/>
          <w:b/>
          <w:bCs/>
          <w:snapToGrid w:val="0"/>
          <w:color w:val="auto"/>
          <w:kern w:val="2"/>
          <w:sz w:val="32"/>
          <w:szCs w:val="40"/>
          <w:lang w:val="en-US" w:eastAsia="zh-CN" w:bidi="ar-SA"/>
        </w:rPr>
        <w:t>重要举措</w:t>
      </w:r>
      <w:r>
        <w:rPr>
          <w:rFonts w:hint="eastAsia" w:ascii="仿宋_GB2312" w:hAnsi="仿宋_GB2312" w:eastAsia="仿宋_GB2312" w:cs="仿宋_GB2312"/>
          <w:snapToGrid w:val="0"/>
          <w:color w:val="auto"/>
          <w:kern w:val="2"/>
          <w:sz w:val="32"/>
          <w:szCs w:val="40"/>
          <w:lang w:val="en-US" w:eastAsia="zh-CN" w:bidi="ar-SA"/>
        </w:rPr>
        <w:t>：</w:t>
      </w:r>
    </w:p>
    <w:p w14:paraId="4EFE38C5">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jc w:val="both"/>
        <w:textAlignment w:val="auto"/>
        <w:rPr>
          <w:rFonts w:ascii="仿宋_GB2312" w:hAnsi="仿宋_GB2312" w:eastAsia="仿宋_GB2312" w:cs="仿宋_GB2312"/>
          <w:snapToGrid w:val="0"/>
          <w:color w:val="auto"/>
          <w:kern w:val="0"/>
          <w:sz w:val="32"/>
          <w:szCs w:val="40"/>
        </w:rPr>
      </w:pPr>
      <w:r>
        <w:rPr>
          <w:rFonts w:hint="eastAsia" w:ascii="仿宋_GB2312" w:hAnsi="仿宋_GB2312" w:eastAsia="仿宋_GB2312" w:cs="仿宋_GB2312"/>
          <w:snapToGrid w:val="0"/>
          <w:color w:val="auto"/>
          <w:kern w:val="0"/>
          <w:sz w:val="32"/>
          <w:szCs w:val="40"/>
        </w:rPr>
        <w:t>1.配合全市文化专网建设。依托政务外网和互联互通平台，运用5G、区块链、大数据、云计算、物联网等新技术，优化网络基础设施布局，完善文化数据的存储、传输、交易和数字化基础设施建设。进一步扩大基层公共文化机构数字化物联网设备普及率和使用率。</w:t>
      </w:r>
    </w:p>
    <w:p w14:paraId="43B1153E">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jc w:val="both"/>
        <w:textAlignment w:val="auto"/>
        <w:rPr>
          <w:rFonts w:ascii="仿宋_GB2312" w:hAnsi="仿宋_GB2312" w:eastAsia="仿宋_GB2312" w:cs="仿宋_GB2312"/>
          <w:snapToGrid w:val="0"/>
          <w:color w:val="auto"/>
          <w:kern w:val="0"/>
          <w:sz w:val="32"/>
          <w:szCs w:val="40"/>
        </w:rPr>
      </w:pPr>
      <w:r>
        <w:rPr>
          <w:rFonts w:hint="eastAsia" w:ascii="仿宋_GB2312" w:hAnsi="仿宋_GB2312" w:eastAsia="仿宋_GB2312" w:cs="仿宋_GB2312"/>
          <w:snapToGrid w:val="0"/>
          <w:color w:val="auto"/>
          <w:kern w:val="0"/>
          <w:sz w:val="32"/>
          <w:szCs w:val="40"/>
        </w:rPr>
        <w:t>2.配合全市建设沈阳市域中心。按照全市部署，配合推进国家文化大数据体系沈阳市域中心服务平台建设，提升文化资源数据的存储、传输、交易和文化数字内容分发能力。</w:t>
      </w:r>
    </w:p>
    <w:p w14:paraId="1C3AA2D1">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3" w:firstLineChars="200"/>
        <w:jc w:val="both"/>
        <w:textAlignment w:val="auto"/>
        <w:rPr>
          <w:rFonts w:ascii="仿宋_GB2312" w:hAnsi="仿宋_GB2312" w:eastAsia="仿宋_GB2312" w:cs="仿宋_GB2312"/>
          <w:snapToGrid w:val="0"/>
          <w:color w:val="auto"/>
          <w:kern w:val="2"/>
          <w:sz w:val="32"/>
          <w:szCs w:val="40"/>
        </w:rPr>
      </w:pPr>
      <w:r>
        <w:rPr>
          <w:rFonts w:hint="eastAsia" w:ascii="仿宋_GB2312" w:hAnsi="仿宋_GB2312" w:eastAsia="仿宋_GB2312" w:cs="仿宋_GB2312"/>
          <w:b/>
          <w:bCs/>
          <w:snapToGrid w:val="0"/>
          <w:color w:val="auto"/>
          <w:kern w:val="0"/>
          <w:sz w:val="32"/>
          <w:szCs w:val="40"/>
        </w:rPr>
        <w:t>政策保障</w:t>
      </w:r>
      <w:r>
        <w:rPr>
          <w:rFonts w:hint="eastAsia" w:ascii="仿宋_GB2312" w:hAnsi="仿宋_GB2312" w:eastAsia="仿宋_GB2312" w:cs="仿宋_GB2312"/>
          <w:snapToGrid w:val="0"/>
          <w:color w:val="auto"/>
          <w:kern w:val="2"/>
          <w:sz w:val="32"/>
          <w:szCs w:val="40"/>
        </w:rPr>
        <w:t>：《数字沈阳发展规划》《数字沈阳建设行动计划》《沈阳市推进文化数字化战略实施方案》</w:t>
      </w:r>
    </w:p>
    <w:p w14:paraId="39822EC6">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jc w:val="both"/>
        <w:textAlignment w:val="auto"/>
        <w:rPr>
          <w:rFonts w:ascii="楷体_GB2312" w:hAnsi="楷体_GB2312" w:eastAsia="楷体_GB2312" w:cs="楷体_GB2312"/>
          <w:snapToGrid w:val="0"/>
          <w:color w:val="auto"/>
          <w:kern w:val="0"/>
          <w:sz w:val="32"/>
          <w:szCs w:val="40"/>
        </w:rPr>
      </w:pPr>
      <w:r>
        <w:rPr>
          <w:rFonts w:hint="eastAsia" w:ascii="楷体_GB2312" w:hAnsi="楷体_GB2312" w:eastAsia="楷体_GB2312" w:cs="楷体_GB2312"/>
          <w:snapToGrid w:val="0"/>
          <w:color w:val="auto"/>
          <w:kern w:val="0"/>
          <w:sz w:val="32"/>
          <w:szCs w:val="40"/>
        </w:rPr>
        <w:t>（三）实施文化数据服务平台搭建工程</w:t>
      </w:r>
    </w:p>
    <w:p w14:paraId="320F9E4A">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3" w:firstLineChars="200"/>
        <w:jc w:val="both"/>
        <w:textAlignment w:val="auto"/>
        <w:rPr>
          <w:rFonts w:ascii="仿宋_GB2312" w:hAnsi="仿宋_GB2312" w:eastAsia="仿宋_GB2312" w:cs="仿宋_GB2312"/>
          <w:snapToGrid w:val="0"/>
          <w:color w:val="auto"/>
          <w:kern w:val="0"/>
          <w:sz w:val="32"/>
          <w:szCs w:val="40"/>
        </w:rPr>
      </w:pPr>
      <w:r>
        <w:rPr>
          <w:rFonts w:hint="eastAsia" w:ascii="仿宋_GB2312" w:hAnsi="仿宋_GB2312" w:eastAsia="仿宋_GB2312" w:cs="仿宋_GB2312"/>
          <w:b/>
          <w:bCs/>
          <w:snapToGrid w:val="0"/>
          <w:color w:val="auto"/>
          <w:kern w:val="0"/>
          <w:sz w:val="32"/>
          <w:szCs w:val="40"/>
        </w:rPr>
        <w:t>主要目标</w:t>
      </w:r>
      <w:r>
        <w:rPr>
          <w:rFonts w:hint="eastAsia" w:ascii="仿宋_GB2312" w:hAnsi="仿宋_GB2312" w:eastAsia="仿宋_GB2312" w:cs="仿宋_GB2312"/>
          <w:snapToGrid w:val="0"/>
          <w:color w:val="auto"/>
          <w:kern w:val="0"/>
          <w:sz w:val="32"/>
          <w:szCs w:val="40"/>
        </w:rPr>
        <w:t>：加强对文化数字内容需求的实时感知、分析和预测，探索发展平台化、集成化、场景化增值服务，强化数字资源和服务的适用性。到2024年，配合全市做好“一机游沈阳”平台开发相关工作；到2025年，按照全市部署，在全区文旅场景推广应用“一机游沈阳”平台；到2026年，按照全市部署，在全区文旅行业广泛应用“一机游沈阳”平台。</w:t>
      </w:r>
    </w:p>
    <w:p w14:paraId="5FC55297">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3" w:firstLineChars="200"/>
        <w:jc w:val="both"/>
        <w:textAlignment w:val="auto"/>
        <w:rPr>
          <w:rFonts w:ascii="仿宋_GB2312" w:hAnsi="仿宋_GB2312" w:eastAsia="仿宋_GB2312" w:cs="仿宋_GB2312"/>
          <w:snapToGrid w:val="0"/>
          <w:color w:val="auto"/>
          <w:kern w:val="0"/>
          <w:sz w:val="32"/>
          <w:szCs w:val="40"/>
        </w:rPr>
      </w:pPr>
      <w:r>
        <w:rPr>
          <w:rFonts w:hint="eastAsia" w:ascii="仿宋_GB2312" w:hAnsi="仿宋_GB2312" w:eastAsia="仿宋_GB2312" w:cs="仿宋_GB2312"/>
          <w:b/>
          <w:bCs/>
          <w:snapToGrid w:val="0"/>
          <w:color w:val="auto"/>
          <w:kern w:val="0"/>
          <w:sz w:val="32"/>
          <w:szCs w:val="40"/>
        </w:rPr>
        <w:t>实施路径</w:t>
      </w:r>
      <w:r>
        <w:rPr>
          <w:rFonts w:hint="eastAsia" w:ascii="仿宋_GB2312" w:hAnsi="仿宋_GB2312" w:eastAsia="仿宋_GB2312" w:cs="仿宋_GB2312"/>
          <w:snapToGrid w:val="0"/>
          <w:color w:val="auto"/>
          <w:kern w:val="0"/>
          <w:sz w:val="32"/>
          <w:szCs w:val="40"/>
        </w:rPr>
        <w:t>：</w:t>
      </w:r>
      <w:r>
        <w:rPr>
          <w:rFonts w:hint="eastAsia" w:ascii="仿宋_GB2312" w:hAnsi="仿宋_GB2312" w:eastAsia="仿宋_GB2312" w:cs="仿宋_GB2312"/>
          <w:snapToGrid w:val="0"/>
          <w:color w:val="auto"/>
          <w:kern w:val="2"/>
          <w:sz w:val="32"/>
          <w:szCs w:val="40"/>
        </w:rPr>
        <w:t>鼓励各类主体依托国家文化专网，搭建文化数据服务平台，汇聚文化数据信息，集成同文化生产适配的各类应用工具和软件，衔接互联网消费平台，提供文化数字内容多网多终端分发服务和消费数据分析服务。</w:t>
      </w:r>
    </w:p>
    <w:p w14:paraId="7125F086">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3" w:firstLineChars="200"/>
        <w:jc w:val="both"/>
        <w:textAlignment w:val="auto"/>
        <w:rPr>
          <w:rFonts w:ascii="仿宋_GB2312" w:hAnsi="仿宋_GB2312" w:eastAsia="仿宋_GB2312" w:cs="仿宋_GB2312"/>
          <w:snapToGrid w:val="0"/>
          <w:color w:val="auto"/>
          <w:kern w:val="2"/>
          <w:sz w:val="32"/>
          <w:szCs w:val="40"/>
          <w:lang w:val="en-US" w:eastAsia="zh-CN" w:bidi="ar-SA"/>
        </w:rPr>
      </w:pPr>
      <w:r>
        <w:rPr>
          <w:rFonts w:hint="eastAsia" w:ascii="仿宋_GB2312" w:hAnsi="仿宋_GB2312" w:eastAsia="仿宋_GB2312" w:cs="仿宋_GB2312"/>
          <w:b/>
          <w:bCs/>
          <w:snapToGrid w:val="0"/>
          <w:color w:val="auto"/>
          <w:kern w:val="2"/>
          <w:sz w:val="32"/>
          <w:szCs w:val="40"/>
          <w:lang w:val="en-US" w:eastAsia="zh-CN" w:bidi="ar-SA"/>
        </w:rPr>
        <w:t>重要举措</w:t>
      </w:r>
      <w:r>
        <w:rPr>
          <w:rFonts w:hint="eastAsia" w:ascii="仿宋_GB2312" w:hAnsi="仿宋_GB2312" w:eastAsia="仿宋_GB2312" w:cs="仿宋_GB2312"/>
          <w:snapToGrid w:val="0"/>
          <w:color w:val="auto"/>
          <w:kern w:val="2"/>
          <w:sz w:val="32"/>
          <w:szCs w:val="40"/>
          <w:lang w:val="en-US" w:eastAsia="zh-CN" w:bidi="ar-SA"/>
        </w:rPr>
        <w:t>：</w:t>
      </w:r>
    </w:p>
    <w:p w14:paraId="3A3C9272">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jc w:val="both"/>
        <w:textAlignment w:val="auto"/>
        <w:rPr>
          <w:rFonts w:ascii="仿宋_GB2312" w:hAnsi="仿宋_GB2312" w:eastAsia="仿宋_GB2312" w:cs="仿宋_GB2312"/>
          <w:snapToGrid w:val="0"/>
          <w:color w:val="auto"/>
          <w:kern w:val="2"/>
          <w:sz w:val="32"/>
          <w:szCs w:val="40"/>
        </w:rPr>
      </w:pPr>
      <w:r>
        <w:rPr>
          <w:rFonts w:hint="eastAsia" w:ascii="仿宋_GB2312" w:hAnsi="仿宋_GB2312" w:eastAsia="仿宋_GB2312" w:cs="仿宋_GB2312"/>
          <w:snapToGrid w:val="0"/>
          <w:color w:val="auto"/>
          <w:kern w:val="2"/>
          <w:sz w:val="32"/>
          <w:szCs w:val="40"/>
        </w:rPr>
        <w:t>1.提升文化数据服务能力。配合全市构建市场化文化数据资源管理服务体系，培育市场化数据应用服务主体、公益性数据服务组织和研究机构。推动公共文化资源数据依法向公众开放，公共文化资源数据开发后的交易要把社会效益放在首位。</w:t>
      </w:r>
    </w:p>
    <w:p w14:paraId="5A17571C">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jc w:val="both"/>
        <w:textAlignment w:val="auto"/>
        <w:rPr>
          <w:rFonts w:ascii="仿宋_GB2312" w:hAnsi="仿宋_GB2312" w:eastAsia="仿宋_GB2312" w:cs="仿宋_GB2312"/>
          <w:snapToGrid w:val="0"/>
          <w:color w:val="auto"/>
          <w:kern w:val="2"/>
          <w:sz w:val="32"/>
          <w:szCs w:val="40"/>
          <w:lang w:val="en-US" w:eastAsia="zh-CN" w:bidi="ar-SA"/>
        </w:rPr>
      </w:pPr>
      <w:r>
        <w:rPr>
          <w:rFonts w:hint="eastAsia" w:ascii="仿宋_GB2312" w:hAnsi="仿宋_GB2312" w:eastAsia="仿宋_GB2312" w:cs="仿宋_GB2312"/>
          <w:snapToGrid w:val="0"/>
          <w:color w:val="auto"/>
          <w:kern w:val="2"/>
          <w:sz w:val="32"/>
          <w:szCs w:val="40"/>
          <w:lang w:val="en-US" w:eastAsia="zh-CN" w:bidi="ar-SA"/>
        </w:rPr>
        <w:t>2.开展文化数据交易服务。配合全市搭建具有标识解析、搜索、查询、匹配、交易和结算支付功能的数据超市平台。支持法人机构和公民个人在文化数据服务平台开设“数据超市”，依法合规开展数据交易。引导和支持文化产权交易机构充分发挥在场、在线交易平台优势，推动标识解析与区块链、大数据等技术融合创新，为文化资源数据和文化数字内容的确权、评估、匹配、交易、分发等提供专业服务。</w:t>
      </w:r>
    </w:p>
    <w:p w14:paraId="3DC9E06D">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jc w:val="both"/>
        <w:textAlignment w:val="auto"/>
        <w:rPr>
          <w:rFonts w:ascii="仿宋_GB2312" w:hAnsi="仿宋_GB2312" w:eastAsia="仿宋_GB2312" w:cs="仿宋_GB2312"/>
          <w:snapToGrid w:val="0"/>
          <w:color w:val="auto"/>
          <w:kern w:val="2"/>
          <w:sz w:val="32"/>
          <w:szCs w:val="40"/>
        </w:rPr>
      </w:pPr>
      <w:r>
        <w:rPr>
          <w:rFonts w:hint="eastAsia" w:ascii="仿宋_GB2312" w:hAnsi="仿宋_GB2312" w:eastAsia="仿宋_GB2312" w:cs="仿宋_GB2312"/>
          <w:snapToGrid w:val="0"/>
          <w:color w:val="auto"/>
          <w:kern w:val="2"/>
          <w:sz w:val="32"/>
          <w:szCs w:val="40"/>
        </w:rPr>
        <w:t>3.配合全市做好“一机游沈阳”文旅数字服务平台的开发和应用相关工作。围绕旅游景区、酒店住宿、街巷美食、文博场馆、非遗传承、红色基因、文创特产等十项核心功能，配合全市做好出行助手、旅游攻略、数字体验、沈阳都市圈、沈阳文旅惠民一卡通等五个文旅专栏建设等相关工作，为游客提供“食、住、行、游、购、娱”全方位数字化服务。</w:t>
      </w:r>
    </w:p>
    <w:p w14:paraId="73D7EB54">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3" w:firstLineChars="200"/>
        <w:jc w:val="both"/>
        <w:textAlignment w:val="auto"/>
        <w:rPr>
          <w:rFonts w:ascii="Arial" w:hAnsi="Arial" w:eastAsia="Arial" w:cs="Arial"/>
          <w:snapToGrid w:val="0"/>
          <w:color w:val="auto"/>
          <w:kern w:val="0"/>
          <w:sz w:val="32"/>
          <w:szCs w:val="32"/>
        </w:rPr>
      </w:pPr>
      <w:r>
        <w:rPr>
          <w:rFonts w:hint="eastAsia" w:ascii="仿宋_GB2312" w:hAnsi="仿宋_GB2312" w:eastAsia="仿宋_GB2312" w:cs="仿宋_GB2312"/>
          <w:b/>
          <w:bCs/>
          <w:snapToGrid w:val="0"/>
          <w:color w:val="auto"/>
          <w:kern w:val="2"/>
          <w:sz w:val="32"/>
          <w:szCs w:val="32"/>
        </w:rPr>
        <w:t>政策保障</w:t>
      </w:r>
      <w:r>
        <w:rPr>
          <w:rFonts w:hint="eastAsia" w:ascii="仿宋_GB2312" w:hAnsi="仿宋_GB2312" w:eastAsia="仿宋_GB2312" w:cs="仿宋_GB2312"/>
          <w:snapToGrid w:val="0"/>
          <w:color w:val="auto"/>
          <w:kern w:val="2"/>
          <w:sz w:val="32"/>
          <w:szCs w:val="32"/>
        </w:rPr>
        <w:t>：《辽宁省文旅产业高质量发展行动方案（2023-2025年）》《关于加强5G+智慧旅游协同创新发展的通知》《数字沈阳发展规划》《数字沈阳建设行动计划》《沈阳市推进文化数字化战略实施方案》</w:t>
      </w:r>
    </w:p>
    <w:p w14:paraId="0A908B57">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jc w:val="both"/>
        <w:textAlignment w:val="auto"/>
        <w:rPr>
          <w:rFonts w:ascii="楷体_GB2312" w:hAnsi="楷体_GB2312" w:eastAsia="楷体_GB2312" w:cs="楷体_GB2312"/>
          <w:snapToGrid w:val="0"/>
          <w:color w:val="auto"/>
          <w:kern w:val="0"/>
          <w:sz w:val="32"/>
          <w:szCs w:val="40"/>
        </w:rPr>
      </w:pPr>
      <w:r>
        <w:rPr>
          <w:rFonts w:hint="eastAsia" w:ascii="楷体_GB2312" w:hAnsi="楷体_GB2312" w:eastAsia="楷体_GB2312" w:cs="楷体_GB2312"/>
          <w:snapToGrid w:val="0"/>
          <w:color w:val="auto"/>
          <w:kern w:val="0"/>
          <w:sz w:val="32"/>
          <w:szCs w:val="40"/>
        </w:rPr>
        <w:t>（四）实施公共文化服务数字化普惠工程</w:t>
      </w:r>
    </w:p>
    <w:p w14:paraId="55055898">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3" w:firstLineChars="200"/>
        <w:jc w:val="both"/>
        <w:textAlignment w:val="auto"/>
        <w:rPr>
          <w:rFonts w:ascii="仿宋_GB2312" w:hAnsi="仿宋_GB2312" w:eastAsia="仿宋_GB2312" w:cs="仿宋_GB2312"/>
          <w:snapToGrid w:val="0"/>
          <w:color w:val="auto"/>
          <w:kern w:val="0"/>
          <w:sz w:val="32"/>
          <w:szCs w:val="40"/>
        </w:rPr>
      </w:pPr>
      <w:r>
        <w:rPr>
          <w:rFonts w:hint="eastAsia" w:ascii="仿宋_GB2312" w:hAnsi="仿宋_GB2312" w:eastAsia="仿宋_GB2312" w:cs="仿宋_GB2312"/>
          <w:b/>
          <w:bCs/>
          <w:snapToGrid w:val="0"/>
          <w:color w:val="auto"/>
          <w:kern w:val="0"/>
          <w:sz w:val="32"/>
          <w:szCs w:val="40"/>
        </w:rPr>
        <w:t>主要目标</w:t>
      </w:r>
      <w:r>
        <w:rPr>
          <w:rFonts w:hint="eastAsia" w:ascii="仿宋_GB2312" w:hAnsi="仿宋_GB2312" w:eastAsia="仿宋_GB2312" w:cs="仿宋_GB2312"/>
          <w:snapToGrid w:val="0"/>
          <w:color w:val="auto"/>
          <w:kern w:val="0"/>
          <w:sz w:val="32"/>
          <w:szCs w:val="40"/>
        </w:rPr>
        <w:t>：公共数字文化资源更加丰富，公共文化数字服务更加便捷、应用场景更加丰富。到2024年，建设2个数字化图书馆（城市书房）；到2025年，建设3个数字化图书馆（城市书房）；到2026年，建设4个数字化图书馆（城市书房）。</w:t>
      </w:r>
    </w:p>
    <w:p w14:paraId="1E5391F3">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3" w:firstLineChars="200"/>
        <w:jc w:val="both"/>
        <w:textAlignment w:val="auto"/>
        <w:rPr>
          <w:rFonts w:ascii="仿宋_GB2312" w:hAnsi="仿宋_GB2312" w:eastAsia="仿宋_GB2312" w:cs="仿宋_GB2312"/>
          <w:snapToGrid w:val="0"/>
          <w:color w:val="auto"/>
          <w:kern w:val="0"/>
          <w:sz w:val="32"/>
          <w:szCs w:val="40"/>
        </w:rPr>
      </w:pPr>
      <w:r>
        <w:rPr>
          <w:rFonts w:hint="eastAsia" w:ascii="仿宋_GB2312" w:hAnsi="仿宋_GB2312" w:eastAsia="仿宋_GB2312" w:cs="仿宋_GB2312"/>
          <w:b/>
          <w:bCs/>
          <w:snapToGrid w:val="0"/>
          <w:color w:val="auto"/>
          <w:kern w:val="0"/>
          <w:sz w:val="32"/>
          <w:szCs w:val="40"/>
        </w:rPr>
        <w:t>实施路径</w:t>
      </w:r>
      <w:r>
        <w:rPr>
          <w:rFonts w:hint="eastAsia" w:ascii="仿宋_GB2312" w:hAnsi="仿宋_GB2312" w:eastAsia="仿宋_GB2312" w:cs="仿宋_GB2312"/>
          <w:snapToGrid w:val="0"/>
          <w:color w:val="auto"/>
          <w:kern w:val="0"/>
          <w:sz w:val="32"/>
          <w:szCs w:val="40"/>
        </w:rPr>
        <w:t>：持续推动公共文化机构数字资源升级，加快公共文化网络平台建设，实现数据共享、统一认证，为群众提供“一体化”集成式平台服务，打通公共数字文化服务“最后一公里”。</w:t>
      </w:r>
    </w:p>
    <w:p w14:paraId="0E15EAAE">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3" w:firstLineChars="200"/>
        <w:jc w:val="both"/>
        <w:textAlignment w:val="auto"/>
        <w:rPr>
          <w:rFonts w:ascii="仿宋_GB2312" w:hAnsi="仿宋_GB2312" w:eastAsia="仿宋_GB2312" w:cs="仿宋_GB2312"/>
          <w:snapToGrid w:val="0"/>
          <w:color w:val="auto"/>
          <w:kern w:val="2"/>
          <w:sz w:val="32"/>
          <w:szCs w:val="40"/>
        </w:rPr>
      </w:pPr>
      <w:r>
        <w:rPr>
          <w:rFonts w:hint="eastAsia" w:ascii="仿宋_GB2312" w:hAnsi="仿宋_GB2312" w:eastAsia="仿宋_GB2312" w:cs="仿宋_GB2312"/>
          <w:b/>
          <w:bCs/>
          <w:snapToGrid w:val="0"/>
          <w:color w:val="auto"/>
          <w:kern w:val="2"/>
          <w:sz w:val="32"/>
          <w:szCs w:val="40"/>
        </w:rPr>
        <w:t>重要举措</w:t>
      </w:r>
      <w:r>
        <w:rPr>
          <w:rFonts w:hint="eastAsia" w:ascii="仿宋_GB2312" w:hAnsi="仿宋_GB2312" w:eastAsia="仿宋_GB2312" w:cs="仿宋_GB2312"/>
          <w:snapToGrid w:val="0"/>
          <w:color w:val="auto"/>
          <w:kern w:val="2"/>
          <w:sz w:val="32"/>
          <w:szCs w:val="40"/>
        </w:rPr>
        <w:t>：</w:t>
      </w:r>
    </w:p>
    <w:p w14:paraId="75E77715">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3" w:firstLineChars="200"/>
        <w:jc w:val="both"/>
        <w:textAlignment w:val="auto"/>
        <w:rPr>
          <w:rFonts w:ascii="仿宋_GB2312" w:hAnsi="仿宋_GB2312" w:eastAsia="仿宋_GB2312" w:cs="仿宋_GB2312"/>
          <w:snapToGrid w:val="0"/>
          <w:color w:val="auto"/>
          <w:kern w:val="0"/>
          <w:sz w:val="32"/>
          <w:szCs w:val="40"/>
        </w:rPr>
      </w:pPr>
      <w:r>
        <w:rPr>
          <w:rFonts w:hint="eastAsia" w:ascii="仿宋_GB2312" w:hAnsi="仿宋_GB2312" w:eastAsia="仿宋_GB2312" w:cs="仿宋_GB2312"/>
          <w:b/>
          <w:bCs/>
          <w:snapToGrid w:val="0"/>
          <w:color w:val="auto"/>
          <w:kern w:val="0"/>
          <w:sz w:val="32"/>
          <w:szCs w:val="40"/>
        </w:rPr>
        <w:t>1.</w:t>
      </w:r>
      <w:r>
        <w:rPr>
          <w:rFonts w:hint="eastAsia" w:ascii="仿宋_GB2312" w:hAnsi="仿宋_GB2312" w:eastAsia="仿宋_GB2312" w:cs="仿宋_GB2312"/>
          <w:snapToGrid w:val="0"/>
          <w:color w:val="auto"/>
          <w:kern w:val="0"/>
          <w:sz w:val="32"/>
          <w:szCs w:val="40"/>
        </w:rPr>
        <w:t>提升公共文化数字内容服务水平。推动数字文化产品和服务在图书馆、文化馆等公共文化场馆的应用，丰富提升文化资源数字化服务能力，推动服务普惠应用，提升公共文化服务的到达率、及时性，增强人民群众获得感。</w:t>
      </w:r>
    </w:p>
    <w:p w14:paraId="09423B01">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jc w:val="both"/>
        <w:textAlignment w:val="auto"/>
        <w:rPr>
          <w:rFonts w:ascii="仿宋_GB2312" w:hAnsi="仿宋_GB2312" w:eastAsia="仿宋_GB2312" w:cs="仿宋_GB2312"/>
          <w:snapToGrid w:val="0"/>
          <w:color w:val="auto"/>
          <w:kern w:val="0"/>
          <w:sz w:val="32"/>
          <w:szCs w:val="40"/>
        </w:rPr>
      </w:pPr>
      <w:r>
        <w:rPr>
          <w:rFonts w:hint="eastAsia" w:ascii="仿宋_GB2312" w:hAnsi="仿宋_GB2312" w:eastAsia="仿宋_GB2312" w:cs="仿宋_GB2312"/>
          <w:snapToGrid w:val="0"/>
          <w:color w:val="auto"/>
          <w:kern w:val="2"/>
          <w:sz w:val="32"/>
          <w:szCs w:val="40"/>
        </w:rPr>
        <w:t>2.持续完善公共文化云平台。推动公共图书馆系统、文化惠民和文化消费平台系统迁移上云工作，搭建“图书借阅通借通还”“文化场馆一键预约”“上网浏览文化资源”等数字文化场景。</w:t>
      </w:r>
    </w:p>
    <w:p w14:paraId="12E57C5A">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jc w:val="both"/>
        <w:textAlignment w:val="auto"/>
        <w:rPr>
          <w:rFonts w:ascii="Arial" w:hAnsi="Arial" w:eastAsia="Arial" w:cs="Arial"/>
          <w:snapToGrid w:val="0"/>
          <w:color w:val="auto"/>
          <w:kern w:val="0"/>
          <w:sz w:val="32"/>
          <w:szCs w:val="21"/>
        </w:rPr>
      </w:pPr>
      <w:r>
        <w:rPr>
          <w:rFonts w:hint="eastAsia" w:ascii="仿宋_GB2312" w:hAnsi="仿宋_GB2312" w:eastAsia="仿宋_GB2312" w:cs="仿宋_GB2312"/>
          <w:snapToGrid w:val="0"/>
          <w:color w:val="auto"/>
          <w:kern w:val="0"/>
          <w:sz w:val="32"/>
          <w:szCs w:val="40"/>
        </w:rPr>
        <w:t>3.推动城乡公共文化服务一体化建设。推进实施艺术惠民“双百万”工程数字化建设。探索公益电影多样化供给方式，拓展提升农村公益电影放映数字化服务。推进城市书房数字化建设，完善智能阅读服务设施，利用数字化技术实现读者自助管理服务，打造城市新型文化阅读空间。推进农家书屋数字化建设，在有条件的地区配备数字阅读大屏及数字机顶盒，逐步增加农家书屋数字化阅读产品和服务供给。</w:t>
      </w:r>
    </w:p>
    <w:p w14:paraId="030A3258">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3" w:firstLineChars="200"/>
        <w:jc w:val="both"/>
        <w:textAlignment w:val="auto"/>
        <w:rPr>
          <w:rFonts w:ascii="仿宋_GB2312" w:hAnsi="仿宋_GB2312" w:eastAsia="仿宋_GB2312" w:cs="仿宋_GB2312"/>
          <w:snapToGrid w:val="0"/>
          <w:color w:val="auto"/>
          <w:kern w:val="2"/>
          <w:sz w:val="32"/>
          <w:szCs w:val="40"/>
        </w:rPr>
      </w:pPr>
      <w:r>
        <w:rPr>
          <w:rFonts w:hint="eastAsia" w:ascii="仿宋_GB2312" w:hAnsi="仿宋_GB2312" w:eastAsia="仿宋_GB2312" w:cs="仿宋_GB2312"/>
          <w:b/>
          <w:bCs/>
          <w:snapToGrid w:val="0"/>
          <w:color w:val="auto"/>
          <w:kern w:val="2"/>
          <w:sz w:val="32"/>
          <w:szCs w:val="40"/>
        </w:rPr>
        <w:t>政策保障</w:t>
      </w:r>
      <w:r>
        <w:rPr>
          <w:rFonts w:hint="eastAsia" w:ascii="仿宋_GB2312" w:hAnsi="仿宋_GB2312" w:eastAsia="仿宋_GB2312" w:cs="仿宋_GB2312"/>
          <w:snapToGrid w:val="0"/>
          <w:color w:val="auto"/>
          <w:kern w:val="2"/>
          <w:sz w:val="32"/>
          <w:szCs w:val="40"/>
        </w:rPr>
        <w:t>：《数字沈阳发展规划》《数字沈阳建设行动计划》《沈阳市推进文化数字化战略实施方案》《关于加快构建现代公共文化服务体系的实施意见》《沈阳市群众文化常态化、体系化建设实施办法》</w:t>
      </w:r>
    </w:p>
    <w:p w14:paraId="00D9CAD2">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jc w:val="both"/>
        <w:textAlignment w:val="auto"/>
        <w:rPr>
          <w:rFonts w:ascii="楷体_GB2312" w:hAnsi="楷体_GB2312" w:eastAsia="楷体_GB2312" w:cs="楷体_GB2312"/>
          <w:snapToGrid w:val="0"/>
          <w:color w:val="auto"/>
          <w:kern w:val="0"/>
          <w:sz w:val="32"/>
          <w:szCs w:val="40"/>
        </w:rPr>
      </w:pPr>
      <w:r>
        <w:rPr>
          <w:rFonts w:hint="eastAsia" w:ascii="楷体_GB2312" w:hAnsi="楷体_GB2312" w:eastAsia="楷体_GB2312" w:cs="楷体_GB2312"/>
          <w:snapToGrid w:val="0"/>
          <w:color w:val="auto"/>
          <w:kern w:val="0"/>
          <w:sz w:val="32"/>
          <w:szCs w:val="40"/>
        </w:rPr>
        <w:t>（五）实施文化产业数字化拓展布局工程</w:t>
      </w:r>
    </w:p>
    <w:p w14:paraId="3AC31616">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3" w:firstLineChars="200"/>
        <w:jc w:val="both"/>
        <w:textAlignment w:val="auto"/>
        <w:rPr>
          <w:rFonts w:ascii="仿宋_GB2312" w:hAnsi="仿宋_GB2312" w:eastAsia="仿宋_GB2312" w:cs="仿宋_GB2312"/>
          <w:snapToGrid w:val="0"/>
          <w:color w:val="auto"/>
          <w:kern w:val="0"/>
          <w:sz w:val="32"/>
          <w:szCs w:val="40"/>
        </w:rPr>
      </w:pPr>
      <w:r>
        <w:rPr>
          <w:rFonts w:hint="eastAsia" w:ascii="仿宋_GB2312" w:hAnsi="仿宋_GB2312" w:eastAsia="仿宋_GB2312" w:cs="仿宋_GB2312"/>
          <w:b/>
          <w:bCs/>
          <w:snapToGrid w:val="0"/>
          <w:color w:val="auto"/>
          <w:kern w:val="0"/>
          <w:sz w:val="32"/>
          <w:szCs w:val="40"/>
        </w:rPr>
        <w:t>主要目标</w:t>
      </w:r>
      <w:r>
        <w:rPr>
          <w:rFonts w:hint="eastAsia" w:ascii="仿宋_GB2312" w:hAnsi="仿宋_GB2312" w:eastAsia="仿宋_GB2312" w:cs="仿宋_GB2312"/>
          <w:snapToGrid w:val="0"/>
          <w:color w:val="auto"/>
          <w:kern w:val="0"/>
          <w:sz w:val="32"/>
          <w:szCs w:val="40"/>
        </w:rPr>
        <w:t>：文化产业和数字经济融合发展迈向新阶段，数字化、网络化、智能化发展水平明显提高。到2024年，培育1户营收过亿元的数字文化企业；到2025年，培育2户营收过亿元的数字文化企业，围绕数字文创、数字影视、数字文旅等新业态，布局建设1个亿元以上重大项目；到2026年，新培育3户营收过亿元的数字文化企业，建成1个数字引领型文化产业园区（基地）。</w:t>
      </w:r>
    </w:p>
    <w:p w14:paraId="3C43031B">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3" w:firstLineChars="200"/>
        <w:jc w:val="both"/>
        <w:textAlignment w:val="auto"/>
        <w:rPr>
          <w:rFonts w:ascii="仿宋_GB2312" w:hAnsi="仿宋_GB2312" w:eastAsia="仿宋_GB2312" w:cs="仿宋_GB2312"/>
          <w:snapToGrid w:val="0"/>
          <w:color w:val="auto"/>
          <w:kern w:val="0"/>
          <w:sz w:val="32"/>
          <w:szCs w:val="40"/>
        </w:rPr>
      </w:pPr>
      <w:r>
        <w:rPr>
          <w:rFonts w:hint="eastAsia" w:ascii="仿宋_GB2312" w:hAnsi="仿宋_GB2312" w:eastAsia="仿宋_GB2312" w:cs="仿宋_GB2312"/>
          <w:b/>
          <w:bCs/>
          <w:snapToGrid w:val="0"/>
          <w:color w:val="auto"/>
          <w:kern w:val="0"/>
          <w:sz w:val="32"/>
          <w:szCs w:val="40"/>
        </w:rPr>
        <w:t>实施路径</w:t>
      </w:r>
      <w:r>
        <w:rPr>
          <w:rFonts w:hint="eastAsia" w:ascii="仿宋_GB2312" w:hAnsi="仿宋_GB2312" w:eastAsia="仿宋_GB2312" w:cs="仿宋_GB2312"/>
          <w:snapToGrid w:val="0"/>
          <w:color w:val="auto"/>
          <w:kern w:val="0"/>
          <w:sz w:val="32"/>
          <w:szCs w:val="40"/>
        </w:rPr>
        <w:t>：顺应数字产业化和产业数字化发展趋势，实施文化产业数字化战略，培育壮大数字文化市场主体，加快发展新型文化企业、文化业态、文化消费模式，改造提升传统文化业态，促进数字文化产业与相关产业融合发展。</w:t>
      </w:r>
    </w:p>
    <w:p w14:paraId="4E8EC819">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3" w:firstLineChars="200"/>
        <w:jc w:val="both"/>
        <w:textAlignment w:val="auto"/>
        <w:rPr>
          <w:rFonts w:ascii="仿宋_GB2312" w:hAnsi="仿宋_GB2312" w:eastAsia="仿宋_GB2312" w:cs="仿宋_GB2312"/>
          <w:snapToGrid w:val="0"/>
          <w:color w:val="auto"/>
          <w:kern w:val="2"/>
          <w:sz w:val="32"/>
          <w:szCs w:val="40"/>
          <w:lang w:val="en-US" w:eastAsia="zh-CN" w:bidi="ar-SA"/>
        </w:rPr>
      </w:pPr>
      <w:r>
        <w:rPr>
          <w:rFonts w:hint="eastAsia" w:ascii="仿宋_GB2312" w:hAnsi="仿宋_GB2312" w:eastAsia="仿宋_GB2312" w:cs="仿宋_GB2312"/>
          <w:b/>
          <w:bCs/>
          <w:snapToGrid w:val="0"/>
          <w:color w:val="auto"/>
          <w:kern w:val="2"/>
          <w:sz w:val="32"/>
          <w:szCs w:val="40"/>
          <w:lang w:val="en-US" w:eastAsia="zh-CN" w:bidi="ar-SA"/>
        </w:rPr>
        <w:t>重要举措</w:t>
      </w:r>
      <w:r>
        <w:rPr>
          <w:rFonts w:hint="eastAsia" w:ascii="仿宋_GB2312" w:hAnsi="仿宋_GB2312" w:eastAsia="仿宋_GB2312" w:cs="仿宋_GB2312"/>
          <w:snapToGrid w:val="0"/>
          <w:color w:val="auto"/>
          <w:kern w:val="2"/>
          <w:sz w:val="32"/>
          <w:szCs w:val="40"/>
          <w:lang w:val="en-US" w:eastAsia="zh-CN" w:bidi="ar-SA"/>
        </w:rPr>
        <w:t>：</w:t>
      </w:r>
    </w:p>
    <w:p w14:paraId="34124CE0">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jc w:val="both"/>
        <w:textAlignment w:val="auto"/>
        <w:rPr>
          <w:rFonts w:ascii="楷体_GB2312" w:hAnsi="楷体_GB2312" w:eastAsia="楷体_GB2312" w:cs="楷体_GB2312"/>
          <w:snapToGrid w:val="0"/>
          <w:color w:val="auto"/>
          <w:kern w:val="0"/>
          <w:sz w:val="32"/>
          <w:szCs w:val="40"/>
        </w:rPr>
      </w:pPr>
      <w:r>
        <w:rPr>
          <w:rFonts w:hint="eastAsia" w:ascii="仿宋_GB2312" w:hAnsi="仿宋_GB2312" w:eastAsia="仿宋_GB2312" w:cs="仿宋_GB2312"/>
          <w:snapToGrid w:val="0"/>
          <w:color w:val="auto"/>
          <w:kern w:val="0"/>
          <w:sz w:val="32"/>
          <w:szCs w:val="40"/>
        </w:rPr>
        <w:t>1.培育数字文创产业。推动具有浑南特色的数字文化创意产业集聚发展，积极培育动漫音乐、电子竞技、数字游戏、数字影视、网络视听、互动新媒体等业态，推动建设数字引领型的文化产业园区（基地），组织举办电竞大赛等活动。</w:t>
      </w:r>
    </w:p>
    <w:p w14:paraId="594021A7">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jc w:val="both"/>
        <w:textAlignment w:val="auto"/>
        <w:rPr>
          <w:rFonts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2.推动网络文艺创作生产。实施网络精品出版、网络音乐产业扶持计划，鼓励、支持网络文学、网络微短剧、网络纪录片等创作和传播。加强各类网络文化创作生产平台建设，鼓励对网络原创作品进行多层次开发，引导和规范网络直播等健康发展。</w:t>
      </w:r>
    </w:p>
    <w:p w14:paraId="3A466FF8">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jc w:val="both"/>
        <w:textAlignment w:val="auto"/>
        <w:rPr>
          <w:rFonts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3.深化融合发展。深入实施旅游收入三年倍增行动，以数字化推动文化和旅游、体育融合发展，实现更广范围、更深层次、更高水平融合。促进数字文化与社交电商、网络直播、短视频等在线新经济结合，发展旅游直播、旅游带货等线上内容生产新模式。培育“伴着旅游来观赛”品牌，形成一批体现文体旅融合的“网红”打卡地。深化沈阳现代化都市圈文旅共建。</w:t>
      </w:r>
    </w:p>
    <w:p w14:paraId="7B1F1701">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3" w:firstLineChars="200"/>
        <w:jc w:val="both"/>
        <w:textAlignment w:val="auto"/>
        <w:rPr>
          <w:rFonts w:ascii="Arial" w:hAnsi="Arial" w:eastAsia="Arial" w:cs="Arial"/>
          <w:snapToGrid w:val="0"/>
          <w:color w:val="auto"/>
          <w:kern w:val="0"/>
          <w:sz w:val="32"/>
          <w:szCs w:val="32"/>
        </w:rPr>
      </w:pPr>
      <w:r>
        <w:rPr>
          <w:rFonts w:hint="eastAsia" w:ascii="仿宋_GB2312" w:hAnsi="仿宋_GB2312" w:eastAsia="仿宋_GB2312" w:cs="仿宋_GB2312"/>
          <w:b/>
          <w:bCs/>
          <w:snapToGrid w:val="0"/>
          <w:color w:val="auto"/>
          <w:kern w:val="2"/>
          <w:sz w:val="32"/>
          <w:szCs w:val="32"/>
        </w:rPr>
        <w:t>政策保障</w:t>
      </w:r>
      <w:r>
        <w:rPr>
          <w:rFonts w:hint="eastAsia" w:ascii="仿宋_GB2312" w:hAnsi="仿宋_GB2312" w:eastAsia="仿宋_GB2312" w:cs="仿宋_GB2312"/>
          <w:snapToGrid w:val="0"/>
          <w:color w:val="auto"/>
          <w:kern w:val="2"/>
          <w:sz w:val="32"/>
          <w:szCs w:val="32"/>
        </w:rPr>
        <w:t>：《辽宁省文旅产业高质量发展行动方案（2023-2025年）》《数字沈阳发展规划》《数字沈阳建设行动计划》《沈阳市推进文化数字化战略实施方案》《关于推动全市文化产业高质量发展的若干意见》《沈阳市旅游业三年倍增行动方案（2023-2025）》</w:t>
      </w:r>
    </w:p>
    <w:p w14:paraId="7CE789B4">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jc w:val="both"/>
        <w:textAlignment w:val="auto"/>
        <w:rPr>
          <w:rFonts w:ascii="楷体_GB2312" w:hAnsi="楷体_GB2312" w:eastAsia="楷体_GB2312" w:cs="楷体_GB2312"/>
          <w:snapToGrid w:val="0"/>
          <w:color w:val="auto"/>
          <w:kern w:val="0"/>
          <w:sz w:val="32"/>
          <w:szCs w:val="40"/>
        </w:rPr>
      </w:pPr>
      <w:r>
        <w:rPr>
          <w:rFonts w:hint="eastAsia" w:ascii="楷体_GB2312" w:hAnsi="楷体_GB2312" w:eastAsia="楷体_GB2312" w:cs="楷体_GB2312"/>
          <w:snapToGrid w:val="0"/>
          <w:color w:val="auto"/>
          <w:kern w:val="0"/>
          <w:sz w:val="32"/>
          <w:szCs w:val="40"/>
        </w:rPr>
        <w:t>（六）实施数字文化消费新场景搭建工程</w:t>
      </w:r>
    </w:p>
    <w:p w14:paraId="546DC831">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3" w:firstLineChars="200"/>
        <w:jc w:val="both"/>
        <w:textAlignment w:val="auto"/>
        <w:rPr>
          <w:rFonts w:ascii="仿宋_GB2312" w:hAnsi="仿宋_GB2312" w:eastAsia="仿宋_GB2312" w:cs="仿宋_GB2312"/>
          <w:snapToGrid w:val="0"/>
          <w:color w:val="auto"/>
          <w:kern w:val="0"/>
          <w:sz w:val="32"/>
          <w:szCs w:val="40"/>
        </w:rPr>
      </w:pPr>
      <w:r>
        <w:rPr>
          <w:rFonts w:hint="eastAsia" w:ascii="仿宋_GB2312" w:hAnsi="仿宋_GB2312" w:eastAsia="仿宋_GB2312" w:cs="仿宋_GB2312"/>
          <w:b/>
          <w:bCs/>
          <w:snapToGrid w:val="0"/>
          <w:color w:val="auto"/>
          <w:kern w:val="0"/>
          <w:sz w:val="32"/>
          <w:szCs w:val="40"/>
        </w:rPr>
        <w:t>主要目标</w:t>
      </w:r>
      <w:r>
        <w:rPr>
          <w:rFonts w:hint="eastAsia" w:ascii="仿宋_GB2312" w:hAnsi="仿宋_GB2312" w:eastAsia="仿宋_GB2312" w:cs="仿宋_GB2312"/>
          <w:snapToGrid w:val="0"/>
          <w:color w:val="auto"/>
          <w:kern w:val="0"/>
          <w:sz w:val="32"/>
          <w:szCs w:val="40"/>
        </w:rPr>
        <w:t>：加快推进数字赋能文旅发展，打造文化消费新场景、丰富消费新体验。到2024年，打造1个</w:t>
      </w:r>
      <w:r>
        <w:rPr>
          <w:rFonts w:hint="eastAsia" w:ascii="仿宋_GB2312" w:hAnsi="仿宋_GB2312" w:eastAsia="仿宋_GB2312" w:cs="仿宋_GB2312"/>
          <w:snapToGrid w:val="0"/>
          <w:color w:val="auto"/>
          <w:kern w:val="2"/>
          <w:sz w:val="32"/>
          <w:szCs w:val="40"/>
        </w:rPr>
        <w:t>文旅</w:t>
      </w:r>
      <w:r>
        <w:rPr>
          <w:rFonts w:hint="eastAsia" w:ascii="仿宋_GB2312" w:hAnsi="仿宋_GB2312" w:eastAsia="仿宋_GB2312" w:cs="仿宋_GB2312"/>
          <w:snapToGrid w:val="0"/>
          <w:color w:val="auto"/>
          <w:kern w:val="0"/>
          <w:sz w:val="32"/>
          <w:szCs w:val="40"/>
        </w:rPr>
        <w:t>元宇宙应用场景；到2025年，打造2个</w:t>
      </w:r>
      <w:r>
        <w:rPr>
          <w:rFonts w:hint="eastAsia" w:ascii="仿宋_GB2312" w:hAnsi="仿宋_GB2312" w:eastAsia="仿宋_GB2312" w:cs="仿宋_GB2312"/>
          <w:snapToGrid w:val="0"/>
          <w:color w:val="auto"/>
          <w:kern w:val="2"/>
          <w:sz w:val="32"/>
          <w:szCs w:val="40"/>
        </w:rPr>
        <w:t>文旅</w:t>
      </w:r>
      <w:r>
        <w:rPr>
          <w:rFonts w:hint="eastAsia" w:ascii="仿宋_GB2312" w:hAnsi="仿宋_GB2312" w:eastAsia="仿宋_GB2312" w:cs="仿宋_GB2312"/>
          <w:snapToGrid w:val="0"/>
          <w:color w:val="auto"/>
          <w:kern w:val="0"/>
          <w:sz w:val="32"/>
          <w:szCs w:val="40"/>
        </w:rPr>
        <w:t>元宇宙应用场景。到2026年，打造3个</w:t>
      </w:r>
      <w:r>
        <w:rPr>
          <w:rFonts w:hint="eastAsia" w:ascii="仿宋_GB2312" w:hAnsi="仿宋_GB2312" w:eastAsia="仿宋_GB2312" w:cs="仿宋_GB2312"/>
          <w:snapToGrid w:val="0"/>
          <w:color w:val="auto"/>
          <w:kern w:val="2"/>
          <w:sz w:val="32"/>
          <w:szCs w:val="40"/>
        </w:rPr>
        <w:t>文旅</w:t>
      </w:r>
      <w:r>
        <w:rPr>
          <w:rFonts w:hint="eastAsia" w:ascii="仿宋_GB2312" w:hAnsi="仿宋_GB2312" w:eastAsia="仿宋_GB2312" w:cs="仿宋_GB2312"/>
          <w:snapToGrid w:val="0"/>
          <w:color w:val="auto"/>
          <w:kern w:val="0"/>
          <w:sz w:val="32"/>
          <w:szCs w:val="40"/>
        </w:rPr>
        <w:t>元宇宙应用场景。</w:t>
      </w:r>
    </w:p>
    <w:p w14:paraId="706658F5">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3" w:firstLineChars="200"/>
        <w:jc w:val="both"/>
        <w:textAlignment w:val="auto"/>
        <w:rPr>
          <w:rFonts w:ascii="仿宋_GB2312" w:hAnsi="仿宋_GB2312" w:eastAsia="仿宋_GB2312" w:cs="仿宋_GB2312"/>
          <w:snapToGrid w:val="0"/>
          <w:color w:val="auto"/>
          <w:kern w:val="2"/>
          <w:sz w:val="32"/>
          <w:szCs w:val="40"/>
          <w:lang w:val="en-US" w:eastAsia="zh-CN" w:bidi="ar-SA"/>
        </w:rPr>
      </w:pPr>
      <w:r>
        <w:rPr>
          <w:rFonts w:hint="eastAsia" w:ascii="仿宋_GB2312" w:hAnsi="仿宋_GB2312" w:eastAsia="仿宋_GB2312" w:cs="仿宋_GB2312"/>
          <w:b/>
          <w:bCs/>
          <w:snapToGrid w:val="0"/>
          <w:color w:val="auto"/>
          <w:kern w:val="2"/>
          <w:sz w:val="32"/>
          <w:szCs w:val="40"/>
          <w:lang w:val="en-US" w:eastAsia="zh-CN" w:bidi="ar-SA"/>
        </w:rPr>
        <w:t>实施路径</w:t>
      </w:r>
      <w:r>
        <w:rPr>
          <w:rFonts w:hint="eastAsia" w:ascii="仿宋_GB2312" w:hAnsi="仿宋_GB2312" w:eastAsia="仿宋_GB2312" w:cs="仿宋_GB2312"/>
          <w:snapToGrid w:val="0"/>
          <w:color w:val="auto"/>
          <w:kern w:val="2"/>
          <w:sz w:val="32"/>
          <w:szCs w:val="40"/>
          <w:lang w:val="en-US" w:eastAsia="zh-CN" w:bidi="ar-SA"/>
        </w:rPr>
        <w:t>：利用现有公共文化设施，积极发展云展览、云阅读、云视听，培育数字“虚拟文化空间”，推进数字化文化体验场所建设，抢占文旅元宇宙新赛道。</w:t>
      </w:r>
    </w:p>
    <w:p w14:paraId="33A36C6B">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3" w:firstLineChars="200"/>
        <w:jc w:val="both"/>
        <w:textAlignment w:val="auto"/>
        <w:rPr>
          <w:rFonts w:ascii="仿宋_GB2312" w:hAnsi="仿宋_GB2312" w:eastAsia="仿宋_GB2312" w:cs="仿宋_GB2312"/>
          <w:snapToGrid w:val="0"/>
          <w:color w:val="auto"/>
          <w:kern w:val="2"/>
          <w:sz w:val="32"/>
          <w:szCs w:val="40"/>
          <w:lang w:val="en-US" w:eastAsia="zh-CN" w:bidi="ar-SA"/>
        </w:rPr>
      </w:pPr>
      <w:r>
        <w:rPr>
          <w:rFonts w:hint="eastAsia" w:ascii="仿宋_GB2312" w:hAnsi="仿宋_GB2312" w:eastAsia="仿宋_GB2312" w:cs="仿宋_GB2312"/>
          <w:b/>
          <w:bCs/>
          <w:snapToGrid w:val="0"/>
          <w:color w:val="auto"/>
          <w:kern w:val="2"/>
          <w:sz w:val="32"/>
          <w:szCs w:val="40"/>
          <w:lang w:val="en-US" w:eastAsia="zh-CN" w:bidi="ar-SA"/>
        </w:rPr>
        <w:t>重要举措</w:t>
      </w:r>
      <w:r>
        <w:rPr>
          <w:rFonts w:hint="eastAsia" w:ascii="仿宋_GB2312" w:hAnsi="仿宋_GB2312" w:eastAsia="仿宋_GB2312" w:cs="仿宋_GB2312"/>
          <w:snapToGrid w:val="0"/>
          <w:color w:val="auto"/>
          <w:kern w:val="2"/>
          <w:sz w:val="32"/>
          <w:szCs w:val="40"/>
          <w:lang w:val="en-US" w:eastAsia="zh-CN" w:bidi="ar-SA"/>
        </w:rPr>
        <w:t>：</w:t>
      </w:r>
    </w:p>
    <w:p w14:paraId="74BD7236">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jc w:val="both"/>
        <w:textAlignment w:val="auto"/>
        <w:rPr>
          <w:rFonts w:ascii="仿宋_GB2312" w:hAnsi="仿宋_GB2312" w:eastAsia="仿宋_GB2312" w:cs="仿宋_GB2312"/>
          <w:snapToGrid w:val="0"/>
          <w:color w:val="auto"/>
          <w:kern w:val="0"/>
          <w:sz w:val="32"/>
          <w:szCs w:val="40"/>
        </w:rPr>
      </w:pPr>
      <w:r>
        <w:rPr>
          <w:rFonts w:hint="eastAsia" w:ascii="仿宋_GB2312" w:hAnsi="仿宋_GB2312" w:eastAsia="仿宋_GB2312" w:cs="仿宋_GB2312"/>
          <w:snapToGrid w:val="0"/>
          <w:color w:val="auto"/>
          <w:kern w:val="0"/>
          <w:sz w:val="32"/>
          <w:szCs w:val="40"/>
        </w:rPr>
        <w:t>1.创新数字化文化消费新体验。充分利用新时代文明实践中心、学校、公共图书馆、文化馆、美术馆、影剧院、新华书店、农家书屋等文化教育设施，搭建数字化文化体验线下场景。支持规划馆、旅游景区和教育培训基地等建设超高清、沉浸式视频体验馆。</w:t>
      </w:r>
    </w:p>
    <w:p w14:paraId="5C631894">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jc w:val="both"/>
        <w:textAlignment w:val="auto"/>
        <w:rPr>
          <w:rFonts w:ascii="仿宋_GB2312" w:hAnsi="仿宋_GB2312" w:eastAsia="仿宋_GB2312" w:cs="仿宋_GB2312"/>
          <w:snapToGrid w:val="0"/>
          <w:color w:val="auto"/>
          <w:kern w:val="0"/>
          <w:sz w:val="32"/>
          <w:szCs w:val="40"/>
        </w:rPr>
      </w:pPr>
      <w:r>
        <w:rPr>
          <w:rFonts w:hint="eastAsia" w:ascii="仿宋_GB2312" w:hAnsi="仿宋_GB2312" w:eastAsia="仿宋_GB2312" w:cs="仿宋_GB2312"/>
          <w:snapToGrid w:val="0"/>
          <w:color w:val="auto"/>
          <w:kern w:val="0"/>
          <w:sz w:val="32"/>
          <w:szCs w:val="40"/>
        </w:rPr>
        <w:t>2.推进开发数字舞台和数字文博视听新体验。鼓励文化创意与视听科技创新融合应用，推动文博场馆发展运用投影技术、空间光成像、虚实互动、裸眼3D、全景成像、AR呈现和专业音像等技术产品。支持文艺院团、博物馆、主题乐园、文创街区等场所推出沉浸式光影秀、数字体验展厅等新型应用场景，丰富消费体验。</w:t>
      </w:r>
    </w:p>
    <w:p w14:paraId="151CAFCA">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jc w:val="both"/>
        <w:textAlignment w:val="auto"/>
        <w:rPr>
          <w:rFonts w:ascii="仿宋_GB2312" w:hAnsi="仿宋_GB2312" w:eastAsia="仿宋_GB2312" w:cs="仿宋_GB2312"/>
          <w:snapToGrid w:val="0"/>
          <w:color w:val="auto"/>
          <w:kern w:val="0"/>
          <w:sz w:val="32"/>
          <w:szCs w:val="40"/>
        </w:rPr>
      </w:pPr>
      <w:r>
        <w:rPr>
          <w:rFonts w:hint="eastAsia" w:ascii="仿宋_GB2312" w:hAnsi="仿宋_GB2312" w:eastAsia="仿宋_GB2312" w:cs="仿宋_GB2312"/>
          <w:snapToGrid w:val="0"/>
          <w:color w:val="auto"/>
          <w:kern w:val="0"/>
          <w:sz w:val="32"/>
          <w:szCs w:val="40"/>
        </w:rPr>
        <w:t>3.打造一批高品质沉浸式旅游场景。积极运用云平台、区块链、人工智能、虚拟现实（VR）、增强现实（AR）等数字技术，积极探索文旅元宇宙新型业态，推动一批重点项目建设，打造更多</w:t>
      </w:r>
      <w:r>
        <w:rPr>
          <w:rFonts w:hint="eastAsia" w:ascii="仿宋_GB2312" w:hAnsi="仿宋_GB2312" w:eastAsia="仿宋_GB2312" w:cs="仿宋_GB2312"/>
          <w:snapToGrid w:val="0"/>
          <w:color w:val="auto"/>
          <w:kern w:val="2"/>
          <w:sz w:val="32"/>
          <w:szCs w:val="40"/>
        </w:rPr>
        <w:t>文旅</w:t>
      </w:r>
      <w:r>
        <w:rPr>
          <w:rFonts w:hint="eastAsia" w:ascii="仿宋_GB2312" w:hAnsi="仿宋_GB2312" w:eastAsia="仿宋_GB2312" w:cs="仿宋_GB2312"/>
          <w:snapToGrid w:val="0"/>
          <w:color w:val="auto"/>
          <w:kern w:val="0"/>
          <w:sz w:val="32"/>
          <w:szCs w:val="40"/>
        </w:rPr>
        <w:t>元宇宙应用场景。</w:t>
      </w:r>
    </w:p>
    <w:p w14:paraId="494FAB5C">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3" w:firstLineChars="200"/>
        <w:jc w:val="both"/>
        <w:textAlignment w:val="auto"/>
        <w:rPr>
          <w:rFonts w:ascii="Arial" w:hAnsi="Arial" w:eastAsia="Arial" w:cs="Arial"/>
          <w:snapToGrid w:val="0"/>
          <w:color w:val="auto"/>
          <w:kern w:val="0"/>
          <w:szCs w:val="21"/>
        </w:rPr>
      </w:pPr>
      <w:r>
        <w:rPr>
          <w:rFonts w:hint="eastAsia" w:ascii="仿宋_GB2312" w:hAnsi="仿宋_GB2312" w:eastAsia="仿宋_GB2312" w:cs="仿宋_GB2312"/>
          <w:b/>
          <w:bCs/>
          <w:snapToGrid w:val="0"/>
          <w:color w:val="auto"/>
          <w:kern w:val="2"/>
          <w:sz w:val="32"/>
          <w:szCs w:val="40"/>
        </w:rPr>
        <w:t>政策保障</w:t>
      </w:r>
      <w:r>
        <w:rPr>
          <w:rFonts w:hint="eastAsia" w:ascii="仿宋_GB2312" w:hAnsi="仿宋_GB2312" w:eastAsia="仿宋_GB2312" w:cs="仿宋_GB2312"/>
          <w:snapToGrid w:val="0"/>
          <w:color w:val="auto"/>
          <w:kern w:val="2"/>
          <w:sz w:val="32"/>
          <w:szCs w:val="40"/>
        </w:rPr>
        <w:t>：《数字沈阳发展规划》《数字沈阳建设行动计划》《沈阳市推进文化数字化战略实施方案》《关于推动全市文化产业高质量发展的若干意见》《关于加快构建现代公共文化服务体系的实施意见》</w:t>
      </w:r>
    </w:p>
    <w:p w14:paraId="55AEDE03">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jc w:val="both"/>
        <w:textAlignment w:val="auto"/>
        <w:rPr>
          <w:rFonts w:ascii="楷体_GB2312" w:hAnsi="楷体_GB2312" w:eastAsia="楷体_GB2312" w:cs="楷体_GB2312"/>
          <w:snapToGrid w:val="0"/>
          <w:color w:val="auto"/>
          <w:kern w:val="0"/>
          <w:sz w:val="32"/>
          <w:szCs w:val="40"/>
        </w:rPr>
      </w:pPr>
      <w:r>
        <w:rPr>
          <w:rFonts w:hint="eastAsia" w:ascii="楷体_GB2312" w:hAnsi="楷体_GB2312" w:eastAsia="楷体_GB2312" w:cs="楷体_GB2312"/>
          <w:snapToGrid w:val="0"/>
          <w:color w:val="auto"/>
          <w:kern w:val="0"/>
          <w:sz w:val="32"/>
          <w:szCs w:val="40"/>
        </w:rPr>
        <w:t>（七）实施文化数字化治理体系建设工程</w:t>
      </w:r>
    </w:p>
    <w:p w14:paraId="22364039">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3" w:firstLineChars="200"/>
        <w:jc w:val="both"/>
        <w:textAlignment w:val="auto"/>
        <w:rPr>
          <w:rFonts w:ascii="仿宋_GB2312" w:hAnsi="仿宋_GB2312" w:eastAsia="仿宋_GB2312" w:cs="仿宋_GB2312"/>
          <w:snapToGrid w:val="0"/>
          <w:color w:val="auto"/>
          <w:kern w:val="0"/>
          <w:sz w:val="32"/>
          <w:szCs w:val="40"/>
        </w:rPr>
      </w:pPr>
      <w:r>
        <w:rPr>
          <w:rFonts w:hint="eastAsia" w:ascii="仿宋_GB2312" w:hAnsi="仿宋_GB2312" w:eastAsia="仿宋_GB2312" w:cs="仿宋_GB2312"/>
          <w:b/>
          <w:bCs/>
          <w:snapToGrid w:val="0"/>
          <w:color w:val="auto"/>
          <w:kern w:val="0"/>
          <w:sz w:val="32"/>
          <w:szCs w:val="40"/>
        </w:rPr>
        <w:t>主要目标</w:t>
      </w:r>
      <w:r>
        <w:rPr>
          <w:rFonts w:hint="eastAsia" w:ascii="仿宋_GB2312" w:hAnsi="仿宋_GB2312" w:eastAsia="仿宋_GB2312" w:cs="仿宋_GB2312"/>
          <w:snapToGrid w:val="0"/>
          <w:color w:val="auto"/>
          <w:kern w:val="0"/>
          <w:sz w:val="32"/>
          <w:szCs w:val="40"/>
        </w:rPr>
        <w:t>：探索</w:t>
      </w:r>
      <w:r>
        <w:rPr>
          <w:rFonts w:hint="eastAsia" w:ascii="仿宋_GB2312" w:hAnsi="仿宋_GB2312" w:eastAsia="仿宋_GB2312" w:cs="仿宋_GB2312"/>
          <w:snapToGrid w:val="0"/>
          <w:color w:val="auto"/>
          <w:kern w:val="2"/>
          <w:sz w:val="32"/>
          <w:szCs w:val="40"/>
        </w:rPr>
        <w:t>文化消费大数据分析运用，促进供需调配和精准对接，提升文化数字化治理能效</w:t>
      </w:r>
      <w:r>
        <w:rPr>
          <w:rFonts w:hint="eastAsia" w:ascii="仿宋_GB2312" w:hAnsi="仿宋_GB2312" w:eastAsia="仿宋_GB2312" w:cs="仿宋_GB2312"/>
          <w:snapToGrid w:val="0"/>
          <w:color w:val="auto"/>
          <w:kern w:val="0"/>
          <w:sz w:val="32"/>
          <w:szCs w:val="40"/>
        </w:rPr>
        <w:t>。到2024年，配合全市完成文旅大数据分析平台开发建设；到2025年，在全市的统一安排下浑南区各主要文旅场景推广应用文旅大数据分析平台；到2026年，到2026年配合全市完善扩展文旅大数据分析平台功能，覆盖重点文旅场景。</w:t>
      </w:r>
    </w:p>
    <w:p w14:paraId="261AB663">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3" w:firstLineChars="200"/>
        <w:jc w:val="both"/>
        <w:textAlignment w:val="auto"/>
        <w:rPr>
          <w:rFonts w:ascii="仿宋_GB2312" w:hAnsi="仿宋_GB2312" w:eastAsia="仿宋_GB2312" w:cs="仿宋_GB2312"/>
          <w:snapToGrid w:val="0"/>
          <w:color w:val="auto"/>
          <w:kern w:val="0"/>
          <w:sz w:val="32"/>
          <w:szCs w:val="40"/>
        </w:rPr>
      </w:pPr>
      <w:r>
        <w:rPr>
          <w:rFonts w:hint="eastAsia" w:ascii="仿宋_GB2312" w:hAnsi="仿宋_GB2312" w:eastAsia="仿宋_GB2312" w:cs="仿宋_GB2312"/>
          <w:b/>
          <w:bCs/>
          <w:snapToGrid w:val="0"/>
          <w:color w:val="auto"/>
          <w:kern w:val="0"/>
          <w:sz w:val="32"/>
          <w:szCs w:val="40"/>
        </w:rPr>
        <w:t>实施路径</w:t>
      </w:r>
      <w:r>
        <w:rPr>
          <w:rFonts w:hint="eastAsia" w:ascii="仿宋_GB2312" w:hAnsi="仿宋_GB2312" w:eastAsia="仿宋_GB2312" w:cs="仿宋_GB2312"/>
          <w:snapToGrid w:val="0"/>
          <w:color w:val="auto"/>
          <w:kern w:val="0"/>
          <w:sz w:val="32"/>
          <w:szCs w:val="40"/>
        </w:rPr>
        <w:t>：严格落实国家文化数字化战略相关政策法规及省有关要求，在市场准入、市场秩序、技术创新、知识产权、安全保障等方面，全面推进政府运行方式、业务流程和服务模式数字化，推动实现文化数字化治理。</w:t>
      </w:r>
    </w:p>
    <w:p w14:paraId="1C46BC5D">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3" w:firstLineChars="200"/>
        <w:jc w:val="both"/>
        <w:textAlignment w:val="auto"/>
        <w:rPr>
          <w:rFonts w:ascii="仿宋_GB2312" w:hAnsi="仿宋_GB2312" w:eastAsia="仿宋_GB2312" w:cs="仿宋_GB2312"/>
          <w:snapToGrid w:val="0"/>
          <w:color w:val="auto"/>
          <w:kern w:val="2"/>
          <w:sz w:val="32"/>
          <w:szCs w:val="40"/>
          <w:lang w:val="en-US" w:eastAsia="zh-CN" w:bidi="ar-SA"/>
        </w:rPr>
      </w:pPr>
      <w:r>
        <w:rPr>
          <w:rFonts w:hint="eastAsia" w:ascii="仿宋_GB2312" w:hAnsi="仿宋_GB2312" w:eastAsia="仿宋_GB2312" w:cs="仿宋_GB2312"/>
          <w:b/>
          <w:bCs/>
          <w:snapToGrid w:val="0"/>
          <w:color w:val="auto"/>
          <w:kern w:val="2"/>
          <w:sz w:val="32"/>
          <w:szCs w:val="40"/>
          <w:lang w:val="en-US" w:eastAsia="zh-CN" w:bidi="ar-SA"/>
        </w:rPr>
        <w:t>重要举措</w:t>
      </w:r>
      <w:r>
        <w:rPr>
          <w:rFonts w:hint="eastAsia" w:ascii="仿宋_GB2312" w:hAnsi="仿宋_GB2312" w:eastAsia="仿宋_GB2312" w:cs="仿宋_GB2312"/>
          <w:snapToGrid w:val="0"/>
          <w:color w:val="auto"/>
          <w:kern w:val="2"/>
          <w:sz w:val="32"/>
          <w:szCs w:val="40"/>
          <w:lang w:val="en-US" w:eastAsia="zh-CN" w:bidi="ar-SA"/>
        </w:rPr>
        <w:t>：</w:t>
      </w:r>
    </w:p>
    <w:p w14:paraId="2D8FA0BB">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jc w:val="both"/>
        <w:textAlignment w:val="auto"/>
        <w:rPr>
          <w:rFonts w:ascii="仿宋_GB2312" w:hAnsi="仿宋_GB2312" w:eastAsia="仿宋_GB2312" w:cs="仿宋_GB2312"/>
          <w:snapToGrid w:val="0"/>
          <w:color w:val="auto"/>
          <w:kern w:val="2"/>
          <w:sz w:val="32"/>
          <w:szCs w:val="40"/>
          <w:lang w:val="en-US" w:eastAsia="zh-CN" w:bidi="ar-SA"/>
        </w:rPr>
      </w:pPr>
      <w:r>
        <w:rPr>
          <w:rFonts w:hint="eastAsia" w:ascii="仿宋_GB2312" w:hAnsi="仿宋_GB2312" w:eastAsia="仿宋_GB2312" w:cs="仿宋_GB2312"/>
          <w:snapToGrid w:val="0"/>
          <w:color w:val="auto"/>
          <w:kern w:val="2"/>
          <w:sz w:val="32"/>
          <w:szCs w:val="40"/>
          <w:lang w:val="en-US" w:eastAsia="zh-CN" w:bidi="ar-SA"/>
        </w:rPr>
        <w:t>1.打造文旅大数据分析平台。收集整合各类文旅数据资源，包括景区游客流量数据、在线预订数据等，通过数据挖掘、算法分析和可视化展示等技术手段，提供全面和准确的数据支持，分析判断高峰期的游客数量、热门景区的游客分布、旅游产品的需求等，深入了解旅游市场，研判旅游趋势，制定精确的旅游政策和措施，提供个性化和差异化的旅游服务。</w:t>
      </w:r>
    </w:p>
    <w:p w14:paraId="00B37B5D">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jc w:val="both"/>
        <w:textAlignment w:val="auto"/>
        <w:rPr>
          <w:rFonts w:ascii="仿宋_GB2312" w:hAnsi="仿宋_GB2312" w:eastAsia="仿宋_GB2312" w:cs="仿宋_GB2312"/>
          <w:snapToGrid w:val="0"/>
          <w:color w:val="auto"/>
          <w:kern w:val="2"/>
          <w:sz w:val="32"/>
          <w:szCs w:val="32"/>
          <w:lang w:val="en-US" w:eastAsia="zh-CN" w:bidi="ar-SA"/>
        </w:rPr>
      </w:pPr>
      <w:r>
        <w:rPr>
          <w:rFonts w:hint="eastAsia" w:ascii="仿宋_GB2312" w:hAnsi="仿宋_GB2312" w:eastAsia="仿宋_GB2312" w:cs="仿宋_GB2312"/>
          <w:snapToGrid w:val="0"/>
          <w:color w:val="auto"/>
          <w:kern w:val="2"/>
          <w:sz w:val="32"/>
          <w:szCs w:val="40"/>
          <w:lang w:val="en-US" w:eastAsia="zh-CN" w:bidi="ar-SA"/>
        </w:rPr>
        <w:t>2.完善文化数据资源共享体系。健全文化数据共享协调机制。深化文化行业协会、商会和中介机构改革，充分发挥行业协</w:t>
      </w:r>
      <w:r>
        <w:rPr>
          <w:rFonts w:hint="eastAsia" w:ascii="仿宋_GB2312" w:hAnsi="仿宋_GB2312" w:eastAsia="仿宋_GB2312" w:cs="仿宋_GB2312"/>
          <w:snapToGrid w:val="0"/>
          <w:color w:val="auto"/>
          <w:kern w:val="2"/>
          <w:sz w:val="32"/>
          <w:szCs w:val="32"/>
          <w:lang w:val="en-US" w:eastAsia="zh-CN" w:bidi="ar-SA"/>
        </w:rPr>
        <w:t>会等社会组织的行业协调、自律作用，做好文化数字化信用评价，营造良好市场发展环境。</w:t>
      </w:r>
    </w:p>
    <w:p w14:paraId="45CB5F1C">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jc w:val="both"/>
        <w:textAlignment w:val="auto"/>
        <w:rPr>
          <w:rFonts w:ascii="Arial" w:hAnsi="Arial" w:eastAsia="仿宋_GB2312" w:cs="Arial"/>
          <w:snapToGrid w:val="0"/>
          <w:color w:val="auto"/>
          <w:kern w:val="0"/>
          <w:sz w:val="32"/>
          <w:szCs w:val="32"/>
        </w:rPr>
      </w:pPr>
      <w:r>
        <w:rPr>
          <w:rFonts w:hint="eastAsia" w:ascii="仿宋_GB2312" w:hAnsi="仿宋_GB2312" w:eastAsia="仿宋_GB2312" w:cs="仿宋_GB2312"/>
          <w:snapToGrid w:val="0"/>
          <w:color w:val="auto"/>
          <w:kern w:val="0"/>
          <w:sz w:val="32"/>
          <w:szCs w:val="32"/>
        </w:rPr>
        <w:t>3.加强文化数字化监管。完善文化资源数据和文化数字内容的产权保护措施，加强版权数字化管理。加强文化消费新场景一体化监管，确保进入传播或消费渠道的内容可管可控。贯彻执行国家关于文化数字化统计监测制度，强化结果运用。</w:t>
      </w:r>
    </w:p>
    <w:p w14:paraId="1BEF926C">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3" w:firstLineChars="200"/>
        <w:jc w:val="both"/>
        <w:textAlignment w:val="auto"/>
        <w:rPr>
          <w:rFonts w:ascii="Arial" w:hAnsi="Arial" w:eastAsia="Arial" w:cs="Arial"/>
          <w:snapToGrid w:val="0"/>
          <w:color w:val="auto"/>
          <w:kern w:val="0"/>
          <w:sz w:val="32"/>
          <w:szCs w:val="32"/>
        </w:rPr>
      </w:pPr>
      <w:r>
        <w:rPr>
          <w:rFonts w:hint="eastAsia" w:ascii="仿宋_GB2312" w:hAnsi="仿宋_GB2312" w:eastAsia="仿宋_GB2312" w:cs="仿宋_GB2312"/>
          <w:b/>
          <w:bCs/>
          <w:snapToGrid w:val="0"/>
          <w:color w:val="auto"/>
          <w:kern w:val="2"/>
          <w:sz w:val="32"/>
          <w:szCs w:val="32"/>
        </w:rPr>
        <w:t>政策保障</w:t>
      </w:r>
      <w:r>
        <w:rPr>
          <w:rFonts w:hint="eastAsia" w:ascii="仿宋_GB2312" w:hAnsi="仿宋_GB2312" w:eastAsia="仿宋_GB2312" w:cs="仿宋_GB2312"/>
          <w:snapToGrid w:val="0"/>
          <w:color w:val="auto"/>
          <w:kern w:val="2"/>
          <w:sz w:val="32"/>
          <w:szCs w:val="32"/>
        </w:rPr>
        <w:t>：《关于加强5G+智慧旅游协同创新发展的通知》《数字沈阳发展规划》《数字沈阳建设行动计划》《沈阳市推进文化数字化战略实施方案》</w:t>
      </w:r>
    </w:p>
    <w:p w14:paraId="176799EC">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jc w:val="both"/>
        <w:textAlignment w:val="auto"/>
        <w:rPr>
          <w:rFonts w:ascii="黑体" w:hAnsi="黑体" w:eastAsia="黑体" w:cs="黑体"/>
          <w:snapToGrid w:val="0"/>
          <w:color w:val="auto"/>
          <w:kern w:val="0"/>
          <w:sz w:val="32"/>
          <w:szCs w:val="40"/>
        </w:rPr>
      </w:pPr>
      <w:r>
        <w:rPr>
          <w:rFonts w:hint="eastAsia" w:ascii="黑体" w:hAnsi="黑体" w:eastAsia="黑体" w:cs="黑体"/>
          <w:snapToGrid w:val="0"/>
          <w:color w:val="auto"/>
          <w:kern w:val="0"/>
          <w:sz w:val="32"/>
          <w:szCs w:val="40"/>
        </w:rPr>
        <w:t>三、保障措施</w:t>
      </w:r>
    </w:p>
    <w:p w14:paraId="0AD1C1C5">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jc w:val="both"/>
        <w:textAlignment w:val="auto"/>
        <w:rPr>
          <w:rFonts w:hint="eastAsia" w:ascii="楷体_GB2312" w:hAnsi="楷体_GB2312" w:eastAsia="楷体_GB2312" w:cs="楷体_GB2312"/>
          <w:snapToGrid w:val="0"/>
          <w:color w:val="auto"/>
          <w:kern w:val="0"/>
          <w:sz w:val="32"/>
          <w:szCs w:val="40"/>
        </w:rPr>
      </w:pPr>
      <w:r>
        <w:rPr>
          <w:rFonts w:hint="eastAsia" w:ascii="楷体_GB2312" w:hAnsi="楷体_GB2312" w:eastAsia="楷体_GB2312" w:cs="楷体_GB2312"/>
          <w:snapToGrid w:val="0"/>
          <w:color w:val="auto"/>
          <w:kern w:val="0"/>
          <w:sz w:val="32"/>
          <w:szCs w:val="40"/>
          <w:lang w:eastAsia="zh-CN"/>
        </w:rPr>
        <w:t>（</w:t>
      </w:r>
      <w:r>
        <w:rPr>
          <w:rFonts w:hint="eastAsia" w:ascii="楷体_GB2312" w:hAnsi="楷体_GB2312" w:eastAsia="楷体_GB2312" w:cs="楷体_GB2312"/>
          <w:snapToGrid w:val="0"/>
          <w:color w:val="auto"/>
          <w:kern w:val="0"/>
          <w:sz w:val="32"/>
          <w:szCs w:val="40"/>
          <w:lang w:val="en-US" w:eastAsia="zh-CN"/>
        </w:rPr>
        <w:t>一</w:t>
      </w:r>
      <w:r>
        <w:rPr>
          <w:rFonts w:hint="eastAsia" w:ascii="楷体_GB2312" w:hAnsi="楷体_GB2312" w:eastAsia="楷体_GB2312" w:cs="楷体_GB2312"/>
          <w:snapToGrid w:val="0"/>
          <w:color w:val="auto"/>
          <w:kern w:val="0"/>
          <w:sz w:val="32"/>
          <w:szCs w:val="40"/>
          <w:lang w:eastAsia="zh-CN"/>
        </w:rPr>
        <w:t>）</w:t>
      </w:r>
      <w:r>
        <w:rPr>
          <w:rFonts w:hint="eastAsia" w:ascii="楷体_GB2312" w:hAnsi="楷体_GB2312" w:eastAsia="楷体_GB2312" w:cs="楷体_GB2312"/>
          <w:snapToGrid w:val="0"/>
          <w:color w:val="auto"/>
          <w:kern w:val="0"/>
          <w:sz w:val="32"/>
          <w:szCs w:val="40"/>
        </w:rPr>
        <w:t>加强组织领导</w:t>
      </w:r>
    </w:p>
    <w:p w14:paraId="53E8B041">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val="0"/>
          <w:color w:val="auto"/>
          <w:kern w:val="0"/>
          <w:sz w:val="32"/>
          <w:szCs w:val="40"/>
        </w:rPr>
      </w:pPr>
      <w:r>
        <w:rPr>
          <w:rFonts w:hint="eastAsia" w:ascii="仿宋_GB2312" w:hAnsi="仿宋_GB2312" w:eastAsia="仿宋_GB2312" w:cs="仿宋_GB2312"/>
          <w:snapToGrid w:val="0"/>
          <w:color w:val="auto"/>
          <w:kern w:val="0"/>
          <w:sz w:val="32"/>
          <w:szCs w:val="40"/>
        </w:rPr>
        <w:t>成立由区委宣传部、区文旅广电局共同牵头，区委网信办、区大数据中心、高新区、棋盘山及浑南区各街道参加的工作专班，统筹协调指导全市数字文化系统建设。区直各有关单位和各街道要参照建立相应的领导体制和工作机制，保障数字文化系统建设工作有序推进。</w:t>
      </w:r>
    </w:p>
    <w:p w14:paraId="0B3722E8">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jc w:val="both"/>
        <w:textAlignment w:val="auto"/>
        <w:rPr>
          <w:rFonts w:hint="eastAsia" w:ascii="楷体_GB2312" w:hAnsi="楷体_GB2312" w:eastAsia="楷体_GB2312" w:cs="楷体_GB2312"/>
          <w:snapToGrid w:val="0"/>
          <w:color w:val="auto"/>
          <w:kern w:val="0"/>
          <w:sz w:val="32"/>
          <w:szCs w:val="40"/>
          <w:lang w:eastAsia="zh-CN"/>
        </w:rPr>
      </w:pPr>
      <w:r>
        <w:rPr>
          <w:rFonts w:hint="eastAsia" w:ascii="楷体_GB2312" w:hAnsi="楷体_GB2312" w:eastAsia="楷体_GB2312" w:cs="楷体_GB2312"/>
          <w:snapToGrid w:val="0"/>
          <w:color w:val="auto"/>
          <w:kern w:val="0"/>
          <w:sz w:val="32"/>
          <w:szCs w:val="40"/>
          <w:lang w:eastAsia="zh-CN"/>
        </w:rPr>
        <w:t>（</w:t>
      </w:r>
      <w:r>
        <w:rPr>
          <w:rFonts w:hint="eastAsia" w:ascii="楷体_GB2312" w:hAnsi="楷体_GB2312" w:eastAsia="楷体_GB2312" w:cs="楷体_GB2312"/>
          <w:snapToGrid w:val="0"/>
          <w:color w:val="auto"/>
          <w:kern w:val="0"/>
          <w:sz w:val="32"/>
          <w:szCs w:val="40"/>
          <w:lang w:val="en-US" w:eastAsia="zh-CN"/>
        </w:rPr>
        <w:t>二</w:t>
      </w:r>
      <w:r>
        <w:rPr>
          <w:rFonts w:hint="eastAsia" w:ascii="楷体_GB2312" w:hAnsi="楷体_GB2312" w:eastAsia="楷体_GB2312" w:cs="楷体_GB2312"/>
          <w:snapToGrid w:val="0"/>
          <w:color w:val="auto"/>
          <w:kern w:val="0"/>
          <w:sz w:val="32"/>
          <w:szCs w:val="40"/>
          <w:lang w:eastAsia="zh-CN"/>
        </w:rPr>
        <w:t>）加大支持力度</w:t>
      </w:r>
    </w:p>
    <w:p w14:paraId="351BBE68">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val="0"/>
          <w:color w:val="auto"/>
          <w:kern w:val="2"/>
          <w:sz w:val="32"/>
          <w:szCs w:val="40"/>
        </w:rPr>
      </w:pPr>
      <w:r>
        <w:rPr>
          <w:rFonts w:hint="eastAsia" w:ascii="仿宋_GB2312" w:hAnsi="仿宋_GB2312" w:eastAsia="仿宋_GB2312" w:cs="仿宋_GB2312"/>
          <w:snapToGrid w:val="0"/>
          <w:color w:val="auto"/>
          <w:kern w:val="0"/>
          <w:sz w:val="32"/>
          <w:szCs w:val="40"/>
        </w:rPr>
        <w:t>结合全市政策研究做好扶持文化数字化建设的产业政策。落实发挥全市文化产业发展专项资金的引导作用，充分调动市场力量，引导社会资本积极、有序参与文化数字化建设。鼓励金融机构开发适应文化数字化建设特点和需求的信贷产品，引导文化企业合理应用各类债务融资工具优化融资结构。支持符合条件的数字化文化企业上市融资。</w:t>
      </w:r>
    </w:p>
    <w:p w14:paraId="7163B5EB">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jc w:val="both"/>
        <w:textAlignment w:val="auto"/>
        <w:rPr>
          <w:rFonts w:hint="eastAsia" w:ascii="楷体_GB2312" w:hAnsi="楷体_GB2312" w:eastAsia="楷体_GB2312" w:cs="楷体_GB2312"/>
          <w:snapToGrid w:val="0"/>
          <w:color w:val="auto"/>
          <w:kern w:val="0"/>
          <w:sz w:val="32"/>
          <w:szCs w:val="40"/>
          <w:lang w:eastAsia="zh-CN"/>
        </w:rPr>
      </w:pPr>
      <w:r>
        <w:rPr>
          <w:rFonts w:hint="eastAsia" w:ascii="楷体_GB2312" w:hAnsi="楷体_GB2312" w:eastAsia="楷体_GB2312" w:cs="楷体_GB2312"/>
          <w:snapToGrid w:val="0"/>
          <w:color w:val="auto"/>
          <w:kern w:val="0"/>
          <w:sz w:val="32"/>
          <w:szCs w:val="40"/>
          <w:lang w:eastAsia="zh-CN"/>
        </w:rPr>
        <w:t>（</w:t>
      </w:r>
      <w:r>
        <w:rPr>
          <w:rFonts w:hint="eastAsia" w:ascii="楷体_GB2312" w:hAnsi="楷体_GB2312" w:eastAsia="楷体_GB2312" w:cs="楷体_GB2312"/>
          <w:snapToGrid w:val="0"/>
          <w:color w:val="auto"/>
          <w:kern w:val="0"/>
          <w:sz w:val="32"/>
          <w:szCs w:val="40"/>
          <w:lang w:val="en-US" w:eastAsia="zh-CN"/>
        </w:rPr>
        <w:t>三</w:t>
      </w:r>
      <w:r>
        <w:rPr>
          <w:rFonts w:hint="eastAsia" w:ascii="楷体_GB2312" w:hAnsi="楷体_GB2312" w:eastAsia="楷体_GB2312" w:cs="楷体_GB2312"/>
          <w:snapToGrid w:val="0"/>
          <w:color w:val="auto"/>
          <w:kern w:val="0"/>
          <w:sz w:val="32"/>
          <w:szCs w:val="40"/>
          <w:lang w:eastAsia="zh-CN"/>
        </w:rPr>
        <w:t>）注重安全保障</w:t>
      </w:r>
    </w:p>
    <w:p w14:paraId="7617C573">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val="0"/>
          <w:color w:val="auto"/>
          <w:kern w:val="0"/>
          <w:sz w:val="32"/>
          <w:szCs w:val="40"/>
        </w:rPr>
      </w:pPr>
      <w:r>
        <w:rPr>
          <w:rFonts w:hint="eastAsia" w:ascii="仿宋_GB2312" w:hAnsi="仿宋_GB2312" w:eastAsia="仿宋_GB2312" w:cs="仿宋_GB2312"/>
          <w:snapToGrid w:val="0"/>
          <w:color w:val="auto"/>
          <w:kern w:val="0"/>
          <w:sz w:val="32"/>
          <w:szCs w:val="40"/>
        </w:rPr>
        <w:t>依照国家有关数据安全的法律法规，督导落实数据安全主体责任。在数据采集加工、交易分发、传输存储及数据治理等环节，执行国家文化数据安全标准和全流程文化数据安全管理制度。完善文化数字化新技术新应用网络信息安全重大风险应对预案，完善风险防控措施。</w:t>
      </w:r>
    </w:p>
    <w:p w14:paraId="118F4EE5">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jc w:val="both"/>
        <w:textAlignment w:val="auto"/>
        <w:rPr>
          <w:rFonts w:hint="eastAsia" w:ascii="楷体_GB2312" w:hAnsi="楷体_GB2312" w:eastAsia="楷体_GB2312" w:cs="楷体_GB2312"/>
          <w:snapToGrid w:val="0"/>
          <w:color w:val="auto"/>
          <w:kern w:val="0"/>
          <w:sz w:val="32"/>
          <w:szCs w:val="40"/>
          <w:lang w:eastAsia="zh-CN"/>
        </w:rPr>
      </w:pPr>
      <w:r>
        <w:rPr>
          <w:rFonts w:hint="eastAsia" w:ascii="楷体_GB2312" w:hAnsi="楷体_GB2312" w:eastAsia="楷体_GB2312" w:cs="楷体_GB2312"/>
          <w:snapToGrid w:val="0"/>
          <w:color w:val="auto"/>
          <w:kern w:val="0"/>
          <w:sz w:val="32"/>
          <w:szCs w:val="40"/>
          <w:lang w:eastAsia="zh-CN"/>
        </w:rPr>
        <w:t>（</w:t>
      </w:r>
      <w:r>
        <w:rPr>
          <w:rFonts w:hint="eastAsia" w:ascii="楷体_GB2312" w:hAnsi="楷体_GB2312" w:eastAsia="楷体_GB2312" w:cs="楷体_GB2312"/>
          <w:snapToGrid w:val="0"/>
          <w:color w:val="auto"/>
          <w:kern w:val="0"/>
          <w:sz w:val="32"/>
          <w:szCs w:val="40"/>
          <w:lang w:val="en-US" w:eastAsia="zh-CN"/>
        </w:rPr>
        <w:t>四</w:t>
      </w:r>
      <w:r>
        <w:rPr>
          <w:rFonts w:hint="eastAsia" w:ascii="楷体_GB2312" w:hAnsi="楷体_GB2312" w:eastAsia="楷体_GB2312" w:cs="楷体_GB2312"/>
          <w:snapToGrid w:val="0"/>
          <w:color w:val="auto"/>
          <w:kern w:val="0"/>
          <w:sz w:val="32"/>
          <w:szCs w:val="40"/>
          <w:lang w:eastAsia="zh-CN"/>
        </w:rPr>
        <w:t>）严格工作落实</w:t>
      </w:r>
    </w:p>
    <w:p w14:paraId="15F4F7D3">
      <w:r>
        <w:rPr>
          <w:rFonts w:hint="eastAsia" w:ascii="仿宋_GB2312" w:hAnsi="仿宋_GB2312" w:eastAsia="仿宋_GB2312" w:cs="仿宋_GB2312"/>
          <w:snapToGrid w:val="0"/>
          <w:color w:val="auto"/>
          <w:kern w:val="0"/>
          <w:sz w:val="32"/>
          <w:szCs w:val="40"/>
        </w:rPr>
        <w:t>各有关单位结合实际，制定细化工作方案，明确时间节点、目标任务和推进举措，清单化、项目化、工程化推动任务落实落地，动态调整、滚动实施，促进数字文化系统建设持续发展。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59E07AFA"/>
    <w:rsid w:val="456E6654"/>
    <w:rsid w:val="59E0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rPr>
  </w:style>
  <w:style w:type="paragraph" w:styleId="3">
    <w:name w:val="index 9"/>
    <w:basedOn w:val="1"/>
    <w:next w:val="1"/>
    <w:qFormat/>
    <w:uiPriority w:val="0"/>
    <w:pPr>
      <w:ind w:left="1600" w:leftChars="16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5885</Words>
  <Characters>6024</Characters>
  <Lines>0</Lines>
  <Paragraphs>0</Paragraphs>
  <TotalTime>0</TotalTime>
  <ScaleCrop>false</ScaleCrop>
  <LinksUpToDate>false</LinksUpToDate>
  <CharactersWithSpaces>6025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2024-08-15T08:06:00Z</dcterms:created>
  <dc:creator>杨洋</dc:creator>
  <cp:lastModifiedBy>杨洋</cp:lastModifiedBy>
  <dcterms:modified xsi:type="dcterms:W3CDTF">2024-08-15T08:22:10Z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D72E675E04C54CA19C889253A47ABA0C_11</vt:lpwstr>
  </property>
</Properties>
</file>