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F2CAD">
      <w:pPr>
        <w:pStyle w:val="2"/>
        <w:keepNext w:val="0"/>
        <w:keepLines w:val="0"/>
        <w:pageBreakBefore w:val="0"/>
        <w:widowControl w:val="0"/>
        <w:kinsoku/>
        <w:wordWrap/>
        <w:topLinePunct w:val="0"/>
        <w:autoSpaceDE/>
        <w:autoSpaceDN/>
        <w:bidi w:val="0"/>
        <w:adjustRightInd/>
        <w:snapToGrid/>
        <w:spacing w:after="0" w:line="560" w:lineRule="exact"/>
        <w:ind w:left="0" w:leftChars="0"/>
        <w:jc w:val="both"/>
        <w:textAlignment w:val="auto"/>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14:paraId="2D25BA6B">
      <w:pPr>
        <w:pStyle w:val="2"/>
        <w:keepNext w:val="0"/>
        <w:keepLines w:val="0"/>
        <w:pageBreakBefore w:val="0"/>
        <w:widowControl w:val="0"/>
        <w:kinsoku/>
        <w:wordWrap/>
        <w:topLinePunct w:val="0"/>
        <w:autoSpaceDE/>
        <w:autoSpaceDN/>
        <w:bidi w:val="0"/>
        <w:adjustRightInd/>
        <w:snapToGrid/>
        <w:spacing w:after="0" w:line="560" w:lineRule="exact"/>
        <w:ind w:left="0" w:leftChars="0"/>
        <w:jc w:val="center"/>
        <w:textAlignment w:val="auto"/>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数字浑南建设2024年行动计划</w:t>
      </w:r>
    </w:p>
    <w:p w14:paraId="6B7219AE">
      <w:pPr>
        <w:keepNext w:val="0"/>
        <w:keepLines w:val="0"/>
        <w:pageBreakBefore w:val="0"/>
        <w:widowControl w:val="0"/>
        <w:kinsoku/>
        <w:wordWrap/>
        <w:topLinePunct w:val="0"/>
        <w:autoSpaceDE/>
        <w:autoSpaceDN/>
        <w:bidi w:val="0"/>
        <w:adjustRightInd/>
        <w:snapToGrid/>
        <w:spacing w:line="560" w:lineRule="exact"/>
        <w:ind w:left="0" w:leftChars="0" w:firstLine="640"/>
        <w:jc w:val="both"/>
        <w:textAlignment w:val="auto"/>
        <w:rPr>
          <w:rFonts w:ascii="仿宋" w:hAnsi="仿宋" w:eastAsia="仿宋" w:cs="仿宋"/>
          <w:sz w:val="32"/>
          <w:szCs w:val="32"/>
        </w:rPr>
      </w:pPr>
    </w:p>
    <w:p w14:paraId="7732DD87">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按照数字沈阳建设2024年行动计划相关工作要求，为做好数字浑南建设2024年相关工作，结合浑南区实际情况制定数字浑南建设2024年行动计划如下：</w:t>
      </w:r>
    </w:p>
    <w:p w14:paraId="0AF4813A">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一、建设思路</w:t>
      </w:r>
    </w:p>
    <w:p w14:paraId="3B4AFA84">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二十大和二十届二中全会精神，深入学习贯彻习近平总书记关于东北、辽宁振兴发展的重要讲话和指示批示精神，认真落实习近平总书记关于建设数字中国的重要论述，以深入实施全面振兴新突破三年行动及“振兴新突破、我要当先锋”专项行动为引领，坚决压实全市“东北数字第一城、全国数字名城”建设的浑南责任，落实“东北综合实力第一区”的建设要求，锚定打造“东北数字强区、全国数字名城”的目标，布局新型基础设施，提升释放数据要素价值，推进数字经济、数字政务、数字社会、数字文化、数字生态文明协同高质量发展，努力在数字沈阳建设中争当“排头兵”。</w:t>
      </w:r>
    </w:p>
    <w:p w14:paraId="75D85182">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二、建设目标</w:t>
      </w:r>
    </w:p>
    <w:p w14:paraId="3817E17D">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数字基础设施领域。积极推动在我区新增5G基站规划布局，全年力争新建开通5G基站800个，进一步优化5G网络覆盖质量；沈阳人工智能计算中心算力规模达到500P,完成IPv6多网融合创新部署，助力沈阳申报“‘IPv6+’创新之城”。</w:t>
      </w:r>
    </w:p>
    <w:p w14:paraId="63EA5F10">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rPr>
        <w:t>数据要素领域。完善数据管理体制机制，完成区级数据资源生产和归集目标；推进驻区企业实现数据资源入表能入尽入，应入尽入；完成政务数据对社会公众依法、有序开放任务。</w:t>
      </w:r>
      <w:r>
        <w:rPr>
          <w:rFonts w:hint="eastAsia" w:ascii="仿宋" w:hAnsi="仿宋" w:eastAsia="仿宋" w:cs="仿宋"/>
          <w:sz w:val="32"/>
          <w:szCs w:val="32"/>
          <w:highlight w:val="none"/>
        </w:rPr>
        <w:t xml:space="preserve"> </w:t>
      </w:r>
    </w:p>
    <w:p w14:paraId="2F038C11">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数字经济领域。全力打造东北“数字经济核心产业引领区”；培育智能工厂、数字化车间10个以上，“5G+工业互联网”场景60个以上，完成工业企业两化融合评估诊断100家以上。加快推进“北方算谷”建设，集成电路装备产业园、机器人产业园等精品园区建设。</w:t>
      </w:r>
    </w:p>
    <w:p w14:paraId="392602A2">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数字政府领域。优化升级浑南智能体，推进12345与110对接联动，建设社会治理智慧网格平台，同步推进一网统管、一网通办、经济运行、一网协同、掌上应用5个模块更新迭代，创新夯实浑南智能体管理考核机制，全面提升数字政务效能。</w:t>
      </w:r>
    </w:p>
    <w:p w14:paraId="07909E30">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数字文化领域。坚持文体旅高度融合发展原则，用数字化创新推动省全域旅游示范区、国家级体育产业示范区建设，打造数字文创产业园区，推进棋盘山风景区数字景区项目，推出浑南区数字旅游小程序，支持重点文化企业推出国内有较大影响力的数字文创产品1个。</w:t>
      </w:r>
    </w:p>
    <w:p w14:paraId="17A124A7">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数字社会领域。落实智慧居家养老点单服务试点社区占比70%以上目标任务；推广熙康“云医院”覆盖服务范围，率先构建区域智慧医疗共同体。</w:t>
      </w:r>
    </w:p>
    <w:p w14:paraId="4E765FBF">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数字生态文明领域。数字化助力棋盘山“无废景区”、“两山”实践创新基地、</w:t>
      </w:r>
      <w:r>
        <w:rPr>
          <w:rFonts w:hint="eastAsia" w:ascii="仿宋_GB2312" w:hAnsi="仿宋_GB2312" w:eastAsia="仿宋_GB2312" w:cs="仿宋_GB2312"/>
          <w:sz w:val="32"/>
          <w:szCs w:val="32"/>
          <w:lang w:eastAsia="zh-CN"/>
        </w:rPr>
        <w:t>国家生态文明建设示范区建设</w:t>
      </w:r>
      <w:r>
        <w:rPr>
          <w:rFonts w:hint="eastAsia" w:ascii="仿宋_GB2312" w:hAnsi="仿宋_GB2312" w:eastAsia="仿宋_GB2312" w:cs="仿宋_GB2312"/>
          <w:sz w:val="32"/>
          <w:szCs w:val="32"/>
        </w:rPr>
        <w:t>。</w:t>
      </w:r>
    </w:p>
    <w:p w14:paraId="1F6D39A3">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三、主要任务</w:t>
      </w:r>
    </w:p>
    <w:p w14:paraId="77B4E53D">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（一）数字基础设施领域</w:t>
      </w:r>
    </w:p>
    <w:p w14:paraId="354847DF">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_GB2312" w:hAnsi="仿宋_GB2312" w:eastAsia="仿宋_GB2312" w:cs="仿宋_GB2312"/>
          <w:sz w:val="32"/>
          <w:szCs w:val="32"/>
        </w:rPr>
        <w:t>强化新基建基础设施建设。加强与三大运营商沟通，积极推动在我区新增5G基站规划布局，协调区5G基站建设专班，帮助运营商协调解决基站建设问题，推动通信基础设施建设，全年力争新建开通5G基站800个，进一步优化5G网络覆盖质量。（责任单位：区工信局）</w:t>
      </w:r>
    </w:p>
    <w:p w14:paraId="5EB4CEEF">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_GB2312" w:hAnsi="仿宋_GB2312" w:eastAsia="仿宋_GB2312" w:cs="仿宋_GB2312"/>
          <w:sz w:val="32"/>
          <w:szCs w:val="32"/>
        </w:rPr>
        <w:t>全力推进IPv6规模化部署应用。我区作为国家网信办首批IPv6创新融合部署项目试点单位，正在开展技术平台研发以及政务外网、视频专网、教育网、医疗网、窄带物联网等多网设备部署及融合工作，力争通过</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24年3月国家网信办的验收工作，为沈阳市争创“IPv6+ 创新之城”的提供重要支撑。（责任单位：区大数据管理中心）</w:t>
      </w:r>
    </w:p>
    <w:p w14:paraId="5F32410C">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推进沈阳人工智能计算中心三期建设。计算中心目前整体算力规模达到300P ,作为东北唯一节点已正式接入国家算力网络，获批科技部的首批国家新一代人工智能公共算力开放创新平台。按照区政府工作报告要求，拟于2024年开展沈阳人工智能计算中心三期项目项目建设。（责任单位：区大数据管理中心）</w:t>
      </w:r>
    </w:p>
    <w:p w14:paraId="31474CCA">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4.</w:t>
      </w:r>
      <w:r>
        <w:rPr>
          <w:rFonts w:hint="eastAsia" w:ascii="仿宋_GB2312" w:hAnsi="仿宋_GB2312" w:eastAsia="仿宋_GB2312" w:cs="仿宋_GB2312"/>
          <w:sz w:val="32"/>
          <w:szCs w:val="32"/>
        </w:rPr>
        <w:t>建设工业互联网设施，加快推进工业互联网标识解析二级节点建设。鼓励企业利用5G、边缘计算等技术，建设灵活、高效、稳定的企业内部网络。推进“5G+工业互联网”融合发展，累计建成省级以上工业互联网平台15个。（责任单位：区工信局）</w:t>
      </w:r>
    </w:p>
    <w:p w14:paraId="428615B5">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（二）数据要素市场领域</w:t>
      </w:r>
    </w:p>
    <w:p w14:paraId="17C9160D">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highlight w:val="none"/>
        </w:rPr>
        <w:t>完善数据管理体制机制。围绕数据全周期管理，摸清政务数据底数，完善政务数据资源目录体系，做到数据目录的应编尽编。规范政务数据目录编制工作，加强对应政务资源数据挂载，做好数据资源回流工作，加速数据流通，发挥数据效能，加大政务数据应用力度，完成区级数据资源生产和归集目标。（责任单位：区大数据管理中心）</w:t>
      </w:r>
    </w:p>
    <w:p w14:paraId="14D7B481">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.支持企业综合考虑数据的识别与分析、策略与目标制定、表结构设计、流程与工具选择、监控与质量管理、权限与安全控制等方面的工作，为企业的决策和业务提供有力的支持，推进企业数据资源入表</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（责任单位：区工信局）</w:t>
      </w:r>
    </w:p>
    <w:p w14:paraId="022553F3">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（三）数字经济领域</w:t>
      </w:r>
    </w:p>
    <w:p w14:paraId="1FF358A1">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推进北方算谷建设，重点打造“双核四园”空间布局，加快产业园区建设步伐，推动华为辽宁区域总部、集美智慧数据工厂、网络安全产业园一期等续建项目加快装修进度，确保35.9万平续建项目投入运营，全力推进数字经济产业园B区、M区、K区二地块和网络安全产业园二期建设，力争2024年数字经济产业园签约入驻企业超过100户。（责任单位：高新区经发局、高新区投促局）</w:t>
      </w:r>
    </w:p>
    <w:p w14:paraId="5D177501">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推动软件和信息技术服务业发展。聚焦交通、教育等领域，形成一批应用软件产品和行业解决方案；支持优势企业开发工业软件产品，构建自主可控的工业互联网生态；全力推进鲲鹏产业化基地和辽宁鲲鹏生态创新中心等建设，打造信创产业高地。2024年，软件规上企业达40家，软件及互联网相关服务业实现营收95亿元。（责任单位：区工信局、发改局）</w:t>
      </w:r>
    </w:p>
    <w:p w14:paraId="084B114B">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加快壮大电子信息产业。依托集成电路装备骨干企业带动零部件和材料产业化，打造集成电路装备产业链和创新链，建设具有全国影响力的集成电路装备和零部件产业化园区；积极引导功率半导体、微机电系统、第三代半导体材料等领域企业落地；支持企业研发生产各类传感器产品，补齐工业传感器短板；发展移动智能终端和可穿戴设备。（责任单位：区工信局、高新区经发局、高新区投促局）</w:t>
      </w:r>
    </w:p>
    <w:p w14:paraId="48244AD1">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.超前布局人工智能产业。鼓励东软集团、美行科技等重点企业与沈阳人工智能计算中心加强合作，突破人工智能等关键共性技术。（责任单位：区发改局、工信局、高新区科创局）</w:t>
      </w:r>
    </w:p>
    <w:p w14:paraId="1EC08381">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积极发展元宇宙核心产业。开展元宇宙产业培育计划，支持重点科研机构与区内企业共建新型研发机构、企业技术创新中心，开展虚拟现实、数字孪生等前沿技术研究及成果转化应用。（责任单位：区发改局、高新区科创局）</w:t>
      </w:r>
    </w:p>
    <w:p w14:paraId="1F357D4C">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动数字文化创意产业集聚发展。为全市关于培育动漫音乐、电子竞技、数字游戏、数字影视、网络视听、互动新媒体等业态总体安排及调度提供支持保障。支持云演出、云旅游、云阅读等特色数字文化融合应用，推动短视频、直播、沉浸式体验等多媒体新场景拓展。积极引入数字文创企业，发挥优质数字企业龙头带动作用，全年完成1-2家重点数字文创、动漫企业入库。（责任单位：区文旅局）</w:t>
      </w:r>
    </w:p>
    <w:p w14:paraId="37546993">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.抓住汽车产业电动化、智能化、网联化、共享化发展趋势，支持美行科技等企业研发生产网联导航引擎、智能座舱系统等智能网联汽车核心软硬件。（责任单位：区工信局）</w:t>
      </w:r>
    </w:p>
    <w:p w14:paraId="361E5910">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.加快推进工业数字化转型。一是加快工业互联网创新发展，推动工业互联网标识解析二级节点创新推广应用，累计建设工业互联网标识解析二级节点3个，深化“5G +工业互联网”融合应用，培育典型应用场景。二是强化智能升级项目建设，围绕机械装备、汽车、生物医药等“老原新”重点产业，分层有序推进“制造单元—数字化生产线—数字化车间—智能化工厂”全流程与关键环节的数字化、网络化和智能化改造，培育一批智能工厂、数字化车间行业示范，累计建设智能工厂5个、数字化车间15个。三是培育发展智能融合产品和装备，推动视觉感知、精准测距等数字技术与传统优势装备深度集成，发展智能机器人、智能运输装备、智能采矿装备等智能化新产品新装备。针对大型设备对控制系统研发、制造需求，加快控制系统产业化，发展智能化、柔性化“产品+服务”。支持企业应用数字孪生、人工智能、区块链等技术构建产品模型，加强数据分析，发展设备预测性维护、装备能效优化、产品衍生服务等服务化制造，延伸服务化价值链。（责任单位：区工信局）</w:t>
      </w:r>
    </w:p>
    <w:p w14:paraId="314D2438">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积极培育服务业数字化新业态新模式。一是推动商贸领域数字化转型，建设跨境电商展示中心，推动重点企业实施多渠道运营、品牌建设、供应链管理等一体化发展，推进商户入驻生活服务、地理信息服务等信息平台，促进线上线下资源整合利用，连锁品牌便利店、宾馆、饭店80%入驻电商平台开展线上销售业务。二是大力拓展智慧物流新模式，依托京东、苏宁等大型电商物流中心，打造智能物流体系。三是加快智慧文旅领域发展。运用虚拟现实（VR）、增强现实（AR）等数字技术，实施智慧景区、智慧博物馆、智慧图书馆等智慧文旅工程，提升游客旅游服务体验。（责任单位：区商务局、文旅局）</w:t>
      </w:r>
    </w:p>
    <w:p w14:paraId="2274847D">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推动特色数字农业发展。一是推进农业数字化转型，推广大数据、物联网、人工智能、区块链在农业生产、加工、经营中的运用，促进新一代信息技术与种植业、畜牧业等加工业全面深度融合应用。二是加快农业生产经营数字赋能，加快数字农业科技创新及推广应用，推动生产智能化、加工自动化、管理标准化。三是农业大数据融合创新应用，加快推进各类型数字农业应用推广示范。（责任单位：区农业农村局）</w:t>
      </w:r>
    </w:p>
    <w:p w14:paraId="0B04838D">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数字化转型应用示范。一是支持建设数字化转型促进中心，鼓励行业骨干企业联合科研院所、高校、金融机构等共建数字化转型促进中心，2024年争取获批数字化转型促进中心2个以上。二是鼓励数字化转型应用示范推广，支持工业、农业、服务业企业开放和建设数字技术应用场景，围绕工业互联网+产业链融合赋能、5G+智能制造等数字化转型重点领域，积极谋划数字经济应用场景。（责任单位：区发改局、工信局、农业农村局、商务局）</w:t>
      </w:r>
    </w:p>
    <w:p w14:paraId="5029F762">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优化人才数字化服务，引进集聚一批高水平人才。深入实施“兴沈英才计划”，实施海内外高精尖科技优才工程。完善、丰富“乐业浑南”小程序功能模块，多种方式推广“浑南人才”公众号、“乐业浑南”小程序、“沈阳市舒心就业”平台应用。力争完成线上招聘会20场，直播带岗12场。录制浑南特色引才宣传视频，深入浅出的政策讲解，力争在“乐业浑南”小程序、“浑南人才”公众号等平台持续宣传人才落户、人才安居、人才生活以及人才创业等方面的视频不少于20次。（责任单位：区人社局）</w:t>
      </w:r>
    </w:p>
    <w:p w14:paraId="53C3D816">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（四）数字政府领域</w:t>
      </w:r>
    </w:p>
    <w:p w14:paraId="4377CC66">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仿宋" w:hAnsi="仿宋" w:eastAsia="仿宋" w:cs="仿宋"/>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推进浑南智能体功能模块深化部署更新迭代，规范智能体需求研判及运维管理，提升整体系统使用效能；健全工作机制，制定《浑南智能体升级推进工作专班组建方案》，成立浑南智能体升级推进工作专班，推动智能体数据更新及功能升级完善，促进部门沟通协作，细化职责任务分工，加强各级业务衔接和工作对接；完成爱浑南小程序与浑南会客厅、政务信息小南、党群服务平台、乐业浑南、浑南人才等5个微信小程序集成；启动服务器采购项目，加快部署安装服务器工作，保障浑南公安智慧警务平台落地运行。（责任单位：区大数据管理中心）</w:t>
      </w:r>
    </w:p>
    <w:p w14:paraId="5E843FCF">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（五）数字文化领域</w:t>
      </w:r>
    </w:p>
    <w:p w14:paraId="031F8A33">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坚持党的领导，推进媒体深度融合，加快建设浑南区融媒体中心，提升融媒体中心制作水平，打造多媒体平台融合的传播矩阵，构建“全媒制播、全域覆盖、全网影响”的传播新格局，全年浑南区融媒体中心通过各平台账号累计发布各类新闻作品4000条。（责任单位：区委宣传部）</w:t>
      </w:r>
    </w:p>
    <w:p w14:paraId="45D6249E">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完善图书馆、城市书房、书屋、社区书屋图书信息录入工作，丰富提升管理系统平台功能。完成读者信息整合、图书信息整合、与全市图书管理接口整合工作；依托全区各级公共文化机构，成立读友会团队，开展主题阅读活动，引导市民通过“有声关爱”微信小程序录制文章，供视障人士阅读；建立博看阅读和中文在线、喜马拉雅有声书房等，为市民提供数字阅读平台。（责任单位：区文旅局）</w:t>
      </w:r>
    </w:p>
    <w:p w14:paraId="1E87CAEC">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.有序推进鲁美数字文创产业园；诚溢四库文创产业园、缦上四变文创产业园建设。（责任单位：高新区投促局）</w:t>
      </w:r>
    </w:p>
    <w:p w14:paraId="5451E91D">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文化产业和数字经济融合发展迈向新阶段，数字化、网络化、智能化发展水平明显提高。2024年浑南区亿元以上数字文创企业达到4户以上，建设四库文创产业园区，沈阳数字经济产业园等园区。（责任单位：区委宣传部）</w:t>
      </w:r>
    </w:p>
    <w:p w14:paraId="0168A286">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挖掘浑南数字文化企业资源，积极探索数字文化产业新发展理念与路径，支持重点文化企业推出在国际或国内有较大影响力的数字文创项目、产品或数字文创品牌，推出具有较大影响力的数字文创产品1个。（责任单位：区文旅局）</w:t>
      </w:r>
    </w:p>
    <w:p w14:paraId="4F81B960">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深度剖析当前国内旅游大环境现状，结合《浑南区旅游业三年倍增计划》等政策文件，推出浑南区旅游电子地图，并结合浑南区旅游资源实际情况，对该电子地图进行质量与服务功能整体提升。（责任单位：区文旅局）</w:t>
      </w:r>
    </w:p>
    <w:p w14:paraId="76C440B1">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（六）数字社会领域</w:t>
      </w:r>
    </w:p>
    <w:p w14:paraId="50FF6B44">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推进基层治理数字化。坚持党建引领，践行“两邻”理念，充分应用大数据等信息技术手段，打造基于信息化、智能化管理与服务的社区治理新形态，不断提升社区治理服务智慧化、智能化水平；依托沈阳市基层治理服务管理平台，应用社区“一套表”系统，减少工作台账报表，持续丰富完善“人员装户图”和“资源装户图”数据资源。结合“倾情解忧暖心”探访关爱行动，对重点人群进行标签化管理，动态维护特殊人群数据标签，做到人员同步探访、数据同步更新、标签同步标注，重点人群信息准确率100%。（责任单位：区党建服务中心、区民政局）</w:t>
      </w:r>
    </w:p>
    <w:p w14:paraId="4BBE7E59">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发展智慧健康。打造健康浑南，完成浑南区域人口健康信息平台升级改造，区直属11家医疗机构全部安装并使用新开发的软件系统，依托平台应用数字技术提升医疗质量。到2024年底，新建1家互联网医院。（责任单位：区卫健局）</w:t>
      </w:r>
    </w:p>
    <w:p w14:paraId="7B78E9A9">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.推广智慧养老：112个城市社区智慧居家养老点单服务社区占比 100%。完善浑南区智慧养老指挥平台，完成浑南区19家养老机构监控系统、12家社区食堂监控系统接入区级平台，实现线上动态监管养老基础数据。提升“互联网+”水平，实现网上点单、预约等网上处理养老服务工单。开通浑南专属养老热线。（责任单位：区民政局）</w:t>
      </w:r>
    </w:p>
    <w:p w14:paraId="3D13DCEE">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发展智慧就业。开发东北首家“浑南区残疾人就业精准帮扶基层工作系统”，努力探索出一条提升残疾人高质量就业的新路径。依托沈阳都市圈公共就业服务平台，严格落实就业创业证、就业失业登记等高频事项跨域办理。（责任单位：区人社局、区残联）</w:t>
      </w:r>
    </w:p>
    <w:p w14:paraId="17CB063E">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实施智慧教育示范创建行动。完善浑南区“智慧+教育”平台，落成区域“1+3”智慧教育平台架构，着力推进AI智能研修、学业大数据分析、教育资源服务等平台的建设与应用，探索智慧教学、智慧体育、智慧评价等特色智慧教育应用场景，全面开展浑南智慧教育服务教育教学新样态。（责任单位：区教育局）</w:t>
      </w:r>
    </w:p>
    <w:p w14:paraId="214592EE">
      <w:pPr>
        <w:pStyle w:val="5"/>
        <w:keepNext w:val="0"/>
        <w:keepLines w:val="0"/>
        <w:pageBreakBefore w:val="0"/>
        <w:widowControl w:val="0"/>
        <w:kinsoku/>
        <w:wordWrap/>
        <w:overflowPunct w:val="0"/>
        <w:topLinePunct w:val="0"/>
        <w:bidi w:val="0"/>
        <w:spacing w:line="560" w:lineRule="exact"/>
        <w:ind w:left="0" w:leftChars="0" w:firstLine="64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（七）数字生态文明领域</w:t>
      </w:r>
    </w:p>
    <w:p w14:paraId="49E5F1AE">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推进“无废旅游区”建设，特色化、载体化、差异化落实“无废城市”建设部署要求，完善创建体制机制；推广无废文化，构建5个“无废细胞”，创新驱动“无废景区”品牌化建设。（责任单位：棋盘山生态环境分局）</w:t>
      </w:r>
    </w:p>
    <w:p w14:paraId="5DC044F4">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.抓实绿色制造体系建设，建立“绿色制造企业培育库”，推进企业开展绿色制造体系建设和绿色发展,省级以上绿色工厂（绿色制造名单）达到22家。（责任单位：区工信局）</w:t>
      </w:r>
    </w:p>
    <w:p w14:paraId="21B28953">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四、保障措施</w:t>
      </w:r>
    </w:p>
    <w:p w14:paraId="5959B6FA">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（一）加强组织领导</w:t>
      </w:r>
    </w:p>
    <w:p w14:paraId="1B6D6E1C">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完善区首席数据官工作制度，成立工作专班，加强数字沈阳相关工作的规划管理、政策落实，统筹协调推进各项工作。</w:t>
      </w:r>
    </w:p>
    <w:p w14:paraId="59823983">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（二）建立周调度会议工作机制</w:t>
      </w:r>
    </w:p>
    <w:p w14:paraId="05507420">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定期召开区首席数据官工作调度会议，督促各单位开展工作，研究解决数字沈阳建设工作中遇到的难点、堵点等问题。</w:t>
      </w:r>
    </w:p>
    <w:p w14:paraId="2721E799">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（三）建立考评激励机制</w:t>
      </w:r>
    </w:p>
    <w:p w14:paraId="70D56A14">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区首席数据官对各单位首席数据官工作情况进行综合评价和激励引导，对表现优异的首席数据官建议交流到重要岗位大胆使用。</w:t>
      </w:r>
    </w:p>
    <w:p w14:paraId="72F65B8F">
      <w:pPr>
        <w:keepNext w:val="0"/>
        <w:keepLines w:val="0"/>
        <w:pageBreakBefore w:val="0"/>
        <w:widowControl w:val="0"/>
        <w:kinsoku/>
        <w:wordWrap/>
        <w:overflowPunct w:val="0"/>
        <w:topLinePunct w:val="0"/>
        <w:bidi w:val="0"/>
        <w:adjustRightInd/>
        <w:spacing w:line="560" w:lineRule="exact"/>
        <w:ind w:left="0"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（四）加强人才队伍建设</w:t>
      </w:r>
    </w:p>
    <w:p w14:paraId="55BF618E">
      <w:r>
        <w:rPr>
          <w:rFonts w:hint="eastAsia" w:ascii="仿宋_GB2312" w:hAnsi="仿宋_GB2312" w:eastAsia="仿宋_GB2312" w:cs="仿宋_GB2312"/>
          <w:sz w:val="32"/>
          <w:szCs w:val="32"/>
        </w:rPr>
        <w:t>着力培养懂业务、懂技术、懂管理的复合型数据资源管理人才，定期组织开展首席数据官培训和经验交流会。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75313F08"/>
    <w:rsid w:val="14531BBB"/>
    <w:rsid w:val="7531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unhideWhenUsed/>
    <w:qFormat/>
    <w:uiPriority w:val="99"/>
    <w:pPr>
      <w:ind w:left="420"/>
    </w:pPr>
  </w:style>
  <w:style w:type="paragraph" w:styleId="4">
    <w:name w:val="footer"/>
    <w:basedOn w:val="1"/>
    <w:qFormat/>
    <w:uiPriority w:val="0"/>
    <w:pPr>
      <w:tabs>
        <w:tab w:val="center" w:pos="4153"/>
        <w:tab w:val="right" w:pos="8306"/>
      </w:tabs>
    </w:pPr>
    <w:rPr>
      <w:sz w:val="18"/>
    </w:rPr>
  </w:style>
  <w:style w:type="paragraph" w:styleId="5">
    <w:name w:val="Body Text First Indent 2"/>
    <w:basedOn w:val="3"/>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6160</Words>
  <Characters>6337</Characters>
  <Lines>0</Lines>
  <Paragraphs>0</Paragraphs>
  <TotalTime>1</TotalTime>
  <ScaleCrop>false</ScaleCrop>
  <LinksUpToDate>false</LinksUpToDate>
  <CharactersWithSpaces>6342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2024-08-15T08:07:00Z</dcterms:created>
  <dc:creator>杨洋</dc:creator>
  <cp:lastModifiedBy>杨洋</cp:lastModifiedBy>
  <dcterms:modified xsi:type="dcterms:W3CDTF">2024-08-15T08:24:18Z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6368DEEC69E8495EAEC0641297E9C977_11</vt:lpwstr>
  </property>
</Properties>
</file>