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8E724">
      <w:pPr>
        <w:ind w:firstLine="0" w:firstLineChars="0"/>
        <w:jc w:val="both"/>
        <w:outlineLvl w:val="0"/>
        <w:rPr>
          <w:rStyle w:val="7"/>
          <w:rFonts w:hint="eastAsia" w:ascii="黑体" w:hAnsi="黑体" w:eastAsia="黑体" w:cs="黑体"/>
          <w:lang w:val="en-US" w:eastAsia="zh-CN"/>
        </w:rPr>
      </w:pPr>
      <w:bookmarkStart w:id="0" w:name="_Toc10132"/>
      <w:r>
        <w:rPr>
          <w:rStyle w:val="7"/>
          <w:rFonts w:hint="eastAsia" w:ascii="黑体" w:hAnsi="黑体" w:eastAsia="黑体" w:cs="黑体"/>
          <w:lang w:val="en-US" w:eastAsia="zh-CN"/>
        </w:rPr>
        <w:t>附件2</w:t>
      </w:r>
      <w:bookmarkEnd w:id="0"/>
    </w:p>
    <w:p w14:paraId="2204630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outlineLvl w:val="0"/>
        <w:rPr>
          <w:rFonts w:hint="eastAsia" w:ascii="宋体" w:hAnsi="宋体" w:eastAsia="宋体" w:cs="宋体"/>
          <w:b/>
          <w:bCs/>
          <w:sz w:val="44"/>
          <w:szCs w:val="44"/>
        </w:rPr>
      </w:pPr>
      <w:bookmarkStart w:id="1" w:name="_Toc1519"/>
      <w:r>
        <w:rPr>
          <w:rFonts w:hint="eastAsia" w:ascii="宋体" w:hAnsi="宋体" w:eastAsia="宋体" w:cs="宋体"/>
          <w:b/>
          <w:bCs/>
          <w:sz w:val="44"/>
          <w:szCs w:val="44"/>
        </w:rPr>
        <w:t>浑南区生态文明建设示范区规划重点工程</w:t>
      </w:r>
      <w:bookmarkEnd w:id="1"/>
    </w:p>
    <w:p w14:paraId="0739BB8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36"/>
          <w:szCs w:val="36"/>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2174"/>
        <w:gridCol w:w="5788"/>
        <w:gridCol w:w="1315"/>
        <w:gridCol w:w="1210"/>
        <w:gridCol w:w="1770"/>
      </w:tblGrid>
      <w:tr w14:paraId="3CCAB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blHeader/>
          <w:jc w:val="center"/>
        </w:trPr>
        <w:tc>
          <w:tcPr>
            <w:tcW w:w="531" w:type="dxa"/>
            <w:noWrap w:val="0"/>
            <w:vAlign w:val="center"/>
          </w:tcPr>
          <w:p w14:paraId="182BE227">
            <w:pPr>
              <w:pStyle w:val="4"/>
              <w:jc w:val="center"/>
              <w:rPr>
                <w:rFonts w:hint="eastAsia" w:ascii="黑体" w:hAnsi="黑体" w:eastAsia="黑体" w:cs="黑体"/>
              </w:rPr>
            </w:pPr>
            <w:bookmarkStart w:id="2" w:name="OLE_LINK25"/>
            <w:r>
              <w:rPr>
                <w:rFonts w:hint="eastAsia" w:ascii="黑体" w:hAnsi="黑体" w:eastAsia="黑体" w:cs="黑体"/>
              </w:rPr>
              <w:t>序号</w:t>
            </w:r>
          </w:p>
        </w:tc>
        <w:tc>
          <w:tcPr>
            <w:tcW w:w="2174" w:type="dxa"/>
            <w:noWrap w:val="0"/>
            <w:vAlign w:val="center"/>
          </w:tcPr>
          <w:p w14:paraId="3F5E881D">
            <w:pPr>
              <w:pStyle w:val="4"/>
              <w:jc w:val="center"/>
              <w:rPr>
                <w:rFonts w:hint="eastAsia" w:ascii="黑体" w:hAnsi="黑体" w:eastAsia="黑体" w:cs="黑体"/>
              </w:rPr>
            </w:pPr>
            <w:r>
              <w:rPr>
                <w:rFonts w:hint="eastAsia" w:ascii="黑体" w:hAnsi="黑体" w:eastAsia="黑体" w:cs="黑体"/>
              </w:rPr>
              <w:t>项目名称</w:t>
            </w:r>
          </w:p>
        </w:tc>
        <w:tc>
          <w:tcPr>
            <w:tcW w:w="5788" w:type="dxa"/>
            <w:noWrap w:val="0"/>
            <w:vAlign w:val="center"/>
          </w:tcPr>
          <w:p w14:paraId="4DFE363A">
            <w:pPr>
              <w:pStyle w:val="4"/>
              <w:jc w:val="center"/>
              <w:rPr>
                <w:rFonts w:hint="eastAsia" w:ascii="黑体" w:hAnsi="黑体" w:eastAsia="黑体" w:cs="黑体"/>
              </w:rPr>
            </w:pPr>
            <w:r>
              <w:rPr>
                <w:rFonts w:hint="eastAsia" w:ascii="黑体" w:hAnsi="黑体" w:eastAsia="黑体" w:cs="黑体"/>
              </w:rPr>
              <w:t>建设规模及建设内容</w:t>
            </w:r>
          </w:p>
        </w:tc>
        <w:tc>
          <w:tcPr>
            <w:tcW w:w="1315" w:type="dxa"/>
            <w:noWrap w:val="0"/>
            <w:vAlign w:val="center"/>
          </w:tcPr>
          <w:p w14:paraId="5662FA42">
            <w:pPr>
              <w:pStyle w:val="4"/>
              <w:jc w:val="center"/>
              <w:rPr>
                <w:rFonts w:hint="eastAsia" w:ascii="黑体" w:hAnsi="黑体" w:eastAsia="黑体" w:cs="黑体"/>
              </w:rPr>
            </w:pPr>
            <w:r>
              <w:rPr>
                <w:rFonts w:hint="eastAsia" w:ascii="黑体" w:hAnsi="黑体" w:eastAsia="黑体" w:cs="黑体"/>
              </w:rPr>
              <w:t>投资估算</w:t>
            </w:r>
          </w:p>
          <w:p w14:paraId="3279537D">
            <w:pPr>
              <w:pStyle w:val="4"/>
              <w:jc w:val="center"/>
              <w:rPr>
                <w:rFonts w:hint="eastAsia" w:ascii="黑体" w:hAnsi="黑体" w:eastAsia="黑体" w:cs="黑体"/>
              </w:rPr>
            </w:pPr>
            <w:r>
              <w:rPr>
                <w:rFonts w:hint="eastAsia" w:ascii="黑体" w:hAnsi="黑体" w:eastAsia="黑体" w:cs="黑体"/>
              </w:rPr>
              <w:t>（万元）</w:t>
            </w:r>
          </w:p>
        </w:tc>
        <w:tc>
          <w:tcPr>
            <w:tcW w:w="1210" w:type="dxa"/>
            <w:noWrap w:val="0"/>
            <w:vAlign w:val="center"/>
          </w:tcPr>
          <w:p w14:paraId="080583B1">
            <w:pPr>
              <w:pStyle w:val="4"/>
              <w:jc w:val="center"/>
              <w:rPr>
                <w:rFonts w:hint="eastAsia" w:ascii="黑体" w:hAnsi="黑体" w:eastAsia="黑体" w:cs="黑体"/>
              </w:rPr>
            </w:pPr>
            <w:r>
              <w:rPr>
                <w:rFonts w:hint="eastAsia" w:ascii="黑体" w:hAnsi="黑体" w:eastAsia="黑体" w:cs="黑体"/>
              </w:rPr>
              <w:t>建设时限（年）</w:t>
            </w:r>
          </w:p>
        </w:tc>
        <w:tc>
          <w:tcPr>
            <w:tcW w:w="1770" w:type="dxa"/>
            <w:noWrap w:val="0"/>
            <w:vAlign w:val="center"/>
          </w:tcPr>
          <w:p w14:paraId="0433096D">
            <w:pPr>
              <w:pStyle w:val="4"/>
              <w:jc w:val="center"/>
              <w:rPr>
                <w:rFonts w:hint="eastAsia" w:ascii="黑体" w:hAnsi="黑体" w:eastAsia="黑体" w:cs="黑体"/>
              </w:rPr>
            </w:pPr>
            <w:r>
              <w:rPr>
                <w:rFonts w:hint="eastAsia" w:ascii="黑体" w:hAnsi="黑体" w:eastAsia="黑体" w:cs="黑体"/>
              </w:rPr>
              <w:t>责任部门</w:t>
            </w:r>
          </w:p>
        </w:tc>
      </w:tr>
      <w:tr w14:paraId="7972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2788" w:type="dxa"/>
            <w:gridSpan w:val="6"/>
            <w:noWrap w:val="0"/>
            <w:vAlign w:val="center"/>
          </w:tcPr>
          <w:p w14:paraId="15A83130">
            <w:pPr>
              <w:pStyle w:val="4"/>
              <w:jc w:val="center"/>
              <w:rPr>
                <w:rFonts w:ascii="Times New Roman" w:hAnsi="Times New Roman" w:cs="Times New Roman"/>
              </w:rPr>
            </w:pPr>
            <w:r>
              <w:rPr>
                <w:rFonts w:ascii="Times New Roman" w:hAnsi="Times New Roman" w:cs="Times New Roman"/>
              </w:rPr>
              <w:t>一、生态文明制度体系完善</w:t>
            </w:r>
          </w:p>
        </w:tc>
      </w:tr>
      <w:tr w14:paraId="10E69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531" w:type="dxa"/>
            <w:noWrap w:val="0"/>
            <w:vAlign w:val="center"/>
          </w:tcPr>
          <w:p w14:paraId="28900FEC">
            <w:pPr>
              <w:pStyle w:val="4"/>
              <w:numPr>
                <w:ilvl w:val="0"/>
                <w:numId w:val="0"/>
              </w:numPr>
              <w:ind w:leftChars="0"/>
              <w:jc w:val="center"/>
              <w:rPr>
                <w:rFonts w:hint="default" w:ascii="Times New Roman" w:hAnsi="Times New Roman" w:eastAsia="仿宋_GB2312" w:cs="Times New Roman"/>
                <w:lang w:val="en-US" w:eastAsia="zh-CN"/>
              </w:rPr>
            </w:pPr>
            <w:bookmarkStart w:id="3" w:name="_Hlk103262653"/>
            <w:r>
              <w:rPr>
                <w:rFonts w:hint="eastAsia" w:ascii="Times New Roman" w:hAnsi="Times New Roman" w:cs="Times New Roman"/>
                <w:lang w:val="en-US" w:eastAsia="zh-CN"/>
              </w:rPr>
              <w:t>1</w:t>
            </w:r>
          </w:p>
        </w:tc>
        <w:tc>
          <w:tcPr>
            <w:tcW w:w="2174" w:type="dxa"/>
            <w:noWrap w:val="0"/>
            <w:vAlign w:val="center"/>
          </w:tcPr>
          <w:p w14:paraId="086AED19">
            <w:pPr>
              <w:pStyle w:val="4"/>
              <w:jc w:val="center"/>
              <w:rPr>
                <w:rFonts w:ascii="Times New Roman" w:hAnsi="Times New Roman" w:cs="Times New Roman"/>
              </w:rPr>
            </w:pPr>
            <w:r>
              <w:rPr>
                <w:rFonts w:ascii="Times New Roman" w:hAnsi="Times New Roman" w:cs="Times New Roman"/>
              </w:rPr>
              <w:t>编制自然资源资产负债表</w:t>
            </w:r>
          </w:p>
        </w:tc>
        <w:tc>
          <w:tcPr>
            <w:tcW w:w="5788" w:type="dxa"/>
            <w:noWrap w:val="0"/>
            <w:vAlign w:val="center"/>
          </w:tcPr>
          <w:p w14:paraId="64DC4C0A">
            <w:pPr>
              <w:pStyle w:val="4"/>
              <w:jc w:val="left"/>
              <w:rPr>
                <w:rFonts w:ascii="Times New Roman" w:hAnsi="Times New Roman" w:cs="Times New Roman"/>
              </w:rPr>
            </w:pPr>
            <w:r>
              <w:rPr>
                <w:rFonts w:ascii="Times New Roman" w:hAnsi="Times New Roman" w:cs="Times New Roman"/>
              </w:rPr>
              <w:t>充分了解并掌握各类自然资源的实物量数据，构建符合浑南的自然资源资产与负债核算体系，进行各类自然资源资产的价值量与负债核算。</w:t>
            </w:r>
          </w:p>
        </w:tc>
        <w:tc>
          <w:tcPr>
            <w:tcW w:w="1315" w:type="dxa"/>
            <w:noWrap w:val="0"/>
            <w:vAlign w:val="center"/>
          </w:tcPr>
          <w:p w14:paraId="4A7D87D3">
            <w:pPr>
              <w:pStyle w:val="4"/>
              <w:jc w:val="center"/>
              <w:rPr>
                <w:rFonts w:ascii="Times New Roman" w:hAnsi="Times New Roman" w:cs="Times New Roman"/>
              </w:rPr>
            </w:pPr>
            <w:r>
              <w:rPr>
                <w:rFonts w:ascii="Times New Roman" w:hAnsi="Times New Roman" w:cs="Times New Roman"/>
              </w:rPr>
              <w:t>150</w:t>
            </w:r>
          </w:p>
        </w:tc>
        <w:tc>
          <w:tcPr>
            <w:tcW w:w="1210" w:type="dxa"/>
            <w:noWrap w:val="0"/>
            <w:vAlign w:val="center"/>
          </w:tcPr>
          <w:p w14:paraId="4949B89D">
            <w:pPr>
              <w:pStyle w:val="4"/>
              <w:jc w:val="center"/>
              <w:rPr>
                <w:rFonts w:ascii="Times New Roman" w:hAnsi="Times New Roman" w:cs="Times New Roman"/>
              </w:rPr>
            </w:pPr>
            <w:r>
              <w:rPr>
                <w:rFonts w:ascii="Times New Roman" w:hAnsi="Times New Roman" w:cs="Times New Roman"/>
              </w:rPr>
              <w:t>2024-2026</w:t>
            </w:r>
          </w:p>
        </w:tc>
        <w:tc>
          <w:tcPr>
            <w:tcW w:w="1770" w:type="dxa"/>
            <w:noWrap w:val="0"/>
            <w:vAlign w:val="center"/>
          </w:tcPr>
          <w:p w14:paraId="2AF8973B">
            <w:pPr>
              <w:pStyle w:val="4"/>
              <w:jc w:val="center"/>
              <w:rPr>
                <w:rFonts w:ascii="Times New Roman" w:hAnsi="Times New Roman" w:cs="Times New Roman"/>
              </w:rPr>
            </w:pPr>
            <w:r>
              <w:rPr>
                <w:rFonts w:ascii="Times New Roman" w:hAnsi="Times New Roman" w:cs="Times New Roman"/>
              </w:rPr>
              <w:t>市自然资源浑南分局</w:t>
            </w:r>
          </w:p>
        </w:tc>
      </w:tr>
      <w:tr w14:paraId="5A2AE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31" w:type="dxa"/>
            <w:noWrap w:val="0"/>
            <w:vAlign w:val="center"/>
          </w:tcPr>
          <w:p w14:paraId="611BAA5E">
            <w:pPr>
              <w:pStyle w:val="4"/>
              <w:numPr>
                <w:ilvl w:val="0"/>
                <w:numId w:val="0"/>
              </w:numPr>
              <w:ind w:leftChars="0"/>
              <w:jc w:val="center"/>
              <w:rPr>
                <w:rFonts w:hint="eastAsia" w:ascii="Times New Roman" w:hAnsi="Times New Roman" w:eastAsia="仿宋_GB2312" w:cs="Times New Roman"/>
                <w:lang w:eastAsia="zh-CN"/>
              </w:rPr>
            </w:pPr>
            <w:r>
              <w:rPr>
                <w:rFonts w:hint="eastAsia" w:ascii="Times New Roman" w:hAnsi="Times New Roman" w:cs="Times New Roman"/>
                <w:lang w:val="en-US" w:eastAsia="zh-CN"/>
              </w:rPr>
              <w:t>2</w:t>
            </w:r>
          </w:p>
        </w:tc>
        <w:tc>
          <w:tcPr>
            <w:tcW w:w="2174" w:type="dxa"/>
            <w:noWrap w:val="0"/>
            <w:vAlign w:val="center"/>
          </w:tcPr>
          <w:p w14:paraId="68388418">
            <w:pPr>
              <w:pStyle w:val="4"/>
              <w:jc w:val="center"/>
              <w:rPr>
                <w:rFonts w:ascii="Times New Roman" w:hAnsi="Times New Roman" w:cs="Times New Roman"/>
              </w:rPr>
            </w:pPr>
            <w:r>
              <w:rPr>
                <w:rFonts w:ascii="Times New Roman" w:hAnsi="Times New Roman" w:cs="Times New Roman"/>
              </w:rPr>
              <w:t>自然资源资产离任审计制度</w:t>
            </w:r>
          </w:p>
        </w:tc>
        <w:tc>
          <w:tcPr>
            <w:tcW w:w="5788" w:type="dxa"/>
            <w:noWrap w:val="0"/>
            <w:vAlign w:val="center"/>
          </w:tcPr>
          <w:p w14:paraId="717FA3E5">
            <w:pPr>
              <w:pStyle w:val="4"/>
              <w:jc w:val="left"/>
              <w:rPr>
                <w:rFonts w:ascii="Times New Roman" w:hAnsi="Times New Roman" w:cs="Times New Roman"/>
              </w:rPr>
            </w:pPr>
            <w:r>
              <w:rPr>
                <w:rFonts w:ascii="Times New Roman" w:hAnsi="Times New Roman" w:cs="Times New Roman"/>
              </w:rPr>
              <w:t>开展年度自然资源资产离任审计，评估浑南区自然资源资产和生态环境质量动态变化情况，对出现重大问题的情况及时调整措施，恢复或降低自然资源和生态环境质量破坏损害程度。</w:t>
            </w:r>
          </w:p>
        </w:tc>
        <w:tc>
          <w:tcPr>
            <w:tcW w:w="1315" w:type="dxa"/>
            <w:noWrap w:val="0"/>
            <w:vAlign w:val="center"/>
          </w:tcPr>
          <w:p w14:paraId="12B1B8B3">
            <w:pPr>
              <w:pStyle w:val="4"/>
              <w:jc w:val="center"/>
              <w:rPr>
                <w:rFonts w:ascii="Times New Roman" w:hAnsi="Times New Roman" w:cs="Times New Roman"/>
              </w:rPr>
            </w:pPr>
            <w:r>
              <w:rPr>
                <w:rFonts w:ascii="Times New Roman" w:hAnsi="Times New Roman" w:cs="Times New Roman"/>
              </w:rPr>
              <w:t>80</w:t>
            </w:r>
          </w:p>
        </w:tc>
        <w:tc>
          <w:tcPr>
            <w:tcW w:w="1210" w:type="dxa"/>
            <w:noWrap w:val="0"/>
            <w:vAlign w:val="center"/>
          </w:tcPr>
          <w:p w14:paraId="68BE1A72">
            <w:pPr>
              <w:pStyle w:val="4"/>
              <w:jc w:val="center"/>
              <w:rPr>
                <w:rFonts w:ascii="Times New Roman" w:hAnsi="Times New Roman" w:cs="Times New Roman"/>
              </w:rPr>
            </w:pPr>
            <w:r>
              <w:rPr>
                <w:rFonts w:ascii="Times New Roman" w:hAnsi="Times New Roman" w:cs="Times New Roman"/>
              </w:rPr>
              <w:t>2024-2026</w:t>
            </w:r>
          </w:p>
        </w:tc>
        <w:tc>
          <w:tcPr>
            <w:tcW w:w="1770" w:type="dxa"/>
            <w:noWrap w:val="0"/>
            <w:vAlign w:val="center"/>
          </w:tcPr>
          <w:p w14:paraId="0DCF87ED">
            <w:pPr>
              <w:pStyle w:val="4"/>
              <w:jc w:val="center"/>
              <w:rPr>
                <w:rFonts w:ascii="Times New Roman" w:hAnsi="Times New Roman" w:cs="Times New Roman"/>
              </w:rPr>
            </w:pPr>
            <w:r>
              <w:rPr>
                <w:rFonts w:ascii="Times New Roman" w:hAnsi="Times New Roman" w:cs="Times New Roman"/>
              </w:rPr>
              <w:t>区审计局</w:t>
            </w:r>
          </w:p>
        </w:tc>
      </w:tr>
      <w:tr w14:paraId="21664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531" w:type="dxa"/>
            <w:noWrap w:val="0"/>
            <w:vAlign w:val="center"/>
          </w:tcPr>
          <w:p w14:paraId="0B32F567">
            <w:pPr>
              <w:pStyle w:val="4"/>
              <w:numPr>
                <w:ilvl w:val="0"/>
                <w:numId w:val="0"/>
              </w:numPr>
              <w:ind w:leftChars="0"/>
              <w:jc w:val="center"/>
              <w:rPr>
                <w:rFonts w:hint="eastAsia" w:ascii="Times New Roman" w:hAnsi="Times New Roman" w:eastAsia="仿宋_GB2312" w:cs="Times New Roman"/>
                <w:lang w:eastAsia="zh-CN"/>
              </w:rPr>
            </w:pPr>
            <w:r>
              <w:rPr>
                <w:rFonts w:hint="eastAsia" w:ascii="Times New Roman" w:hAnsi="Times New Roman" w:cs="Times New Roman"/>
                <w:lang w:val="en-US" w:eastAsia="zh-CN"/>
              </w:rPr>
              <w:t>3</w:t>
            </w:r>
          </w:p>
        </w:tc>
        <w:tc>
          <w:tcPr>
            <w:tcW w:w="2174" w:type="dxa"/>
            <w:noWrap w:val="0"/>
            <w:vAlign w:val="center"/>
          </w:tcPr>
          <w:p w14:paraId="2CAB0942">
            <w:pPr>
              <w:pStyle w:val="4"/>
              <w:jc w:val="center"/>
              <w:rPr>
                <w:rFonts w:ascii="Times New Roman" w:hAnsi="Times New Roman" w:cs="Times New Roman"/>
              </w:rPr>
            </w:pPr>
            <w:r>
              <w:rPr>
                <w:rFonts w:ascii="Times New Roman" w:hAnsi="Times New Roman" w:cs="Times New Roman"/>
              </w:rPr>
              <w:t>生态系统生产总值（GEP）核算试点项目</w:t>
            </w:r>
          </w:p>
        </w:tc>
        <w:tc>
          <w:tcPr>
            <w:tcW w:w="5788" w:type="dxa"/>
            <w:noWrap w:val="0"/>
            <w:vAlign w:val="center"/>
          </w:tcPr>
          <w:p w14:paraId="362CA648">
            <w:pPr>
              <w:pStyle w:val="4"/>
              <w:jc w:val="left"/>
              <w:rPr>
                <w:rFonts w:ascii="Times New Roman" w:hAnsi="Times New Roman" w:cs="Times New Roman"/>
              </w:rPr>
            </w:pPr>
            <w:r>
              <w:rPr>
                <w:rFonts w:ascii="Times New Roman" w:hAnsi="Times New Roman" w:cs="Times New Roman"/>
              </w:rPr>
              <w:t>建立浑南区生态系统价值核算技术体系，开展生态资源要素调查，突出水域、湿地、森林生态系统价值的核算，以及旅游资源和人居环境服务的核算；基于核算结果，建立以反应经济社会发展和生态系统价值的综合发展指数为核心的生态文明绩效考核体系。</w:t>
            </w:r>
          </w:p>
        </w:tc>
        <w:tc>
          <w:tcPr>
            <w:tcW w:w="1315" w:type="dxa"/>
            <w:noWrap w:val="0"/>
            <w:vAlign w:val="center"/>
          </w:tcPr>
          <w:p w14:paraId="6B97196A">
            <w:pPr>
              <w:pStyle w:val="4"/>
              <w:jc w:val="center"/>
              <w:rPr>
                <w:rFonts w:ascii="Times New Roman" w:hAnsi="Times New Roman" w:cs="Times New Roman"/>
              </w:rPr>
            </w:pPr>
            <w:r>
              <w:rPr>
                <w:rFonts w:ascii="Times New Roman" w:hAnsi="Times New Roman" w:cs="Times New Roman"/>
              </w:rPr>
              <w:t>150</w:t>
            </w:r>
          </w:p>
        </w:tc>
        <w:tc>
          <w:tcPr>
            <w:tcW w:w="1210" w:type="dxa"/>
            <w:noWrap w:val="0"/>
            <w:vAlign w:val="center"/>
          </w:tcPr>
          <w:p w14:paraId="71AB4EC1">
            <w:pPr>
              <w:pStyle w:val="4"/>
              <w:jc w:val="center"/>
              <w:rPr>
                <w:rFonts w:ascii="Times New Roman" w:hAnsi="Times New Roman" w:cs="Times New Roman"/>
              </w:rPr>
            </w:pPr>
            <w:r>
              <w:rPr>
                <w:rFonts w:ascii="Times New Roman" w:hAnsi="Times New Roman" w:cs="Times New Roman"/>
              </w:rPr>
              <w:t>2024-2026</w:t>
            </w:r>
          </w:p>
        </w:tc>
        <w:tc>
          <w:tcPr>
            <w:tcW w:w="1770" w:type="dxa"/>
            <w:noWrap w:val="0"/>
            <w:vAlign w:val="center"/>
          </w:tcPr>
          <w:p w14:paraId="1410D3CE">
            <w:pPr>
              <w:pStyle w:val="4"/>
              <w:jc w:val="center"/>
              <w:rPr>
                <w:rFonts w:ascii="Times New Roman" w:hAnsi="Times New Roman" w:cs="Times New Roman"/>
              </w:rPr>
            </w:pPr>
            <w:r>
              <w:rPr>
                <w:rFonts w:ascii="Times New Roman" w:hAnsi="Times New Roman" w:cs="Times New Roman"/>
              </w:rPr>
              <w:t>浑南生态环境分局、棋盘山生态环境分局</w:t>
            </w:r>
          </w:p>
        </w:tc>
      </w:tr>
      <w:tr w14:paraId="2111B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531" w:type="dxa"/>
            <w:noWrap w:val="0"/>
            <w:vAlign w:val="center"/>
          </w:tcPr>
          <w:p w14:paraId="0F521F2D">
            <w:pPr>
              <w:pStyle w:val="4"/>
              <w:numPr>
                <w:ilvl w:val="0"/>
                <w:numId w:val="0"/>
              </w:numPr>
              <w:ind w:leftChars="0"/>
              <w:jc w:val="center"/>
              <w:rPr>
                <w:rFonts w:ascii="Times New Roman" w:hAnsi="Times New Roman" w:cs="Times New Roman"/>
              </w:rPr>
            </w:pPr>
            <w:r>
              <w:rPr>
                <w:rFonts w:hint="eastAsia" w:ascii="Times New Roman" w:hAnsi="Times New Roman" w:cs="Times New Roman"/>
                <w:lang w:val="en-US" w:eastAsia="zh-CN"/>
              </w:rPr>
              <w:t>4</w:t>
            </w:r>
          </w:p>
        </w:tc>
        <w:tc>
          <w:tcPr>
            <w:tcW w:w="2174" w:type="dxa"/>
            <w:noWrap w:val="0"/>
            <w:vAlign w:val="center"/>
          </w:tcPr>
          <w:p w14:paraId="4FB26919">
            <w:pPr>
              <w:pStyle w:val="4"/>
              <w:jc w:val="center"/>
              <w:rPr>
                <w:rFonts w:ascii="Times New Roman" w:hAnsi="Times New Roman" w:cs="Times New Roman"/>
              </w:rPr>
            </w:pPr>
            <w:r>
              <w:rPr>
                <w:rFonts w:ascii="Times New Roman" w:hAnsi="Times New Roman" w:cs="Times New Roman"/>
              </w:rPr>
              <w:t>生态产品价值实现机制研究</w:t>
            </w:r>
          </w:p>
        </w:tc>
        <w:tc>
          <w:tcPr>
            <w:tcW w:w="5788" w:type="dxa"/>
            <w:noWrap w:val="0"/>
            <w:vAlign w:val="center"/>
          </w:tcPr>
          <w:p w14:paraId="6C6BD657">
            <w:pPr>
              <w:pStyle w:val="4"/>
              <w:jc w:val="left"/>
              <w:rPr>
                <w:rFonts w:ascii="Times New Roman" w:hAnsi="Times New Roman" w:cs="Times New Roman"/>
              </w:rPr>
            </w:pPr>
            <w:r>
              <w:rPr>
                <w:rFonts w:ascii="Times New Roman" w:hAnsi="Times New Roman" w:cs="Times New Roman"/>
              </w:rPr>
              <w:t>结合浑南区实际，编制浑南区生态产品价值实现机制方案，推动浑南区特色生态资源“两山”转化，形成浑南区特有的生态产品转化模式。</w:t>
            </w:r>
          </w:p>
        </w:tc>
        <w:tc>
          <w:tcPr>
            <w:tcW w:w="1315" w:type="dxa"/>
            <w:noWrap w:val="0"/>
            <w:vAlign w:val="center"/>
          </w:tcPr>
          <w:p w14:paraId="0140402C">
            <w:pPr>
              <w:pStyle w:val="4"/>
              <w:jc w:val="center"/>
              <w:rPr>
                <w:rFonts w:ascii="Times New Roman" w:hAnsi="Times New Roman" w:cs="Times New Roman"/>
              </w:rPr>
            </w:pPr>
            <w:r>
              <w:rPr>
                <w:rFonts w:ascii="Times New Roman" w:hAnsi="Times New Roman" w:cs="Times New Roman"/>
              </w:rPr>
              <w:t>150</w:t>
            </w:r>
          </w:p>
        </w:tc>
        <w:tc>
          <w:tcPr>
            <w:tcW w:w="1210" w:type="dxa"/>
            <w:noWrap w:val="0"/>
            <w:vAlign w:val="center"/>
          </w:tcPr>
          <w:p w14:paraId="2D6B05B0">
            <w:pPr>
              <w:pStyle w:val="4"/>
              <w:jc w:val="center"/>
              <w:rPr>
                <w:rFonts w:ascii="Times New Roman" w:hAnsi="Times New Roman" w:cs="Times New Roman"/>
              </w:rPr>
            </w:pPr>
            <w:r>
              <w:rPr>
                <w:rFonts w:ascii="Times New Roman" w:hAnsi="Times New Roman" w:cs="Times New Roman"/>
              </w:rPr>
              <w:t>2024-2026</w:t>
            </w:r>
          </w:p>
        </w:tc>
        <w:tc>
          <w:tcPr>
            <w:tcW w:w="1770" w:type="dxa"/>
            <w:noWrap w:val="0"/>
            <w:vAlign w:val="center"/>
          </w:tcPr>
          <w:p w14:paraId="035FE4E0">
            <w:pPr>
              <w:pStyle w:val="4"/>
              <w:jc w:val="center"/>
              <w:rPr>
                <w:rFonts w:ascii="Times New Roman" w:hAnsi="Times New Roman" w:cs="Times New Roman"/>
              </w:rPr>
            </w:pPr>
            <w:r>
              <w:rPr>
                <w:rFonts w:ascii="Times New Roman" w:hAnsi="Times New Roman" w:cs="Times New Roman"/>
              </w:rPr>
              <w:t>浑南生态环境分局、棋盘山生态环境分局</w:t>
            </w:r>
          </w:p>
        </w:tc>
      </w:tr>
      <w:bookmarkEnd w:id="3"/>
      <w:tr w14:paraId="3A2F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31" w:type="dxa"/>
            <w:noWrap w:val="0"/>
            <w:vAlign w:val="center"/>
          </w:tcPr>
          <w:p w14:paraId="72E51A62">
            <w:pPr>
              <w:pStyle w:val="4"/>
              <w:jc w:val="center"/>
              <w:rPr>
                <w:rFonts w:ascii="Times New Roman" w:hAnsi="Times New Roman" w:cs="Times New Roman"/>
              </w:rPr>
            </w:pPr>
          </w:p>
        </w:tc>
        <w:tc>
          <w:tcPr>
            <w:tcW w:w="7962" w:type="dxa"/>
            <w:gridSpan w:val="2"/>
            <w:noWrap w:val="0"/>
            <w:vAlign w:val="center"/>
          </w:tcPr>
          <w:p w14:paraId="20C43915">
            <w:pPr>
              <w:pStyle w:val="4"/>
              <w:jc w:val="center"/>
              <w:rPr>
                <w:rFonts w:ascii="Times New Roman" w:hAnsi="Times New Roman" w:cs="Times New Roman"/>
              </w:rPr>
            </w:pPr>
            <w:r>
              <w:rPr>
                <w:rFonts w:ascii="Times New Roman" w:hAnsi="Times New Roman" w:cs="Times New Roman"/>
              </w:rPr>
              <w:t>小计</w:t>
            </w:r>
          </w:p>
        </w:tc>
        <w:tc>
          <w:tcPr>
            <w:tcW w:w="1315" w:type="dxa"/>
            <w:noWrap w:val="0"/>
            <w:vAlign w:val="center"/>
          </w:tcPr>
          <w:p w14:paraId="3CE6CBDC">
            <w:pPr>
              <w:pStyle w:val="4"/>
              <w:jc w:val="center"/>
              <w:rPr>
                <w:rFonts w:ascii="Times New Roman" w:hAnsi="Times New Roman" w:cs="Times New Roman"/>
              </w:rPr>
            </w:pPr>
            <w:r>
              <w:rPr>
                <w:rFonts w:ascii="Times New Roman" w:hAnsi="Times New Roman" w:cs="Times New Roman"/>
              </w:rPr>
              <w:t>530</w:t>
            </w:r>
          </w:p>
        </w:tc>
        <w:tc>
          <w:tcPr>
            <w:tcW w:w="2980" w:type="dxa"/>
            <w:gridSpan w:val="2"/>
            <w:noWrap w:val="0"/>
            <w:vAlign w:val="center"/>
          </w:tcPr>
          <w:p w14:paraId="799C446A">
            <w:pPr>
              <w:pStyle w:val="4"/>
              <w:jc w:val="center"/>
              <w:rPr>
                <w:rFonts w:ascii="Times New Roman" w:hAnsi="Times New Roman" w:cs="Times New Roman"/>
              </w:rPr>
            </w:pPr>
          </w:p>
        </w:tc>
      </w:tr>
      <w:tr w14:paraId="33D00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2788" w:type="dxa"/>
            <w:gridSpan w:val="6"/>
            <w:noWrap w:val="0"/>
            <w:vAlign w:val="center"/>
          </w:tcPr>
          <w:p w14:paraId="735AEDBA">
            <w:pPr>
              <w:pStyle w:val="4"/>
              <w:jc w:val="center"/>
              <w:rPr>
                <w:rFonts w:ascii="Times New Roman" w:hAnsi="Times New Roman" w:cs="Times New Roman"/>
              </w:rPr>
            </w:pPr>
            <w:r>
              <w:rPr>
                <w:rFonts w:ascii="Times New Roman" w:hAnsi="Times New Roman" w:cs="Times New Roman"/>
              </w:rPr>
              <w:t>二、环境质量提升</w:t>
            </w:r>
          </w:p>
        </w:tc>
      </w:tr>
      <w:tr w14:paraId="0FF59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531" w:type="dxa"/>
            <w:noWrap w:val="0"/>
            <w:vAlign w:val="center"/>
          </w:tcPr>
          <w:p w14:paraId="423D61E2">
            <w:pPr>
              <w:pStyle w:val="4"/>
              <w:numPr>
                <w:ilvl w:val="0"/>
                <w:numId w:val="0"/>
              </w:numPr>
              <w:ind w:left="0" w:leftChars="0" w:firstLine="0" w:firstLineChars="0"/>
              <w:jc w:val="center"/>
              <w:rPr>
                <w:rFonts w:ascii="Times New Roman" w:hAnsi="Times New Roman" w:cs="Times New Roman"/>
              </w:rPr>
            </w:pPr>
            <w:bookmarkStart w:id="4" w:name="_Hlk103262690"/>
            <w:r>
              <w:rPr>
                <w:rFonts w:hint="eastAsia" w:ascii="Times New Roman" w:hAnsi="Times New Roman" w:cs="Times New Roman"/>
                <w:kern w:val="2"/>
                <w:sz w:val="21"/>
                <w:szCs w:val="21"/>
                <w:lang w:val="en-US" w:eastAsia="zh-CN" w:bidi="ar-SA"/>
              </w:rPr>
              <w:t>5</w:t>
            </w:r>
          </w:p>
        </w:tc>
        <w:tc>
          <w:tcPr>
            <w:tcW w:w="2174" w:type="dxa"/>
            <w:noWrap w:val="0"/>
            <w:vAlign w:val="center"/>
          </w:tcPr>
          <w:p w14:paraId="5DC11D96">
            <w:pPr>
              <w:pStyle w:val="4"/>
              <w:adjustRightInd w:val="0"/>
              <w:jc w:val="center"/>
              <w:rPr>
                <w:rFonts w:ascii="Times New Roman" w:hAnsi="Times New Roman" w:cs="Times New Roman"/>
                <w:lang w:bidi="ar"/>
              </w:rPr>
            </w:pPr>
            <w:r>
              <w:rPr>
                <w:rFonts w:hint="eastAsia" w:ascii="Times New Roman" w:hAnsi="Times New Roman" w:cs="Times New Roman"/>
                <w:lang w:bidi="ar"/>
              </w:rPr>
              <w:t>65吨以上供暖燃煤锅炉超低排放改造</w:t>
            </w:r>
          </w:p>
        </w:tc>
        <w:tc>
          <w:tcPr>
            <w:tcW w:w="5788" w:type="dxa"/>
            <w:noWrap w:val="0"/>
            <w:vAlign w:val="center"/>
          </w:tcPr>
          <w:p w14:paraId="1233CA81">
            <w:pPr>
              <w:pStyle w:val="4"/>
              <w:adjustRightInd w:val="0"/>
              <w:jc w:val="left"/>
              <w:rPr>
                <w:rFonts w:ascii="Times New Roman" w:hAnsi="Times New Roman" w:cs="Times New Roman"/>
                <w:lang w:bidi="ar"/>
              </w:rPr>
            </w:pPr>
            <w:r>
              <w:rPr>
                <w:rFonts w:hint="eastAsia" w:ascii="Times New Roman" w:hAnsi="Times New Roman" w:cs="Times New Roman"/>
                <w:lang w:bidi="ar"/>
              </w:rPr>
              <w:t>建设规模：23台供暖燃煤锅炉，总计2770蒸吨；</w:t>
            </w:r>
          </w:p>
          <w:p w14:paraId="00F21418">
            <w:pPr>
              <w:pStyle w:val="4"/>
              <w:adjustRightInd w:val="0"/>
              <w:jc w:val="left"/>
              <w:rPr>
                <w:rFonts w:ascii="Times New Roman" w:hAnsi="Times New Roman" w:cs="Times New Roman"/>
                <w:lang w:bidi="ar"/>
              </w:rPr>
            </w:pPr>
            <w:r>
              <w:rPr>
                <w:rFonts w:hint="eastAsia" w:ascii="Times New Roman" w:hAnsi="Times New Roman" w:cs="Times New Roman"/>
                <w:lang w:bidi="ar"/>
              </w:rPr>
              <w:t>建设内容：供暖锅炉进行除尘、脱硫、脱销超低排放改造。</w:t>
            </w:r>
          </w:p>
        </w:tc>
        <w:tc>
          <w:tcPr>
            <w:tcW w:w="1315" w:type="dxa"/>
            <w:noWrap w:val="0"/>
            <w:vAlign w:val="center"/>
          </w:tcPr>
          <w:p w14:paraId="7C49A4BF">
            <w:pPr>
              <w:pStyle w:val="4"/>
              <w:adjustRightInd w:val="0"/>
              <w:jc w:val="center"/>
              <w:rPr>
                <w:rFonts w:ascii="Times New Roman" w:hAnsi="Times New Roman" w:cs="Times New Roman"/>
              </w:rPr>
            </w:pPr>
            <w:r>
              <w:rPr>
                <w:rFonts w:hint="eastAsia" w:ascii="Times New Roman" w:hAnsi="Times New Roman" w:cs="Times New Roman"/>
              </w:rPr>
              <w:t>17088.4</w:t>
            </w:r>
          </w:p>
        </w:tc>
        <w:tc>
          <w:tcPr>
            <w:tcW w:w="1210" w:type="dxa"/>
            <w:noWrap w:val="0"/>
            <w:vAlign w:val="center"/>
          </w:tcPr>
          <w:p w14:paraId="47B72029">
            <w:pPr>
              <w:pStyle w:val="4"/>
              <w:adjustRightInd w:val="0"/>
              <w:jc w:val="center"/>
              <w:rPr>
                <w:rFonts w:ascii="Times New Roman" w:hAnsi="Times New Roman" w:cs="Times New Roman"/>
              </w:rPr>
            </w:pPr>
            <w:r>
              <w:rPr>
                <w:rFonts w:hint="eastAsia" w:ascii="Times New Roman" w:hAnsi="Times New Roman" w:cs="Times New Roman"/>
              </w:rPr>
              <w:t>2022-2024</w:t>
            </w:r>
          </w:p>
        </w:tc>
        <w:tc>
          <w:tcPr>
            <w:tcW w:w="1770" w:type="dxa"/>
            <w:noWrap w:val="0"/>
            <w:vAlign w:val="center"/>
          </w:tcPr>
          <w:p w14:paraId="287BBC18">
            <w:pPr>
              <w:pStyle w:val="4"/>
              <w:adjustRightInd w:val="0"/>
              <w:jc w:val="center"/>
              <w:rPr>
                <w:rFonts w:ascii="Times New Roman" w:hAnsi="Times New Roman" w:cs="Times New Roman"/>
              </w:rPr>
            </w:pPr>
            <w:r>
              <w:rPr>
                <w:rFonts w:hint="eastAsia" w:ascii="Times New Roman" w:hAnsi="Times New Roman" w:cs="Times New Roman"/>
              </w:rPr>
              <w:t>浑南生态环境分局</w:t>
            </w:r>
          </w:p>
        </w:tc>
      </w:tr>
      <w:tr w14:paraId="226B8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531" w:type="dxa"/>
            <w:noWrap w:val="0"/>
            <w:vAlign w:val="center"/>
          </w:tcPr>
          <w:p w14:paraId="7A4B2AD7">
            <w:pPr>
              <w:pStyle w:val="4"/>
              <w:numPr>
                <w:ilvl w:val="0"/>
                <w:numId w:val="0"/>
              </w:numPr>
              <w:ind w:left="0" w:leftChars="0" w:firstLine="0" w:firstLineChars="0"/>
              <w:jc w:val="center"/>
              <w:rPr>
                <w:rFonts w:ascii="Times New Roman" w:hAnsi="Times New Roman" w:cs="Times New Roman"/>
              </w:rPr>
            </w:pPr>
            <w:r>
              <w:rPr>
                <w:rFonts w:hint="eastAsia" w:ascii="Times New Roman" w:hAnsi="Times New Roman" w:cs="Times New Roman"/>
                <w:kern w:val="2"/>
                <w:sz w:val="21"/>
                <w:szCs w:val="21"/>
                <w:lang w:val="en-US" w:eastAsia="zh-CN" w:bidi="ar-SA"/>
              </w:rPr>
              <w:t>6</w:t>
            </w:r>
          </w:p>
        </w:tc>
        <w:tc>
          <w:tcPr>
            <w:tcW w:w="2174" w:type="dxa"/>
            <w:noWrap w:val="0"/>
            <w:vAlign w:val="center"/>
          </w:tcPr>
          <w:p w14:paraId="4A03936C">
            <w:pPr>
              <w:pStyle w:val="4"/>
              <w:adjustRightInd w:val="0"/>
              <w:jc w:val="center"/>
              <w:rPr>
                <w:rFonts w:ascii="Times New Roman" w:hAnsi="Times New Roman" w:cs="Times New Roman"/>
              </w:rPr>
            </w:pPr>
            <w:r>
              <w:rPr>
                <w:rFonts w:hint="eastAsia" w:ascii="Times New Roman" w:hAnsi="Times New Roman" w:cs="Times New Roman"/>
              </w:rPr>
              <w:t>桃仙河治理工程</w:t>
            </w:r>
          </w:p>
        </w:tc>
        <w:tc>
          <w:tcPr>
            <w:tcW w:w="5788" w:type="dxa"/>
            <w:noWrap w:val="0"/>
            <w:vAlign w:val="center"/>
          </w:tcPr>
          <w:p w14:paraId="317BD635">
            <w:pPr>
              <w:pStyle w:val="4"/>
              <w:adjustRightInd w:val="0"/>
              <w:jc w:val="left"/>
              <w:rPr>
                <w:rFonts w:ascii="Times New Roman" w:hAnsi="Times New Roman" w:cs="Times New Roman"/>
              </w:rPr>
            </w:pPr>
            <w:r>
              <w:rPr>
                <w:rFonts w:hint="eastAsia" w:ascii="Times New Roman" w:hAnsi="Times New Roman" w:cs="Times New Roman"/>
              </w:rPr>
              <w:t>桃仙河排涝通道建设治理工程，主要包括桃仙河综合治理12.6公里；新建蓄水闸2座，岸线防护7.4公里，调蓄塘2处，跌水堰4座；改造阻洪农桥7座。</w:t>
            </w:r>
          </w:p>
        </w:tc>
        <w:tc>
          <w:tcPr>
            <w:tcW w:w="1315" w:type="dxa"/>
            <w:noWrap w:val="0"/>
            <w:vAlign w:val="center"/>
          </w:tcPr>
          <w:p w14:paraId="73D4A62F">
            <w:pPr>
              <w:pStyle w:val="4"/>
              <w:adjustRightInd w:val="0"/>
              <w:jc w:val="center"/>
              <w:rPr>
                <w:rFonts w:ascii="Times New Roman" w:hAnsi="Times New Roman" w:cs="Times New Roman"/>
              </w:rPr>
            </w:pPr>
            <w:r>
              <w:rPr>
                <w:rFonts w:hint="eastAsia" w:ascii="Times New Roman" w:hAnsi="Times New Roman" w:cs="Times New Roman"/>
              </w:rPr>
              <w:t>11900</w:t>
            </w:r>
          </w:p>
        </w:tc>
        <w:tc>
          <w:tcPr>
            <w:tcW w:w="1210" w:type="dxa"/>
            <w:noWrap w:val="0"/>
            <w:vAlign w:val="center"/>
          </w:tcPr>
          <w:p w14:paraId="7F7E783E">
            <w:pPr>
              <w:pStyle w:val="4"/>
              <w:adjustRightInd w:val="0"/>
              <w:jc w:val="center"/>
              <w:rPr>
                <w:rFonts w:ascii="Times New Roman" w:hAnsi="Times New Roman" w:cs="Times New Roman"/>
              </w:rPr>
            </w:pPr>
            <w:r>
              <w:rPr>
                <w:rFonts w:hint="eastAsia" w:ascii="Times New Roman" w:hAnsi="Times New Roman" w:cs="Times New Roman"/>
              </w:rPr>
              <w:t>2022-2024</w:t>
            </w:r>
          </w:p>
        </w:tc>
        <w:tc>
          <w:tcPr>
            <w:tcW w:w="1770" w:type="dxa"/>
            <w:noWrap w:val="0"/>
            <w:vAlign w:val="center"/>
          </w:tcPr>
          <w:p w14:paraId="2D01DAF6">
            <w:pPr>
              <w:pStyle w:val="4"/>
              <w:adjustRightInd w:val="0"/>
              <w:jc w:val="center"/>
              <w:rPr>
                <w:rFonts w:ascii="Times New Roman" w:hAnsi="Times New Roman" w:cs="Times New Roman"/>
              </w:rPr>
            </w:pPr>
            <w:r>
              <w:rPr>
                <w:rFonts w:hint="eastAsia" w:ascii="Times New Roman" w:hAnsi="Times New Roman" w:cs="Times New Roman"/>
              </w:rPr>
              <w:t>区水务中心</w:t>
            </w:r>
          </w:p>
        </w:tc>
      </w:tr>
      <w:tr w14:paraId="245D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531" w:type="dxa"/>
            <w:noWrap w:val="0"/>
            <w:vAlign w:val="center"/>
          </w:tcPr>
          <w:p w14:paraId="037FA111">
            <w:pPr>
              <w:pStyle w:val="4"/>
              <w:numPr>
                <w:ilvl w:val="0"/>
                <w:numId w:val="0"/>
              </w:numPr>
              <w:ind w:left="0" w:leftChars="0" w:firstLine="0" w:firstLineChars="0"/>
              <w:jc w:val="center"/>
              <w:rPr>
                <w:rFonts w:ascii="Times New Roman" w:hAnsi="Times New Roman" w:cs="Times New Roman"/>
              </w:rPr>
            </w:pPr>
            <w:r>
              <w:rPr>
                <w:rFonts w:hint="eastAsia" w:ascii="Times New Roman" w:hAnsi="Times New Roman" w:cs="Times New Roman"/>
                <w:kern w:val="2"/>
                <w:sz w:val="21"/>
                <w:szCs w:val="21"/>
                <w:lang w:val="en-US" w:eastAsia="zh-CN" w:bidi="ar-SA"/>
              </w:rPr>
              <w:t>7</w:t>
            </w:r>
          </w:p>
        </w:tc>
        <w:tc>
          <w:tcPr>
            <w:tcW w:w="2174" w:type="dxa"/>
            <w:noWrap w:val="0"/>
            <w:vAlign w:val="center"/>
          </w:tcPr>
          <w:p w14:paraId="1D57756C">
            <w:pPr>
              <w:pStyle w:val="4"/>
              <w:adjustRightInd w:val="0"/>
              <w:jc w:val="center"/>
              <w:rPr>
                <w:rFonts w:ascii="Times New Roman" w:hAnsi="Times New Roman" w:cs="Times New Roman"/>
              </w:rPr>
            </w:pPr>
            <w:r>
              <w:rPr>
                <w:rFonts w:hint="eastAsia" w:ascii="Times New Roman" w:hAnsi="Times New Roman" w:cs="Times New Roman"/>
              </w:rPr>
              <w:t>桃仙污水处理厂一期工艺改造工程</w:t>
            </w:r>
          </w:p>
        </w:tc>
        <w:tc>
          <w:tcPr>
            <w:tcW w:w="5788" w:type="dxa"/>
            <w:noWrap w:val="0"/>
            <w:vAlign w:val="center"/>
          </w:tcPr>
          <w:p w14:paraId="6CE4C1D4">
            <w:pPr>
              <w:pStyle w:val="4"/>
              <w:adjustRightInd w:val="0"/>
              <w:jc w:val="left"/>
              <w:rPr>
                <w:rFonts w:ascii="Times New Roman" w:hAnsi="Times New Roman" w:cs="Times New Roman"/>
              </w:rPr>
            </w:pPr>
            <w:r>
              <w:rPr>
                <w:rFonts w:hint="eastAsia" w:ascii="Times New Roman" w:hAnsi="Times New Roman" w:cs="Times New Roman"/>
              </w:rPr>
              <w:t>桃仙污水处理厂一期工艺改造工程，实施一期工艺改造工程，确保污水处理厂一期具备每日处理 8 万吨污水能力。</w:t>
            </w:r>
          </w:p>
        </w:tc>
        <w:tc>
          <w:tcPr>
            <w:tcW w:w="1315" w:type="dxa"/>
            <w:noWrap w:val="0"/>
            <w:vAlign w:val="center"/>
          </w:tcPr>
          <w:p w14:paraId="401BDA0D">
            <w:pPr>
              <w:pStyle w:val="4"/>
              <w:adjustRightInd w:val="0"/>
              <w:jc w:val="center"/>
              <w:rPr>
                <w:rFonts w:ascii="Times New Roman" w:hAnsi="Times New Roman" w:cs="Times New Roman"/>
              </w:rPr>
            </w:pPr>
            <w:r>
              <w:rPr>
                <w:rFonts w:hint="eastAsia" w:ascii="Times New Roman" w:hAnsi="Times New Roman" w:cs="Times New Roman"/>
              </w:rPr>
              <w:t>6000</w:t>
            </w:r>
          </w:p>
        </w:tc>
        <w:tc>
          <w:tcPr>
            <w:tcW w:w="1210" w:type="dxa"/>
            <w:noWrap w:val="0"/>
            <w:vAlign w:val="center"/>
          </w:tcPr>
          <w:p w14:paraId="495E43BB">
            <w:pPr>
              <w:pStyle w:val="4"/>
              <w:adjustRightInd w:val="0"/>
              <w:jc w:val="center"/>
              <w:rPr>
                <w:rFonts w:ascii="Times New Roman" w:hAnsi="Times New Roman" w:cs="Times New Roman"/>
              </w:rPr>
            </w:pPr>
            <w:r>
              <w:rPr>
                <w:rFonts w:hint="eastAsia" w:ascii="Times New Roman" w:hAnsi="Times New Roman" w:cs="Times New Roman"/>
              </w:rPr>
              <w:t>2023-2024</w:t>
            </w:r>
          </w:p>
        </w:tc>
        <w:tc>
          <w:tcPr>
            <w:tcW w:w="1770" w:type="dxa"/>
            <w:noWrap w:val="0"/>
            <w:vAlign w:val="center"/>
          </w:tcPr>
          <w:p w14:paraId="58E79431">
            <w:pPr>
              <w:pStyle w:val="4"/>
              <w:adjustRightInd w:val="0"/>
              <w:jc w:val="center"/>
              <w:rPr>
                <w:rFonts w:ascii="Times New Roman" w:hAnsi="Times New Roman" w:cs="Times New Roman"/>
              </w:rPr>
            </w:pPr>
            <w:r>
              <w:rPr>
                <w:rFonts w:hint="eastAsia" w:ascii="Times New Roman" w:hAnsi="Times New Roman" w:cs="Times New Roman"/>
              </w:rPr>
              <w:t>区水务中心</w:t>
            </w:r>
          </w:p>
        </w:tc>
      </w:tr>
      <w:tr w14:paraId="0FBA7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531" w:type="dxa"/>
            <w:noWrap w:val="0"/>
            <w:vAlign w:val="center"/>
          </w:tcPr>
          <w:p w14:paraId="16BDA820">
            <w:pPr>
              <w:pStyle w:val="4"/>
              <w:numPr>
                <w:ilvl w:val="0"/>
                <w:numId w:val="0"/>
              </w:numPr>
              <w:ind w:left="0" w:leftChars="0" w:firstLine="0" w:firstLineChars="0"/>
              <w:jc w:val="center"/>
              <w:rPr>
                <w:rFonts w:ascii="Times New Roman" w:hAnsi="Times New Roman" w:cs="Times New Roman"/>
              </w:rPr>
            </w:pPr>
            <w:r>
              <w:rPr>
                <w:rFonts w:hint="eastAsia" w:ascii="Times New Roman" w:hAnsi="Times New Roman" w:cs="Times New Roman"/>
                <w:kern w:val="2"/>
                <w:sz w:val="21"/>
                <w:szCs w:val="21"/>
                <w:lang w:val="en-US" w:eastAsia="zh-CN" w:bidi="ar-SA"/>
              </w:rPr>
              <w:t>8</w:t>
            </w:r>
          </w:p>
        </w:tc>
        <w:tc>
          <w:tcPr>
            <w:tcW w:w="2174" w:type="dxa"/>
            <w:noWrap w:val="0"/>
            <w:vAlign w:val="center"/>
          </w:tcPr>
          <w:p w14:paraId="6496AA46">
            <w:pPr>
              <w:pStyle w:val="4"/>
              <w:jc w:val="center"/>
              <w:rPr>
                <w:rFonts w:ascii="Times New Roman" w:hAnsi="Times New Roman" w:cs="Times New Roman"/>
              </w:rPr>
            </w:pPr>
            <w:r>
              <w:rPr>
                <w:rFonts w:ascii="Times New Roman" w:hAnsi="Times New Roman" w:cs="Times New Roman"/>
                <w:lang w:bidi="ar"/>
              </w:rPr>
              <w:t>泗水污水处理厂及附属泵站设施运营维护项目</w:t>
            </w:r>
          </w:p>
        </w:tc>
        <w:tc>
          <w:tcPr>
            <w:tcW w:w="5788" w:type="dxa"/>
            <w:noWrap w:val="0"/>
            <w:vAlign w:val="center"/>
          </w:tcPr>
          <w:p w14:paraId="1ED0B6CA">
            <w:pPr>
              <w:pStyle w:val="4"/>
              <w:jc w:val="left"/>
              <w:rPr>
                <w:rFonts w:ascii="Times New Roman" w:hAnsi="Times New Roman" w:cs="Times New Roman"/>
              </w:rPr>
            </w:pPr>
            <w:r>
              <w:rPr>
                <w:rFonts w:ascii="Times New Roman" w:hAnsi="Times New Roman" w:cs="Times New Roman"/>
                <w:lang w:bidi="ar"/>
              </w:rPr>
              <w:t>主要处理棋盘山景区内各宾馆、何氏眼科、兴齐制药等的生活污水。</w:t>
            </w:r>
          </w:p>
        </w:tc>
        <w:tc>
          <w:tcPr>
            <w:tcW w:w="1315" w:type="dxa"/>
            <w:noWrap w:val="0"/>
            <w:vAlign w:val="center"/>
          </w:tcPr>
          <w:p w14:paraId="547C2415">
            <w:pPr>
              <w:pStyle w:val="4"/>
              <w:jc w:val="center"/>
              <w:rPr>
                <w:rFonts w:ascii="Times New Roman" w:hAnsi="Times New Roman" w:cs="Times New Roman"/>
              </w:rPr>
            </w:pPr>
            <w:r>
              <w:rPr>
                <w:rFonts w:ascii="Times New Roman" w:hAnsi="Times New Roman" w:cs="Times New Roman"/>
              </w:rPr>
              <w:t>1144</w:t>
            </w:r>
          </w:p>
        </w:tc>
        <w:tc>
          <w:tcPr>
            <w:tcW w:w="1210" w:type="dxa"/>
            <w:noWrap w:val="0"/>
            <w:vAlign w:val="center"/>
          </w:tcPr>
          <w:p w14:paraId="199C52C9">
            <w:pPr>
              <w:pStyle w:val="4"/>
              <w:jc w:val="center"/>
              <w:rPr>
                <w:rFonts w:ascii="Times New Roman" w:hAnsi="Times New Roman" w:cs="Times New Roman"/>
              </w:rPr>
            </w:pPr>
            <w:r>
              <w:rPr>
                <w:rFonts w:ascii="Times New Roman" w:hAnsi="Times New Roman" w:cs="Times New Roman"/>
              </w:rPr>
              <w:t>2023-2026</w:t>
            </w:r>
          </w:p>
        </w:tc>
        <w:tc>
          <w:tcPr>
            <w:tcW w:w="1770" w:type="dxa"/>
            <w:noWrap w:val="0"/>
            <w:vAlign w:val="center"/>
          </w:tcPr>
          <w:p w14:paraId="6E9BDA61">
            <w:pPr>
              <w:pStyle w:val="4"/>
              <w:jc w:val="center"/>
              <w:rPr>
                <w:rFonts w:ascii="Times New Roman" w:hAnsi="Times New Roman" w:cs="Times New Roman"/>
              </w:rPr>
            </w:pPr>
            <w:r>
              <w:rPr>
                <w:rFonts w:ascii="Times New Roman" w:hAnsi="Times New Roman" w:cs="Times New Roman"/>
              </w:rPr>
              <w:t>区水务中心</w:t>
            </w:r>
          </w:p>
        </w:tc>
      </w:tr>
      <w:tr w14:paraId="3D3B6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31" w:type="dxa"/>
            <w:noWrap w:val="0"/>
            <w:vAlign w:val="center"/>
          </w:tcPr>
          <w:p w14:paraId="78ADF263">
            <w:pPr>
              <w:pStyle w:val="4"/>
              <w:numPr>
                <w:ilvl w:val="0"/>
                <w:numId w:val="0"/>
              </w:numPr>
              <w:ind w:left="0" w:leftChars="0" w:firstLine="0" w:firstLineChars="0"/>
              <w:jc w:val="center"/>
              <w:rPr>
                <w:rFonts w:ascii="Times New Roman" w:hAnsi="Times New Roman" w:cs="Times New Roman"/>
              </w:rPr>
            </w:pPr>
            <w:r>
              <w:rPr>
                <w:rFonts w:hint="eastAsia" w:ascii="Times New Roman" w:hAnsi="Times New Roman" w:cs="Times New Roman"/>
                <w:kern w:val="2"/>
                <w:sz w:val="21"/>
                <w:szCs w:val="21"/>
                <w:lang w:val="en-US" w:eastAsia="zh-CN" w:bidi="ar-SA"/>
              </w:rPr>
              <w:t>9</w:t>
            </w:r>
          </w:p>
        </w:tc>
        <w:tc>
          <w:tcPr>
            <w:tcW w:w="2174" w:type="dxa"/>
            <w:noWrap w:val="0"/>
            <w:vAlign w:val="center"/>
          </w:tcPr>
          <w:p w14:paraId="05EEF2BF">
            <w:pPr>
              <w:pStyle w:val="4"/>
              <w:jc w:val="center"/>
              <w:rPr>
                <w:rFonts w:ascii="Times New Roman" w:hAnsi="Times New Roman" w:cs="Times New Roman"/>
              </w:rPr>
            </w:pPr>
            <w:r>
              <w:rPr>
                <w:rFonts w:ascii="Times New Roman" w:hAnsi="Times New Roman" w:cs="Times New Roman"/>
              </w:rPr>
              <w:t>污水处理厂升级改造工程</w:t>
            </w:r>
          </w:p>
        </w:tc>
        <w:tc>
          <w:tcPr>
            <w:tcW w:w="5788" w:type="dxa"/>
            <w:noWrap w:val="0"/>
            <w:vAlign w:val="center"/>
          </w:tcPr>
          <w:p w14:paraId="187E8EFC">
            <w:pPr>
              <w:pStyle w:val="4"/>
              <w:jc w:val="left"/>
              <w:rPr>
                <w:rFonts w:ascii="Times New Roman" w:hAnsi="Times New Roman" w:cs="Times New Roman"/>
              </w:rPr>
            </w:pPr>
            <w:r>
              <w:rPr>
                <w:rFonts w:ascii="Times New Roman" w:hAnsi="Times New Roman" w:cs="Times New Roman"/>
              </w:rPr>
              <w:t>泗水污水处理厂、满堂污水处理厂和小河南污水处理厂升级改造工。</w:t>
            </w:r>
          </w:p>
        </w:tc>
        <w:tc>
          <w:tcPr>
            <w:tcW w:w="1315" w:type="dxa"/>
            <w:noWrap w:val="0"/>
            <w:vAlign w:val="center"/>
          </w:tcPr>
          <w:p w14:paraId="7CCA5AB2">
            <w:pPr>
              <w:pStyle w:val="4"/>
              <w:jc w:val="center"/>
              <w:rPr>
                <w:rFonts w:ascii="Times New Roman" w:hAnsi="Times New Roman" w:cs="Times New Roman"/>
              </w:rPr>
            </w:pPr>
            <w:r>
              <w:rPr>
                <w:rFonts w:ascii="Times New Roman" w:hAnsi="Times New Roman" w:cs="Times New Roman"/>
              </w:rPr>
              <w:t>888</w:t>
            </w:r>
          </w:p>
        </w:tc>
        <w:tc>
          <w:tcPr>
            <w:tcW w:w="1210" w:type="dxa"/>
            <w:noWrap w:val="0"/>
            <w:vAlign w:val="center"/>
          </w:tcPr>
          <w:p w14:paraId="28878408">
            <w:pPr>
              <w:pStyle w:val="4"/>
              <w:jc w:val="center"/>
              <w:rPr>
                <w:rFonts w:ascii="Times New Roman" w:hAnsi="Times New Roman" w:cs="Times New Roman"/>
              </w:rPr>
            </w:pPr>
            <w:r>
              <w:rPr>
                <w:rFonts w:ascii="Times New Roman" w:hAnsi="Times New Roman" w:cs="Times New Roman"/>
              </w:rPr>
              <w:t>2023-2026</w:t>
            </w:r>
          </w:p>
        </w:tc>
        <w:tc>
          <w:tcPr>
            <w:tcW w:w="1770" w:type="dxa"/>
            <w:noWrap w:val="0"/>
            <w:vAlign w:val="center"/>
          </w:tcPr>
          <w:p w14:paraId="1AF9362C">
            <w:pPr>
              <w:pStyle w:val="4"/>
              <w:jc w:val="center"/>
              <w:rPr>
                <w:rFonts w:ascii="Times New Roman" w:hAnsi="Times New Roman" w:cs="Times New Roman"/>
              </w:rPr>
            </w:pPr>
            <w:r>
              <w:rPr>
                <w:rFonts w:ascii="Times New Roman" w:hAnsi="Times New Roman" w:cs="Times New Roman"/>
              </w:rPr>
              <w:t>区水务中心</w:t>
            </w:r>
          </w:p>
        </w:tc>
      </w:tr>
      <w:tr w14:paraId="1F8DF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531" w:type="dxa"/>
            <w:noWrap w:val="0"/>
            <w:vAlign w:val="center"/>
          </w:tcPr>
          <w:p w14:paraId="440FFCAB">
            <w:pPr>
              <w:pStyle w:val="4"/>
              <w:numPr>
                <w:ilvl w:val="0"/>
                <w:numId w:val="0"/>
              </w:numPr>
              <w:ind w:left="0" w:leftChars="0" w:firstLine="0" w:firstLineChars="0"/>
              <w:jc w:val="center"/>
              <w:rPr>
                <w:rFonts w:hint="default" w:ascii="Times New Roman" w:hAnsi="Times New Roman" w:cs="Times New Roman"/>
                <w:lang w:val="en-US"/>
              </w:rPr>
            </w:pPr>
            <w:r>
              <w:rPr>
                <w:rFonts w:hint="eastAsia" w:ascii="Times New Roman" w:hAnsi="Times New Roman" w:cs="Times New Roman"/>
                <w:kern w:val="2"/>
                <w:sz w:val="21"/>
                <w:szCs w:val="21"/>
                <w:lang w:val="en-US" w:eastAsia="zh-CN" w:bidi="ar-SA"/>
              </w:rPr>
              <w:t>10</w:t>
            </w:r>
          </w:p>
        </w:tc>
        <w:tc>
          <w:tcPr>
            <w:tcW w:w="2174" w:type="dxa"/>
            <w:noWrap w:val="0"/>
            <w:vAlign w:val="center"/>
          </w:tcPr>
          <w:p w14:paraId="77DEBCC1">
            <w:pPr>
              <w:pStyle w:val="4"/>
              <w:jc w:val="center"/>
              <w:rPr>
                <w:rFonts w:ascii="Times New Roman" w:hAnsi="Times New Roman" w:cs="Times New Roman"/>
              </w:rPr>
            </w:pPr>
            <w:r>
              <w:rPr>
                <w:rFonts w:ascii="Times New Roman" w:hAnsi="Times New Roman" w:cs="Times New Roman"/>
              </w:rPr>
              <w:t>污水处理厂及泵站运营项目</w:t>
            </w:r>
          </w:p>
        </w:tc>
        <w:tc>
          <w:tcPr>
            <w:tcW w:w="5788" w:type="dxa"/>
            <w:noWrap w:val="0"/>
            <w:vAlign w:val="center"/>
          </w:tcPr>
          <w:p w14:paraId="04603AC4">
            <w:pPr>
              <w:pStyle w:val="4"/>
              <w:jc w:val="left"/>
              <w:rPr>
                <w:rFonts w:ascii="Times New Roman" w:hAnsi="Times New Roman" w:cs="Times New Roman"/>
              </w:rPr>
            </w:pPr>
            <w:r>
              <w:rPr>
                <w:rFonts w:ascii="Times New Roman" w:hAnsi="Times New Roman" w:cs="Times New Roman"/>
              </w:rPr>
              <w:t>满堂污水处理厂及提升泵站、小河南污水处理厂及泵站和管线运营项目</w:t>
            </w:r>
            <w:r>
              <w:rPr>
                <w:rFonts w:hint="eastAsia" w:ascii="Times New Roman" w:hAnsi="Times New Roman" w:cs="Times New Roman"/>
              </w:rPr>
              <w:t>。</w:t>
            </w:r>
          </w:p>
        </w:tc>
        <w:tc>
          <w:tcPr>
            <w:tcW w:w="1315" w:type="dxa"/>
            <w:noWrap w:val="0"/>
            <w:vAlign w:val="center"/>
          </w:tcPr>
          <w:p w14:paraId="7A5E8AA8">
            <w:pPr>
              <w:pStyle w:val="4"/>
              <w:jc w:val="center"/>
              <w:rPr>
                <w:rFonts w:ascii="Times New Roman" w:hAnsi="Times New Roman" w:cs="Times New Roman"/>
              </w:rPr>
            </w:pPr>
            <w:r>
              <w:rPr>
                <w:rFonts w:ascii="Times New Roman" w:hAnsi="Times New Roman" w:cs="Times New Roman"/>
              </w:rPr>
              <w:t>673</w:t>
            </w:r>
          </w:p>
        </w:tc>
        <w:tc>
          <w:tcPr>
            <w:tcW w:w="1210" w:type="dxa"/>
            <w:noWrap w:val="0"/>
            <w:vAlign w:val="center"/>
          </w:tcPr>
          <w:p w14:paraId="01200F7C">
            <w:pPr>
              <w:pStyle w:val="4"/>
              <w:jc w:val="center"/>
              <w:rPr>
                <w:rFonts w:ascii="Times New Roman" w:hAnsi="Times New Roman" w:cs="Times New Roman"/>
              </w:rPr>
            </w:pPr>
            <w:r>
              <w:rPr>
                <w:rFonts w:ascii="Times New Roman" w:hAnsi="Times New Roman" w:cs="Times New Roman"/>
              </w:rPr>
              <w:t>2024-2026</w:t>
            </w:r>
          </w:p>
        </w:tc>
        <w:tc>
          <w:tcPr>
            <w:tcW w:w="1770" w:type="dxa"/>
            <w:noWrap w:val="0"/>
            <w:vAlign w:val="center"/>
          </w:tcPr>
          <w:p w14:paraId="08669C08">
            <w:pPr>
              <w:pStyle w:val="4"/>
              <w:jc w:val="center"/>
              <w:rPr>
                <w:rFonts w:ascii="Times New Roman" w:hAnsi="Times New Roman" w:cs="Times New Roman"/>
              </w:rPr>
            </w:pPr>
            <w:r>
              <w:rPr>
                <w:rFonts w:ascii="Times New Roman" w:hAnsi="Times New Roman" w:cs="Times New Roman"/>
              </w:rPr>
              <w:t>区水务中心</w:t>
            </w:r>
          </w:p>
        </w:tc>
      </w:tr>
      <w:tr w14:paraId="73BF8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531" w:type="dxa"/>
            <w:noWrap w:val="0"/>
            <w:vAlign w:val="center"/>
          </w:tcPr>
          <w:p w14:paraId="504EE683">
            <w:pPr>
              <w:pStyle w:val="4"/>
              <w:numPr>
                <w:ilvl w:val="0"/>
                <w:numId w:val="0"/>
              </w:numPr>
              <w:ind w:left="0" w:leftChars="0" w:firstLine="0" w:firstLineChars="0"/>
              <w:jc w:val="center"/>
              <w:rPr>
                <w:rFonts w:hint="default" w:ascii="Times New Roman" w:hAnsi="Times New Roman" w:cs="Times New Roman"/>
                <w:lang w:val="en-US"/>
              </w:rPr>
            </w:pPr>
            <w:r>
              <w:rPr>
                <w:rFonts w:hint="eastAsia" w:ascii="Times New Roman" w:hAnsi="Times New Roman" w:cs="Times New Roman"/>
                <w:kern w:val="2"/>
                <w:sz w:val="21"/>
                <w:szCs w:val="21"/>
                <w:lang w:val="en-US" w:eastAsia="zh-CN" w:bidi="ar-SA"/>
              </w:rPr>
              <w:t>11</w:t>
            </w:r>
          </w:p>
        </w:tc>
        <w:tc>
          <w:tcPr>
            <w:tcW w:w="2174" w:type="dxa"/>
            <w:noWrap w:val="0"/>
            <w:vAlign w:val="center"/>
          </w:tcPr>
          <w:p w14:paraId="23B7B026">
            <w:pPr>
              <w:pStyle w:val="4"/>
              <w:jc w:val="center"/>
              <w:rPr>
                <w:rFonts w:ascii="Times New Roman" w:hAnsi="Times New Roman" w:cs="Times New Roman"/>
              </w:rPr>
            </w:pPr>
            <w:r>
              <w:rPr>
                <w:rFonts w:ascii="Times New Roman" w:hAnsi="Times New Roman" w:cs="Times New Roman"/>
              </w:rPr>
              <w:t>沈阳浑南柏叶污水处理厂建设工程</w:t>
            </w:r>
          </w:p>
        </w:tc>
        <w:tc>
          <w:tcPr>
            <w:tcW w:w="5788" w:type="dxa"/>
            <w:noWrap w:val="0"/>
            <w:vAlign w:val="center"/>
          </w:tcPr>
          <w:p w14:paraId="7C5064F3">
            <w:pPr>
              <w:pStyle w:val="4"/>
              <w:jc w:val="left"/>
              <w:rPr>
                <w:rFonts w:ascii="Times New Roman" w:hAnsi="Times New Roman" w:cs="Times New Roman"/>
              </w:rPr>
            </w:pPr>
            <w:r>
              <w:rPr>
                <w:rFonts w:ascii="Times New Roman" w:hAnsi="Times New Roman" w:cs="Times New Roman"/>
              </w:rPr>
              <w:t>新建一期污水处理能力3000吨/日，总处理能力达到1.5万吨</w:t>
            </w:r>
            <w:r>
              <w:rPr>
                <w:rFonts w:hint="eastAsia" w:ascii="Times New Roman" w:hAnsi="Times New Roman" w:cs="Times New Roman"/>
              </w:rPr>
              <w:t>。</w:t>
            </w:r>
          </w:p>
        </w:tc>
        <w:tc>
          <w:tcPr>
            <w:tcW w:w="1315" w:type="dxa"/>
            <w:noWrap w:val="0"/>
            <w:vAlign w:val="center"/>
          </w:tcPr>
          <w:p w14:paraId="2DEEE2C1">
            <w:pPr>
              <w:pStyle w:val="4"/>
              <w:jc w:val="center"/>
              <w:rPr>
                <w:rFonts w:hint="default" w:ascii="Times New Roman" w:hAnsi="Times New Roman" w:eastAsia="仿宋_GB2312" w:cs="Times New Roman"/>
                <w:lang w:val="en-US" w:eastAsia="zh-CN"/>
              </w:rPr>
            </w:pPr>
            <w:r>
              <w:rPr>
                <w:rFonts w:hint="eastAsia" w:ascii="Times New Roman" w:hAnsi="Times New Roman" w:cs="Times New Roman"/>
                <w:lang w:val="en-US" w:eastAsia="zh-CN"/>
              </w:rPr>
              <w:t>3700</w:t>
            </w:r>
          </w:p>
        </w:tc>
        <w:tc>
          <w:tcPr>
            <w:tcW w:w="1210" w:type="dxa"/>
            <w:noWrap w:val="0"/>
            <w:vAlign w:val="center"/>
          </w:tcPr>
          <w:p w14:paraId="747CC978">
            <w:pPr>
              <w:pStyle w:val="4"/>
              <w:jc w:val="center"/>
              <w:rPr>
                <w:rFonts w:ascii="Times New Roman" w:hAnsi="Times New Roman" w:cs="Times New Roman"/>
              </w:rPr>
            </w:pPr>
            <w:r>
              <w:rPr>
                <w:rFonts w:ascii="Times New Roman" w:hAnsi="Times New Roman" w:cs="Times New Roman"/>
              </w:rPr>
              <w:t>2023-2026</w:t>
            </w:r>
          </w:p>
        </w:tc>
        <w:tc>
          <w:tcPr>
            <w:tcW w:w="1770" w:type="dxa"/>
            <w:noWrap w:val="0"/>
            <w:vAlign w:val="center"/>
          </w:tcPr>
          <w:p w14:paraId="7B820DA7">
            <w:pPr>
              <w:pStyle w:val="4"/>
              <w:jc w:val="center"/>
              <w:rPr>
                <w:rFonts w:hint="default" w:ascii="Times New Roman" w:hAnsi="Times New Roman" w:eastAsia="仿宋_GB2312" w:cs="Times New Roman"/>
                <w:lang w:val="en-US" w:eastAsia="zh-CN"/>
              </w:rPr>
            </w:pPr>
            <w:r>
              <w:rPr>
                <w:rFonts w:hint="eastAsia" w:ascii="Times New Roman" w:hAnsi="Times New Roman" w:cs="Times New Roman"/>
                <w:lang w:val="en-US" w:eastAsia="zh-CN"/>
              </w:rPr>
              <w:t>浑南水务集团、</w:t>
            </w:r>
            <w:r>
              <w:rPr>
                <w:rFonts w:ascii="Times New Roman" w:hAnsi="Times New Roman" w:cs="Times New Roman"/>
              </w:rPr>
              <w:t>区水务中心</w:t>
            </w:r>
          </w:p>
        </w:tc>
      </w:tr>
      <w:tr w14:paraId="1A928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531" w:type="dxa"/>
            <w:noWrap w:val="0"/>
            <w:vAlign w:val="center"/>
          </w:tcPr>
          <w:p w14:paraId="2505EF8D">
            <w:pPr>
              <w:pStyle w:val="4"/>
              <w:numPr>
                <w:ilvl w:val="0"/>
                <w:numId w:val="0"/>
              </w:numPr>
              <w:ind w:left="0" w:leftChars="0" w:firstLine="0" w:firstLineChars="0"/>
              <w:jc w:val="center"/>
              <w:rPr>
                <w:rFonts w:hint="default" w:ascii="Times New Roman" w:hAnsi="Times New Roman" w:cs="Times New Roman"/>
                <w:lang w:val="en-US"/>
              </w:rPr>
            </w:pPr>
            <w:r>
              <w:rPr>
                <w:rFonts w:hint="eastAsia" w:ascii="Times New Roman" w:hAnsi="Times New Roman" w:cs="Times New Roman"/>
                <w:kern w:val="2"/>
                <w:sz w:val="21"/>
                <w:szCs w:val="21"/>
                <w:lang w:val="en-US" w:eastAsia="zh-CN" w:bidi="ar-SA"/>
              </w:rPr>
              <w:t>12</w:t>
            </w:r>
          </w:p>
        </w:tc>
        <w:tc>
          <w:tcPr>
            <w:tcW w:w="2174" w:type="dxa"/>
            <w:noWrap w:val="0"/>
            <w:vAlign w:val="center"/>
          </w:tcPr>
          <w:p w14:paraId="5BF56BAF">
            <w:pPr>
              <w:pStyle w:val="4"/>
              <w:jc w:val="center"/>
              <w:rPr>
                <w:rFonts w:ascii="Times New Roman" w:hAnsi="Times New Roman" w:cs="Times New Roman"/>
              </w:rPr>
            </w:pPr>
            <w:r>
              <w:rPr>
                <w:rFonts w:ascii="Times New Roman" w:hAnsi="Times New Roman" w:cs="Times New Roman"/>
              </w:rPr>
              <w:t>蒲河（兴国桥断面以上）水生态修复工程</w:t>
            </w:r>
          </w:p>
        </w:tc>
        <w:tc>
          <w:tcPr>
            <w:tcW w:w="5788" w:type="dxa"/>
            <w:noWrap w:val="0"/>
            <w:vAlign w:val="center"/>
          </w:tcPr>
          <w:p w14:paraId="14401E6A">
            <w:pPr>
              <w:pStyle w:val="4"/>
              <w:jc w:val="left"/>
              <w:rPr>
                <w:rFonts w:ascii="Times New Roman" w:hAnsi="Times New Roman" w:cs="Times New Roman"/>
              </w:rPr>
            </w:pPr>
            <w:r>
              <w:rPr>
                <w:rFonts w:ascii="Times New Roman" w:hAnsi="Times New Roman" w:cs="Times New Roman"/>
              </w:rPr>
              <w:t>1、修建陆域生态缓冲带长度约19.03 km，在河道内水位变幅区修复水生植物群落，11.26公顷。建设生态拦截沟3处，建设生态护岸4.53 km。2、利用蒲河河道两侧空地，营建4.5公顷旁路型潜流人工湿地。修建生态滤床4座，修复白鹭洲湿地面积9.6共情。3、修建支流绿篱隔离带长度920 m，修建湿地饮水管道200 m。4、建设水质监测系统3套，集中监管平台1个。</w:t>
            </w:r>
          </w:p>
        </w:tc>
        <w:tc>
          <w:tcPr>
            <w:tcW w:w="1315" w:type="dxa"/>
            <w:noWrap w:val="0"/>
            <w:vAlign w:val="center"/>
          </w:tcPr>
          <w:p w14:paraId="571FF749">
            <w:pPr>
              <w:pStyle w:val="4"/>
              <w:jc w:val="center"/>
              <w:rPr>
                <w:rFonts w:ascii="Times New Roman" w:hAnsi="Times New Roman" w:cs="Times New Roman"/>
              </w:rPr>
            </w:pPr>
            <w:r>
              <w:rPr>
                <w:rFonts w:ascii="Times New Roman" w:hAnsi="Times New Roman" w:cs="Times New Roman"/>
              </w:rPr>
              <w:t>9524.55</w:t>
            </w:r>
          </w:p>
        </w:tc>
        <w:tc>
          <w:tcPr>
            <w:tcW w:w="1210" w:type="dxa"/>
            <w:noWrap w:val="0"/>
            <w:vAlign w:val="center"/>
          </w:tcPr>
          <w:p w14:paraId="3C37011A">
            <w:pPr>
              <w:pStyle w:val="4"/>
              <w:jc w:val="center"/>
              <w:rPr>
                <w:rFonts w:ascii="Times New Roman" w:hAnsi="Times New Roman" w:cs="Times New Roman"/>
              </w:rPr>
            </w:pPr>
            <w:r>
              <w:rPr>
                <w:rFonts w:ascii="Times New Roman" w:hAnsi="Times New Roman" w:cs="Times New Roman"/>
              </w:rPr>
              <w:t>2023-2026</w:t>
            </w:r>
          </w:p>
        </w:tc>
        <w:tc>
          <w:tcPr>
            <w:tcW w:w="1770" w:type="dxa"/>
            <w:noWrap w:val="0"/>
            <w:vAlign w:val="center"/>
          </w:tcPr>
          <w:p w14:paraId="2D64440E">
            <w:pPr>
              <w:pStyle w:val="4"/>
              <w:jc w:val="center"/>
              <w:rPr>
                <w:rFonts w:ascii="Times New Roman" w:hAnsi="Times New Roman" w:cs="Times New Roman"/>
              </w:rPr>
            </w:pPr>
            <w:r>
              <w:rPr>
                <w:rFonts w:ascii="Times New Roman" w:hAnsi="Times New Roman" w:cs="Times New Roman"/>
              </w:rPr>
              <w:t>棋盘山生态环境分局、区城建局</w:t>
            </w:r>
          </w:p>
        </w:tc>
      </w:tr>
      <w:tr w14:paraId="526F0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jc w:val="center"/>
        </w:trPr>
        <w:tc>
          <w:tcPr>
            <w:tcW w:w="531" w:type="dxa"/>
            <w:noWrap w:val="0"/>
            <w:vAlign w:val="center"/>
          </w:tcPr>
          <w:p w14:paraId="0AA75640">
            <w:pPr>
              <w:pStyle w:val="4"/>
              <w:numPr>
                <w:ilvl w:val="0"/>
                <w:numId w:val="0"/>
              </w:numPr>
              <w:ind w:left="0" w:leftChars="0" w:firstLine="0" w:firstLineChars="0"/>
              <w:jc w:val="center"/>
              <w:rPr>
                <w:rFonts w:hint="default" w:ascii="Times New Roman" w:hAnsi="Times New Roman" w:cs="Times New Roman"/>
                <w:lang w:val="en-US"/>
              </w:rPr>
            </w:pPr>
            <w:r>
              <w:rPr>
                <w:rFonts w:hint="eastAsia" w:ascii="Times New Roman" w:hAnsi="Times New Roman" w:cs="Times New Roman"/>
                <w:kern w:val="2"/>
                <w:sz w:val="21"/>
                <w:szCs w:val="21"/>
                <w:lang w:val="en-US" w:eastAsia="zh-CN" w:bidi="ar-SA"/>
              </w:rPr>
              <w:t>13</w:t>
            </w:r>
          </w:p>
        </w:tc>
        <w:tc>
          <w:tcPr>
            <w:tcW w:w="2174" w:type="dxa"/>
            <w:noWrap w:val="0"/>
            <w:vAlign w:val="center"/>
          </w:tcPr>
          <w:p w14:paraId="0F994D78">
            <w:pPr>
              <w:pStyle w:val="4"/>
              <w:jc w:val="center"/>
              <w:rPr>
                <w:rFonts w:ascii="Times New Roman" w:hAnsi="Times New Roman" w:cs="Times New Roman"/>
              </w:rPr>
            </w:pPr>
            <w:r>
              <w:rPr>
                <w:rFonts w:ascii="Times New Roman" w:hAnsi="Times New Roman" w:cs="Times New Roman"/>
              </w:rPr>
              <w:t>满堂河上游河道水环境质量改善项目</w:t>
            </w:r>
          </w:p>
        </w:tc>
        <w:tc>
          <w:tcPr>
            <w:tcW w:w="5788" w:type="dxa"/>
            <w:noWrap w:val="0"/>
            <w:vAlign w:val="center"/>
          </w:tcPr>
          <w:p w14:paraId="07E49F8F">
            <w:pPr>
              <w:pStyle w:val="4"/>
              <w:jc w:val="left"/>
              <w:rPr>
                <w:rFonts w:ascii="Times New Roman" w:hAnsi="Times New Roman" w:cs="Times New Roman"/>
              </w:rPr>
            </w:pPr>
            <w:r>
              <w:rPr>
                <w:rFonts w:ascii="Times New Roman" w:hAnsi="Times New Roman" w:cs="Times New Roman"/>
              </w:rPr>
              <w:t>1、满堂河上游河道水环境质量改善。</w:t>
            </w:r>
            <w:r>
              <w:rPr>
                <w:rFonts w:ascii="Times New Roman" w:hAnsi="Times New Roman" w:eastAsia="宋体" w:cs="Times New Roman"/>
              </w:rPr>
              <w:t>①</w:t>
            </w:r>
            <w:r>
              <w:rPr>
                <w:rFonts w:ascii="Times New Roman" w:hAnsi="Times New Roman" w:cs="Times New Roman"/>
              </w:rPr>
              <w:t>保护修复生态缓冲带长度14.5 km；</w:t>
            </w:r>
            <w:r>
              <w:rPr>
                <w:rFonts w:ascii="Times New Roman" w:hAnsi="Times New Roman" w:eastAsia="宋体" w:cs="Times New Roman"/>
              </w:rPr>
              <w:t>②</w:t>
            </w:r>
            <w:r>
              <w:rPr>
                <w:rFonts w:ascii="Times New Roman" w:hAnsi="Times New Roman" w:cs="Times New Roman"/>
              </w:rPr>
              <w:t>建设潜流湿地0.07公顷，建设表流湿地0.12公顷；</w:t>
            </w:r>
            <w:r>
              <w:rPr>
                <w:rFonts w:ascii="Times New Roman" w:hAnsi="Times New Roman" w:eastAsia="宋体" w:cs="Times New Roman"/>
              </w:rPr>
              <w:t>③</w:t>
            </w:r>
            <w:r>
              <w:rPr>
                <w:rFonts w:ascii="Times New Roman" w:hAnsi="Times New Roman" w:cs="Times New Roman"/>
              </w:rPr>
              <w:t>建设旁路湿地1.0 公顷；</w:t>
            </w:r>
            <w:r>
              <w:rPr>
                <w:rFonts w:ascii="Times New Roman" w:hAnsi="Times New Roman" w:eastAsia="宋体" w:cs="Times New Roman"/>
              </w:rPr>
              <w:t>④</w:t>
            </w:r>
            <w:r>
              <w:rPr>
                <w:rFonts w:ascii="Times New Roman" w:hAnsi="Times New Roman" w:cs="Times New Roman"/>
              </w:rPr>
              <w:t>建设旁路湿地3.0公顷；</w:t>
            </w:r>
            <w:r>
              <w:rPr>
                <w:rFonts w:ascii="Times New Roman" w:hAnsi="Times New Roman" w:eastAsia="宋体" w:cs="Times New Roman"/>
              </w:rPr>
              <w:t>⑤</w:t>
            </w:r>
            <w:r>
              <w:rPr>
                <w:rFonts w:ascii="Times New Roman" w:hAnsi="Times New Roman" w:cs="Times New Roman"/>
              </w:rPr>
              <w:t>修复河道湿地0.7公顷。2、前陵河水生态环境治理。</w:t>
            </w:r>
            <w:r>
              <w:rPr>
                <w:rFonts w:ascii="Times New Roman" w:hAnsi="Times New Roman" w:eastAsia="宋体" w:cs="Times New Roman"/>
              </w:rPr>
              <w:t>①</w:t>
            </w:r>
            <w:r>
              <w:rPr>
                <w:rFonts w:ascii="Times New Roman" w:hAnsi="Times New Roman" w:cs="Times New Roman"/>
              </w:rPr>
              <w:t>规范化建设入河排污口13处；</w:t>
            </w:r>
            <w:r>
              <w:rPr>
                <w:rFonts w:ascii="Times New Roman" w:hAnsi="Times New Roman" w:eastAsia="宋体" w:cs="Times New Roman"/>
              </w:rPr>
              <w:t>②</w:t>
            </w:r>
            <w:r>
              <w:rPr>
                <w:rFonts w:ascii="Times New Roman" w:hAnsi="Times New Roman" w:cs="Times New Roman"/>
              </w:rPr>
              <w:t>保护修复生态缓冲带长度5.5 km；</w:t>
            </w:r>
            <w:r>
              <w:rPr>
                <w:rFonts w:ascii="Times New Roman" w:hAnsi="Times New Roman" w:eastAsia="宋体" w:cs="Times New Roman"/>
              </w:rPr>
              <w:t>③</w:t>
            </w:r>
            <w:r>
              <w:rPr>
                <w:rFonts w:ascii="Times New Roman" w:hAnsi="Times New Roman" w:cs="Times New Roman"/>
              </w:rPr>
              <w:t>建设潜流湿地0.095公顷；</w:t>
            </w:r>
            <w:r>
              <w:rPr>
                <w:rFonts w:ascii="Times New Roman" w:hAnsi="Times New Roman" w:eastAsia="宋体" w:cs="Times New Roman"/>
              </w:rPr>
              <w:t>④</w:t>
            </w:r>
            <w:r>
              <w:rPr>
                <w:rFonts w:ascii="Times New Roman" w:hAnsi="Times New Roman" w:cs="Times New Roman"/>
              </w:rPr>
              <w:t>建设旁路湿地0.25公顷；</w:t>
            </w:r>
            <w:r>
              <w:rPr>
                <w:rFonts w:ascii="Times New Roman" w:hAnsi="Times New Roman" w:eastAsia="宋体" w:cs="Times New Roman"/>
              </w:rPr>
              <w:t>⑤</w:t>
            </w:r>
            <w:r>
              <w:rPr>
                <w:rFonts w:ascii="Times New Roman" w:hAnsi="Times New Roman" w:cs="Times New Roman"/>
              </w:rPr>
              <w:t>建设功能表流湿地0.3公顷；</w:t>
            </w:r>
            <w:r>
              <w:rPr>
                <w:rFonts w:ascii="Times New Roman" w:hAnsi="Times New Roman" w:eastAsia="宋体" w:cs="Times New Roman"/>
              </w:rPr>
              <w:t>⑥</w:t>
            </w:r>
            <w:r>
              <w:rPr>
                <w:rFonts w:ascii="Times New Roman" w:hAnsi="Times New Roman" w:cs="Times New Roman"/>
              </w:rPr>
              <w:t>建设潜流湿地0.11公顷；</w:t>
            </w:r>
            <w:r>
              <w:rPr>
                <w:rFonts w:ascii="Times New Roman" w:hAnsi="Times New Roman" w:eastAsia="宋体" w:cs="Times New Roman"/>
              </w:rPr>
              <w:t>⑦</w:t>
            </w:r>
            <w:r>
              <w:rPr>
                <w:rFonts w:ascii="Times New Roman" w:hAnsi="Times New Roman" w:cs="Times New Roman"/>
              </w:rPr>
              <w:t>修复河口湿地0.4公顷。</w:t>
            </w:r>
          </w:p>
        </w:tc>
        <w:tc>
          <w:tcPr>
            <w:tcW w:w="1315" w:type="dxa"/>
            <w:noWrap w:val="0"/>
            <w:vAlign w:val="center"/>
          </w:tcPr>
          <w:p w14:paraId="3AD4C251">
            <w:pPr>
              <w:pStyle w:val="4"/>
              <w:jc w:val="center"/>
              <w:rPr>
                <w:rFonts w:ascii="Times New Roman" w:hAnsi="Times New Roman" w:cs="Times New Roman"/>
              </w:rPr>
            </w:pPr>
            <w:r>
              <w:rPr>
                <w:rFonts w:ascii="Times New Roman" w:hAnsi="Times New Roman" w:cs="Times New Roman"/>
              </w:rPr>
              <w:t>8964</w:t>
            </w:r>
          </w:p>
        </w:tc>
        <w:tc>
          <w:tcPr>
            <w:tcW w:w="1210" w:type="dxa"/>
            <w:noWrap w:val="0"/>
            <w:vAlign w:val="center"/>
          </w:tcPr>
          <w:p w14:paraId="6126FCB3">
            <w:pPr>
              <w:pStyle w:val="4"/>
              <w:jc w:val="center"/>
              <w:rPr>
                <w:rFonts w:ascii="Times New Roman" w:hAnsi="Times New Roman" w:cs="Times New Roman"/>
              </w:rPr>
            </w:pPr>
            <w:r>
              <w:rPr>
                <w:rFonts w:ascii="Times New Roman" w:hAnsi="Times New Roman" w:cs="Times New Roman"/>
              </w:rPr>
              <w:t>2023-2030</w:t>
            </w:r>
          </w:p>
        </w:tc>
        <w:tc>
          <w:tcPr>
            <w:tcW w:w="1770" w:type="dxa"/>
            <w:noWrap w:val="0"/>
            <w:vAlign w:val="center"/>
          </w:tcPr>
          <w:p w14:paraId="0D7DFC58">
            <w:pPr>
              <w:pStyle w:val="4"/>
              <w:jc w:val="center"/>
              <w:rPr>
                <w:rFonts w:ascii="Times New Roman" w:hAnsi="Times New Roman" w:cs="Times New Roman"/>
              </w:rPr>
            </w:pPr>
            <w:r>
              <w:rPr>
                <w:rFonts w:ascii="Times New Roman" w:hAnsi="Times New Roman" w:cs="Times New Roman"/>
              </w:rPr>
              <w:t>棋盘山生态环境分局、区城建局</w:t>
            </w:r>
          </w:p>
        </w:tc>
      </w:tr>
      <w:tr w14:paraId="3FAF2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531" w:type="dxa"/>
            <w:noWrap w:val="0"/>
            <w:vAlign w:val="center"/>
          </w:tcPr>
          <w:p w14:paraId="60F21B30">
            <w:pPr>
              <w:pStyle w:val="4"/>
              <w:numPr>
                <w:ilvl w:val="0"/>
                <w:numId w:val="0"/>
              </w:numPr>
              <w:ind w:left="0" w:leftChars="0" w:firstLine="0" w:firstLineChars="0"/>
              <w:jc w:val="center"/>
              <w:rPr>
                <w:rFonts w:hint="default" w:ascii="Times New Roman" w:hAnsi="Times New Roman" w:cs="Times New Roman"/>
                <w:lang w:val="en-US"/>
              </w:rPr>
            </w:pPr>
            <w:r>
              <w:rPr>
                <w:rFonts w:hint="eastAsia" w:ascii="Times New Roman" w:hAnsi="Times New Roman" w:cs="Times New Roman"/>
                <w:kern w:val="2"/>
                <w:sz w:val="21"/>
                <w:szCs w:val="21"/>
                <w:lang w:val="en-US" w:eastAsia="zh-CN" w:bidi="ar-SA"/>
              </w:rPr>
              <w:t>14</w:t>
            </w:r>
          </w:p>
        </w:tc>
        <w:tc>
          <w:tcPr>
            <w:tcW w:w="2174" w:type="dxa"/>
            <w:noWrap w:val="0"/>
            <w:vAlign w:val="center"/>
          </w:tcPr>
          <w:p w14:paraId="1015EF89">
            <w:pPr>
              <w:pStyle w:val="4"/>
              <w:jc w:val="center"/>
              <w:rPr>
                <w:rFonts w:ascii="Times New Roman" w:hAnsi="Times New Roman" w:cs="Times New Roman"/>
              </w:rPr>
            </w:pPr>
            <w:r>
              <w:rPr>
                <w:rFonts w:ascii="Times New Roman" w:hAnsi="Times New Roman" w:cs="Times New Roman"/>
              </w:rPr>
              <w:t>蒲河干流农村点源污染治理工程</w:t>
            </w:r>
          </w:p>
        </w:tc>
        <w:tc>
          <w:tcPr>
            <w:tcW w:w="5788" w:type="dxa"/>
            <w:noWrap w:val="0"/>
            <w:vAlign w:val="center"/>
          </w:tcPr>
          <w:p w14:paraId="3D9EBF5B">
            <w:pPr>
              <w:pStyle w:val="4"/>
              <w:jc w:val="left"/>
              <w:rPr>
                <w:rFonts w:ascii="Times New Roman" w:hAnsi="Times New Roman" w:cs="Times New Roman"/>
              </w:rPr>
            </w:pPr>
            <w:r>
              <w:rPr>
                <w:rFonts w:ascii="Times New Roman" w:hAnsi="Times New Roman" w:cs="Times New Roman"/>
              </w:rPr>
              <w:t>蒲河干流农村点源污染治理工程，蒲河上游流经古砬子村、东西家子村、南三家子村，设置3座地埋式垃圾转运站3座，污水处理站3座。通过建设垃圾运转站，将垃圾进行分类回收，污水进行处理，可减少村庄垃圾对水质的污染</w:t>
            </w:r>
            <w:r>
              <w:rPr>
                <w:rFonts w:hint="eastAsia" w:ascii="Times New Roman" w:hAnsi="Times New Roman" w:cs="Times New Roman"/>
              </w:rPr>
              <w:t>。</w:t>
            </w:r>
          </w:p>
        </w:tc>
        <w:tc>
          <w:tcPr>
            <w:tcW w:w="1315" w:type="dxa"/>
            <w:noWrap w:val="0"/>
            <w:vAlign w:val="center"/>
          </w:tcPr>
          <w:p w14:paraId="289D5237">
            <w:pPr>
              <w:pStyle w:val="4"/>
              <w:jc w:val="center"/>
              <w:rPr>
                <w:rFonts w:ascii="Times New Roman" w:hAnsi="Times New Roman" w:cs="Times New Roman"/>
              </w:rPr>
            </w:pPr>
            <w:r>
              <w:rPr>
                <w:rFonts w:ascii="Times New Roman" w:hAnsi="Times New Roman" w:cs="Times New Roman"/>
              </w:rPr>
              <w:t>7000</w:t>
            </w:r>
          </w:p>
        </w:tc>
        <w:tc>
          <w:tcPr>
            <w:tcW w:w="1210" w:type="dxa"/>
            <w:noWrap w:val="0"/>
            <w:vAlign w:val="center"/>
          </w:tcPr>
          <w:p w14:paraId="04EAEA44">
            <w:pPr>
              <w:pStyle w:val="4"/>
              <w:jc w:val="center"/>
              <w:rPr>
                <w:rFonts w:ascii="Times New Roman" w:hAnsi="Times New Roman" w:cs="Times New Roman"/>
              </w:rPr>
            </w:pPr>
            <w:r>
              <w:rPr>
                <w:rFonts w:ascii="Times New Roman" w:hAnsi="Times New Roman" w:cs="Times New Roman"/>
              </w:rPr>
              <w:t>2024-2028</w:t>
            </w:r>
          </w:p>
        </w:tc>
        <w:tc>
          <w:tcPr>
            <w:tcW w:w="1770" w:type="dxa"/>
            <w:noWrap w:val="0"/>
            <w:vAlign w:val="center"/>
          </w:tcPr>
          <w:p w14:paraId="3C5D36F5">
            <w:pPr>
              <w:pStyle w:val="4"/>
              <w:jc w:val="center"/>
              <w:rPr>
                <w:rFonts w:ascii="Times New Roman" w:hAnsi="Times New Roman" w:cs="Times New Roman"/>
              </w:rPr>
            </w:pPr>
            <w:r>
              <w:rPr>
                <w:rFonts w:ascii="Times New Roman" w:hAnsi="Times New Roman" w:cs="Times New Roman"/>
              </w:rPr>
              <w:t>区农业农村局</w:t>
            </w:r>
          </w:p>
        </w:tc>
      </w:tr>
      <w:bookmarkEnd w:id="4"/>
      <w:tr w14:paraId="5CD37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31" w:type="dxa"/>
            <w:noWrap w:val="0"/>
            <w:vAlign w:val="center"/>
          </w:tcPr>
          <w:p w14:paraId="2025B465">
            <w:pPr>
              <w:pStyle w:val="4"/>
              <w:jc w:val="center"/>
              <w:rPr>
                <w:rFonts w:ascii="Times New Roman" w:hAnsi="Times New Roman" w:cs="Times New Roman"/>
              </w:rPr>
            </w:pPr>
          </w:p>
        </w:tc>
        <w:tc>
          <w:tcPr>
            <w:tcW w:w="7962" w:type="dxa"/>
            <w:gridSpan w:val="2"/>
            <w:noWrap w:val="0"/>
            <w:vAlign w:val="center"/>
          </w:tcPr>
          <w:p w14:paraId="4D7EAC09">
            <w:pPr>
              <w:pStyle w:val="4"/>
              <w:jc w:val="center"/>
              <w:rPr>
                <w:rFonts w:ascii="Times New Roman" w:hAnsi="Times New Roman" w:cs="Times New Roman"/>
              </w:rPr>
            </w:pPr>
            <w:r>
              <w:rPr>
                <w:rFonts w:ascii="Times New Roman" w:hAnsi="Times New Roman" w:cs="Times New Roman"/>
              </w:rPr>
              <w:t>小计</w:t>
            </w:r>
          </w:p>
        </w:tc>
        <w:tc>
          <w:tcPr>
            <w:tcW w:w="1315" w:type="dxa"/>
            <w:noWrap w:val="0"/>
            <w:vAlign w:val="center"/>
          </w:tcPr>
          <w:p w14:paraId="7A7112DF">
            <w:pPr>
              <w:pStyle w:val="4"/>
              <w:jc w:val="center"/>
              <w:rPr>
                <w:rFonts w:ascii="Times New Roman" w:hAnsi="Times New Roman" w:cs="Times New Roman"/>
              </w:rPr>
            </w:pPr>
            <w:r>
              <w:rPr>
                <w:rFonts w:hint="eastAsia" w:ascii="Times New Roman" w:hAnsi="Times New Roman" w:cs="Times New Roman"/>
              </w:rPr>
              <w:t>64960.1</w:t>
            </w:r>
          </w:p>
        </w:tc>
        <w:tc>
          <w:tcPr>
            <w:tcW w:w="2980" w:type="dxa"/>
            <w:gridSpan w:val="2"/>
            <w:noWrap w:val="0"/>
            <w:vAlign w:val="center"/>
          </w:tcPr>
          <w:p w14:paraId="7C324189">
            <w:pPr>
              <w:pStyle w:val="4"/>
              <w:jc w:val="center"/>
              <w:rPr>
                <w:rFonts w:ascii="Times New Roman" w:hAnsi="Times New Roman" w:cs="Times New Roman"/>
              </w:rPr>
            </w:pPr>
          </w:p>
        </w:tc>
      </w:tr>
      <w:tr w14:paraId="79768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2788" w:type="dxa"/>
            <w:gridSpan w:val="6"/>
            <w:noWrap w:val="0"/>
            <w:vAlign w:val="center"/>
          </w:tcPr>
          <w:p w14:paraId="014CF5E8">
            <w:pPr>
              <w:pStyle w:val="4"/>
              <w:jc w:val="center"/>
              <w:rPr>
                <w:rFonts w:ascii="Times New Roman" w:hAnsi="Times New Roman" w:cs="Times New Roman"/>
              </w:rPr>
            </w:pPr>
            <w:r>
              <w:rPr>
                <w:rFonts w:ascii="Times New Roman" w:hAnsi="Times New Roman" w:cs="Times New Roman"/>
              </w:rPr>
              <w:t>三、生态安全屏障建设</w:t>
            </w:r>
          </w:p>
        </w:tc>
      </w:tr>
      <w:tr w14:paraId="52C9B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531" w:type="dxa"/>
            <w:noWrap w:val="0"/>
            <w:vAlign w:val="center"/>
          </w:tcPr>
          <w:p w14:paraId="648A3795">
            <w:pPr>
              <w:pStyle w:val="4"/>
              <w:numPr>
                <w:ilvl w:val="0"/>
                <w:numId w:val="0"/>
              </w:numPr>
              <w:ind w:left="0" w:leftChars="0" w:firstLine="0" w:firstLineChars="0"/>
              <w:jc w:val="center"/>
              <w:rPr>
                <w:rFonts w:hint="default" w:ascii="Times New Roman" w:hAnsi="Times New Roman" w:cs="Times New Roman"/>
                <w:lang w:val="en-US"/>
              </w:rPr>
            </w:pPr>
            <w:r>
              <w:rPr>
                <w:rFonts w:hint="eastAsia" w:ascii="Times New Roman" w:hAnsi="Times New Roman" w:cs="Times New Roman"/>
                <w:kern w:val="2"/>
                <w:sz w:val="21"/>
                <w:szCs w:val="21"/>
                <w:lang w:val="en-US" w:eastAsia="zh-CN" w:bidi="ar-SA"/>
              </w:rPr>
              <w:t>15</w:t>
            </w:r>
          </w:p>
        </w:tc>
        <w:tc>
          <w:tcPr>
            <w:tcW w:w="2174" w:type="dxa"/>
            <w:noWrap w:val="0"/>
            <w:vAlign w:val="center"/>
          </w:tcPr>
          <w:p w14:paraId="3E9E2307">
            <w:pPr>
              <w:pStyle w:val="4"/>
              <w:jc w:val="center"/>
              <w:rPr>
                <w:rFonts w:ascii="Times New Roman" w:hAnsi="Times New Roman" w:cs="Times New Roman"/>
              </w:rPr>
            </w:pPr>
            <w:r>
              <w:rPr>
                <w:rFonts w:ascii="Times New Roman" w:hAnsi="Times New Roman" w:cs="Times New Roman"/>
              </w:rPr>
              <w:t>棋盘山水库蒲河上游段水土保持综合治理工程</w:t>
            </w:r>
          </w:p>
        </w:tc>
        <w:tc>
          <w:tcPr>
            <w:tcW w:w="5788" w:type="dxa"/>
            <w:noWrap w:val="0"/>
            <w:vAlign w:val="center"/>
          </w:tcPr>
          <w:p w14:paraId="1A911096">
            <w:pPr>
              <w:pStyle w:val="4"/>
              <w:jc w:val="left"/>
              <w:rPr>
                <w:rFonts w:ascii="Times New Roman" w:hAnsi="Times New Roman" w:cs="Times New Roman"/>
              </w:rPr>
            </w:pPr>
            <w:r>
              <w:rPr>
                <w:rFonts w:ascii="Times New Roman" w:hAnsi="Times New Roman" w:cs="Times New Roman"/>
              </w:rPr>
              <w:t>该工程实施区为沈阳市境内蒲河干流兴国桥国考断面上游，自古砬子村入境至棋盘山水库入湖口，针对目前的水土流失、水质污染等问题，采用蒲河干流沿线两侧梯田工程、蒲河干流农村点源污染治理工程、侵蚀沟治理工程实施水土保持综合治理。</w:t>
            </w:r>
          </w:p>
        </w:tc>
        <w:tc>
          <w:tcPr>
            <w:tcW w:w="1315" w:type="dxa"/>
            <w:noWrap w:val="0"/>
            <w:vAlign w:val="center"/>
          </w:tcPr>
          <w:p w14:paraId="1ABD9DC1">
            <w:pPr>
              <w:pStyle w:val="4"/>
              <w:jc w:val="center"/>
              <w:rPr>
                <w:rFonts w:ascii="Times New Roman" w:hAnsi="Times New Roman" w:cs="Times New Roman"/>
              </w:rPr>
            </w:pPr>
            <w:r>
              <w:rPr>
                <w:rFonts w:ascii="Times New Roman" w:hAnsi="Times New Roman" w:cs="Times New Roman"/>
              </w:rPr>
              <w:t>22000</w:t>
            </w:r>
          </w:p>
        </w:tc>
        <w:tc>
          <w:tcPr>
            <w:tcW w:w="1210" w:type="dxa"/>
            <w:noWrap w:val="0"/>
            <w:vAlign w:val="center"/>
          </w:tcPr>
          <w:p w14:paraId="5A848F48">
            <w:pPr>
              <w:pStyle w:val="4"/>
              <w:jc w:val="center"/>
              <w:rPr>
                <w:rFonts w:ascii="Times New Roman" w:hAnsi="Times New Roman" w:cs="Times New Roman"/>
              </w:rPr>
            </w:pPr>
            <w:r>
              <w:rPr>
                <w:rFonts w:ascii="Times New Roman" w:hAnsi="Times New Roman" w:cs="Times New Roman"/>
              </w:rPr>
              <w:t>2023-2028</w:t>
            </w:r>
          </w:p>
        </w:tc>
        <w:tc>
          <w:tcPr>
            <w:tcW w:w="1770" w:type="dxa"/>
            <w:noWrap w:val="0"/>
            <w:vAlign w:val="center"/>
          </w:tcPr>
          <w:p w14:paraId="7F98DD29">
            <w:pPr>
              <w:pStyle w:val="4"/>
              <w:jc w:val="center"/>
              <w:rPr>
                <w:rFonts w:ascii="Times New Roman" w:hAnsi="Times New Roman" w:cs="Times New Roman"/>
              </w:rPr>
            </w:pPr>
            <w:r>
              <w:rPr>
                <w:rFonts w:ascii="Times New Roman" w:hAnsi="Times New Roman" w:cs="Times New Roman"/>
              </w:rPr>
              <w:t>棋盘山管委会</w:t>
            </w:r>
          </w:p>
        </w:tc>
      </w:tr>
      <w:tr w14:paraId="2206D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31" w:type="dxa"/>
            <w:noWrap w:val="0"/>
            <w:vAlign w:val="center"/>
          </w:tcPr>
          <w:p w14:paraId="05694D40">
            <w:pPr>
              <w:pStyle w:val="4"/>
              <w:numPr>
                <w:ilvl w:val="0"/>
                <w:numId w:val="0"/>
              </w:numPr>
              <w:ind w:left="0" w:leftChars="0" w:firstLine="0" w:firstLineChars="0"/>
              <w:jc w:val="center"/>
              <w:rPr>
                <w:rFonts w:hint="default" w:ascii="Times New Roman" w:hAnsi="Times New Roman" w:cs="Times New Roman"/>
                <w:lang w:val="en-US"/>
              </w:rPr>
            </w:pPr>
            <w:r>
              <w:rPr>
                <w:rFonts w:hint="eastAsia" w:ascii="Times New Roman" w:hAnsi="Times New Roman" w:cs="Times New Roman"/>
                <w:kern w:val="2"/>
                <w:sz w:val="21"/>
                <w:szCs w:val="21"/>
                <w:lang w:val="en-US" w:eastAsia="zh-CN" w:bidi="ar-SA"/>
              </w:rPr>
              <w:t>16</w:t>
            </w:r>
          </w:p>
        </w:tc>
        <w:tc>
          <w:tcPr>
            <w:tcW w:w="2174" w:type="dxa"/>
            <w:noWrap w:val="0"/>
            <w:vAlign w:val="center"/>
          </w:tcPr>
          <w:p w14:paraId="46FFCFF7">
            <w:pPr>
              <w:pStyle w:val="4"/>
              <w:jc w:val="center"/>
              <w:rPr>
                <w:rFonts w:ascii="Times New Roman" w:hAnsi="Times New Roman" w:cs="Times New Roman"/>
              </w:rPr>
            </w:pPr>
            <w:r>
              <w:rPr>
                <w:rFonts w:ascii="Times New Roman" w:hAnsi="Times New Roman" w:cs="Times New Roman"/>
              </w:rPr>
              <w:t>森林公园退化林修复工程</w:t>
            </w:r>
          </w:p>
        </w:tc>
        <w:tc>
          <w:tcPr>
            <w:tcW w:w="5788" w:type="dxa"/>
            <w:noWrap w:val="0"/>
            <w:vAlign w:val="center"/>
          </w:tcPr>
          <w:p w14:paraId="24804649">
            <w:pPr>
              <w:pStyle w:val="4"/>
              <w:jc w:val="left"/>
              <w:rPr>
                <w:rFonts w:ascii="Times New Roman" w:hAnsi="Times New Roman" w:cs="Times New Roman"/>
              </w:rPr>
            </w:pPr>
            <w:r>
              <w:rPr>
                <w:rFonts w:ascii="Times New Roman" w:hAnsi="Times New Roman" w:cs="Times New Roman"/>
              </w:rPr>
              <w:t>该工程实施区位于森林公园内，总面积3000亩。结合目前存在的生态环境问题，采用退化林修复的方式。建设内容：按照人工修复与自然恢复相结合，宜乔则乔、宜灌则灌、宜草则草的原则，依据浑南区森林龄组、郁闭度及立地条件相关因子，结合林冠下造林更新、择伐补植等方式，培育异龄复层混交林。</w:t>
            </w:r>
          </w:p>
        </w:tc>
        <w:tc>
          <w:tcPr>
            <w:tcW w:w="1315" w:type="dxa"/>
            <w:noWrap w:val="0"/>
            <w:vAlign w:val="center"/>
          </w:tcPr>
          <w:p w14:paraId="367ABABE">
            <w:pPr>
              <w:pStyle w:val="4"/>
              <w:jc w:val="center"/>
              <w:rPr>
                <w:rFonts w:ascii="Times New Roman" w:hAnsi="Times New Roman" w:cs="Times New Roman"/>
              </w:rPr>
            </w:pPr>
            <w:r>
              <w:rPr>
                <w:rFonts w:ascii="Times New Roman" w:hAnsi="Times New Roman" w:cs="Times New Roman"/>
              </w:rPr>
              <w:t>1800</w:t>
            </w:r>
          </w:p>
        </w:tc>
        <w:tc>
          <w:tcPr>
            <w:tcW w:w="1210" w:type="dxa"/>
            <w:noWrap w:val="0"/>
            <w:vAlign w:val="center"/>
          </w:tcPr>
          <w:p w14:paraId="3923ADD7">
            <w:pPr>
              <w:pStyle w:val="4"/>
              <w:jc w:val="center"/>
              <w:rPr>
                <w:rFonts w:ascii="Times New Roman" w:hAnsi="Times New Roman" w:cs="Times New Roman"/>
              </w:rPr>
            </w:pPr>
            <w:r>
              <w:rPr>
                <w:rFonts w:ascii="Times New Roman" w:hAnsi="Times New Roman" w:cs="Times New Roman"/>
              </w:rPr>
              <w:t>2023-2036</w:t>
            </w:r>
          </w:p>
        </w:tc>
        <w:tc>
          <w:tcPr>
            <w:tcW w:w="1770" w:type="dxa"/>
            <w:noWrap w:val="0"/>
            <w:vAlign w:val="center"/>
          </w:tcPr>
          <w:p w14:paraId="4C85F020">
            <w:pPr>
              <w:pStyle w:val="4"/>
              <w:jc w:val="center"/>
              <w:rPr>
                <w:rFonts w:ascii="Times New Roman" w:hAnsi="Times New Roman" w:cs="Times New Roman"/>
              </w:rPr>
            </w:pPr>
            <w:r>
              <w:rPr>
                <w:rFonts w:ascii="Times New Roman" w:hAnsi="Times New Roman" w:cs="Times New Roman"/>
              </w:rPr>
              <w:t>棋盘山管委会</w:t>
            </w:r>
          </w:p>
        </w:tc>
      </w:tr>
      <w:tr w14:paraId="70F17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531" w:type="dxa"/>
            <w:noWrap w:val="0"/>
            <w:vAlign w:val="center"/>
          </w:tcPr>
          <w:p w14:paraId="030B7C56">
            <w:pPr>
              <w:pStyle w:val="4"/>
              <w:numPr>
                <w:ilvl w:val="0"/>
                <w:numId w:val="0"/>
              </w:numPr>
              <w:ind w:left="0" w:leftChars="0" w:firstLine="0" w:firstLineChars="0"/>
              <w:jc w:val="center"/>
              <w:rPr>
                <w:rFonts w:hint="default" w:ascii="Times New Roman" w:hAnsi="Times New Roman" w:cs="Times New Roman"/>
                <w:lang w:val="en-US"/>
              </w:rPr>
            </w:pPr>
            <w:r>
              <w:rPr>
                <w:rFonts w:hint="eastAsia" w:ascii="Times New Roman" w:hAnsi="Times New Roman" w:cs="Times New Roman"/>
                <w:kern w:val="2"/>
                <w:sz w:val="21"/>
                <w:szCs w:val="21"/>
                <w:lang w:val="en-US" w:eastAsia="zh-CN" w:bidi="ar-SA"/>
              </w:rPr>
              <w:t>17</w:t>
            </w:r>
          </w:p>
        </w:tc>
        <w:tc>
          <w:tcPr>
            <w:tcW w:w="2174" w:type="dxa"/>
            <w:noWrap w:val="0"/>
            <w:vAlign w:val="center"/>
          </w:tcPr>
          <w:p w14:paraId="503DE5F8">
            <w:pPr>
              <w:pStyle w:val="4"/>
              <w:jc w:val="center"/>
              <w:rPr>
                <w:rFonts w:ascii="Times New Roman" w:hAnsi="Times New Roman" w:cs="Times New Roman"/>
              </w:rPr>
            </w:pPr>
            <w:r>
              <w:rPr>
                <w:rFonts w:ascii="Times New Roman" w:hAnsi="Times New Roman" w:cs="Times New Roman"/>
              </w:rPr>
              <w:t>持续推进高标准农田建设</w:t>
            </w:r>
          </w:p>
        </w:tc>
        <w:tc>
          <w:tcPr>
            <w:tcW w:w="5788" w:type="dxa"/>
            <w:noWrap w:val="0"/>
            <w:vAlign w:val="center"/>
          </w:tcPr>
          <w:p w14:paraId="4FCE70BB">
            <w:pPr>
              <w:pStyle w:val="4"/>
              <w:jc w:val="left"/>
              <w:rPr>
                <w:rFonts w:ascii="Times New Roman" w:hAnsi="Times New Roman" w:cs="Times New Roman"/>
              </w:rPr>
            </w:pPr>
            <w:r>
              <w:rPr>
                <w:rFonts w:ascii="Times New Roman" w:hAnsi="Times New Roman" w:cs="Times New Roman"/>
              </w:rPr>
              <w:t>2023-2025年新建高标准农田1.44万亩，提质改造高标准农田2.01万亩；2026-2030年新建高标准农田7.2万亩，提质改造高标准农田2.81万亩。到2025年全区累计建成高标准农田3.45万亩；到2030年全区累计建成高标准农田23.46万亩，通过持续改造提升，提省高标准农田数量和质量。</w:t>
            </w:r>
          </w:p>
        </w:tc>
        <w:tc>
          <w:tcPr>
            <w:tcW w:w="1315" w:type="dxa"/>
            <w:noWrap w:val="0"/>
            <w:vAlign w:val="center"/>
          </w:tcPr>
          <w:p w14:paraId="4C4B5AD3">
            <w:pPr>
              <w:pStyle w:val="4"/>
              <w:jc w:val="center"/>
              <w:rPr>
                <w:rFonts w:ascii="Times New Roman" w:hAnsi="Times New Roman" w:cs="Times New Roman"/>
              </w:rPr>
            </w:pPr>
            <w:r>
              <w:rPr>
                <w:rFonts w:ascii="Times New Roman" w:hAnsi="Times New Roman" w:cs="Times New Roman"/>
              </w:rPr>
              <w:t>40000</w:t>
            </w:r>
          </w:p>
        </w:tc>
        <w:tc>
          <w:tcPr>
            <w:tcW w:w="1210" w:type="dxa"/>
            <w:noWrap w:val="0"/>
            <w:vAlign w:val="center"/>
          </w:tcPr>
          <w:p w14:paraId="611BF376">
            <w:pPr>
              <w:pStyle w:val="4"/>
              <w:jc w:val="center"/>
              <w:rPr>
                <w:rFonts w:ascii="Times New Roman" w:hAnsi="Times New Roman" w:cs="Times New Roman"/>
              </w:rPr>
            </w:pPr>
            <w:r>
              <w:rPr>
                <w:rFonts w:ascii="Times New Roman" w:hAnsi="Times New Roman" w:cs="Times New Roman"/>
              </w:rPr>
              <w:t>2024-2030</w:t>
            </w:r>
          </w:p>
        </w:tc>
        <w:tc>
          <w:tcPr>
            <w:tcW w:w="1770" w:type="dxa"/>
            <w:noWrap w:val="0"/>
            <w:vAlign w:val="center"/>
          </w:tcPr>
          <w:p w14:paraId="68D32606">
            <w:pPr>
              <w:pStyle w:val="4"/>
              <w:jc w:val="center"/>
              <w:rPr>
                <w:rFonts w:ascii="Times New Roman" w:hAnsi="Times New Roman" w:cs="Times New Roman"/>
              </w:rPr>
            </w:pPr>
            <w:r>
              <w:rPr>
                <w:rFonts w:ascii="Times New Roman" w:hAnsi="Times New Roman" w:cs="Times New Roman"/>
              </w:rPr>
              <w:t>区农业农村局</w:t>
            </w:r>
          </w:p>
        </w:tc>
      </w:tr>
      <w:tr w14:paraId="65162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531" w:type="dxa"/>
            <w:noWrap w:val="0"/>
            <w:vAlign w:val="center"/>
          </w:tcPr>
          <w:p w14:paraId="04B49C8D">
            <w:pPr>
              <w:pStyle w:val="4"/>
              <w:numPr>
                <w:ilvl w:val="0"/>
                <w:numId w:val="0"/>
              </w:numPr>
              <w:ind w:left="0" w:leftChars="0" w:firstLine="0" w:firstLineChars="0"/>
              <w:jc w:val="center"/>
              <w:rPr>
                <w:rFonts w:hint="default" w:ascii="Times New Roman" w:hAnsi="Times New Roman" w:cs="Times New Roman"/>
                <w:lang w:val="en-US"/>
              </w:rPr>
            </w:pPr>
            <w:r>
              <w:rPr>
                <w:rFonts w:hint="eastAsia" w:ascii="Times New Roman" w:hAnsi="Times New Roman" w:cs="Times New Roman"/>
                <w:kern w:val="2"/>
                <w:sz w:val="21"/>
                <w:szCs w:val="21"/>
                <w:lang w:val="en-US" w:eastAsia="zh-CN" w:bidi="ar-SA"/>
              </w:rPr>
              <w:t>18</w:t>
            </w:r>
          </w:p>
        </w:tc>
        <w:tc>
          <w:tcPr>
            <w:tcW w:w="2174" w:type="dxa"/>
            <w:noWrap w:val="0"/>
            <w:vAlign w:val="center"/>
          </w:tcPr>
          <w:p w14:paraId="24BB61EF">
            <w:pPr>
              <w:pStyle w:val="4"/>
              <w:jc w:val="center"/>
              <w:rPr>
                <w:rFonts w:ascii="Times New Roman" w:hAnsi="Times New Roman" w:cs="Times New Roman"/>
              </w:rPr>
            </w:pPr>
            <w:r>
              <w:rPr>
                <w:rFonts w:ascii="Times New Roman" w:hAnsi="Times New Roman" w:cs="Times New Roman"/>
              </w:rPr>
              <w:t>全域旅游绿色生态廊道建设</w:t>
            </w:r>
          </w:p>
        </w:tc>
        <w:tc>
          <w:tcPr>
            <w:tcW w:w="5788" w:type="dxa"/>
            <w:noWrap w:val="0"/>
            <w:vAlign w:val="center"/>
          </w:tcPr>
          <w:p w14:paraId="32B9CFD6">
            <w:pPr>
              <w:pStyle w:val="4"/>
              <w:jc w:val="left"/>
              <w:rPr>
                <w:rFonts w:ascii="Times New Roman" w:hAnsi="Times New Roman" w:cs="Times New Roman"/>
              </w:rPr>
            </w:pPr>
            <w:r>
              <w:rPr>
                <w:rFonts w:ascii="Times New Roman" w:hAnsi="Times New Roman" w:cs="Times New Roman"/>
              </w:rPr>
              <w:t>打造全域旅游绿色生态廊道，按照“绿水青山就是金山银山”的理念，坚持把特色农业、农事体验与自然景观打造统一起来，加大生态公益林、生态植被保护，加快构建景区之间生态廊道全面提升城乡环境质量。</w:t>
            </w:r>
          </w:p>
        </w:tc>
        <w:tc>
          <w:tcPr>
            <w:tcW w:w="1315" w:type="dxa"/>
            <w:noWrap w:val="0"/>
            <w:vAlign w:val="center"/>
          </w:tcPr>
          <w:p w14:paraId="12E5D40C">
            <w:pPr>
              <w:pStyle w:val="4"/>
              <w:jc w:val="center"/>
              <w:rPr>
                <w:rFonts w:ascii="Times New Roman" w:hAnsi="Times New Roman" w:cs="Times New Roman"/>
              </w:rPr>
            </w:pPr>
            <w:r>
              <w:rPr>
                <w:rFonts w:ascii="Times New Roman" w:hAnsi="Times New Roman" w:cs="Times New Roman"/>
              </w:rPr>
              <w:t>14000</w:t>
            </w:r>
          </w:p>
        </w:tc>
        <w:tc>
          <w:tcPr>
            <w:tcW w:w="1210" w:type="dxa"/>
            <w:noWrap w:val="0"/>
            <w:vAlign w:val="center"/>
          </w:tcPr>
          <w:p w14:paraId="5C546178">
            <w:pPr>
              <w:pStyle w:val="4"/>
              <w:jc w:val="center"/>
              <w:rPr>
                <w:rFonts w:ascii="Times New Roman" w:hAnsi="Times New Roman" w:cs="Times New Roman"/>
              </w:rPr>
            </w:pPr>
            <w:r>
              <w:rPr>
                <w:rFonts w:ascii="Times New Roman" w:hAnsi="Times New Roman" w:cs="Times New Roman"/>
              </w:rPr>
              <w:t>2024-2030</w:t>
            </w:r>
          </w:p>
        </w:tc>
        <w:tc>
          <w:tcPr>
            <w:tcW w:w="1770" w:type="dxa"/>
            <w:noWrap w:val="0"/>
            <w:vAlign w:val="center"/>
          </w:tcPr>
          <w:p w14:paraId="17831236">
            <w:pPr>
              <w:pStyle w:val="4"/>
              <w:jc w:val="center"/>
              <w:rPr>
                <w:rFonts w:hint="eastAsia" w:ascii="Times New Roman" w:hAnsi="Times New Roman" w:eastAsia="仿宋_GB2312" w:cs="Times New Roman"/>
                <w:lang w:eastAsia="zh-CN"/>
              </w:rPr>
            </w:pPr>
            <w:r>
              <w:rPr>
                <w:rFonts w:hint="eastAsia" w:ascii="Times New Roman" w:hAnsi="Times New Roman" w:cs="Times New Roman"/>
                <w:lang w:eastAsia="zh-CN"/>
              </w:rPr>
              <w:t>区文旅广电局</w:t>
            </w:r>
          </w:p>
        </w:tc>
      </w:tr>
      <w:tr w14:paraId="38FE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31" w:type="dxa"/>
            <w:noWrap w:val="0"/>
            <w:vAlign w:val="center"/>
          </w:tcPr>
          <w:p w14:paraId="4AB97A1C">
            <w:pPr>
              <w:pStyle w:val="4"/>
              <w:jc w:val="center"/>
              <w:rPr>
                <w:rFonts w:ascii="Times New Roman" w:hAnsi="Times New Roman" w:cs="Times New Roman"/>
              </w:rPr>
            </w:pPr>
          </w:p>
        </w:tc>
        <w:tc>
          <w:tcPr>
            <w:tcW w:w="7962" w:type="dxa"/>
            <w:gridSpan w:val="2"/>
            <w:noWrap w:val="0"/>
            <w:vAlign w:val="center"/>
          </w:tcPr>
          <w:p w14:paraId="046E9B71">
            <w:pPr>
              <w:pStyle w:val="4"/>
              <w:jc w:val="center"/>
              <w:rPr>
                <w:rFonts w:ascii="Times New Roman" w:hAnsi="Times New Roman" w:cs="Times New Roman"/>
              </w:rPr>
            </w:pPr>
            <w:r>
              <w:rPr>
                <w:rFonts w:ascii="Times New Roman" w:hAnsi="Times New Roman" w:cs="Times New Roman"/>
              </w:rPr>
              <w:t>小计</w:t>
            </w:r>
          </w:p>
        </w:tc>
        <w:tc>
          <w:tcPr>
            <w:tcW w:w="1315" w:type="dxa"/>
            <w:noWrap w:val="0"/>
            <w:vAlign w:val="center"/>
          </w:tcPr>
          <w:p w14:paraId="737DAAA3">
            <w:pPr>
              <w:pStyle w:val="4"/>
              <w:jc w:val="center"/>
              <w:rPr>
                <w:rFonts w:ascii="Times New Roman" w:hAnsi="Times New Roman" w:cs="Times New Roman"/>
              </w:rPr>
            </w:pPr>
            <w:r>
              <w:rPr>
                <w:rFonts w:ascii="Times New Roman" w:hAnsi="Times New Roman" w:cs="Times New Roman"/>
              </w:rPr>
              <w:t>77800</w:t>
            </w:r>
          </w:p>
        </w:tc>
        <w:tc>
          <w:tcPr>
            <w:tcW w:w="1210" w:type="dxa"/>
            <w:noWrap w:val="0"/>
            <w:vAlign w:val="center"/>
          </w:tcPr>
          <w:p w14:paraId="11A89C44">
            <w:pPr>
              <w:pStyle w:val="4"/>
              <w:jc w:val="center"/>
              <w:rPr>
                <w:rFonts w:ascii="Times New Roman" w:hAnsi="Times New Roman" w:cs="Times New Roman"/>
              </w:rPr>
            </w:pPr>
          </w:p>
        </w:tc>
        <w:tc>
          <w:tcPr>
            <w:tcW w:w="1770" w:type="dxa"/>
            <w:noWrap w:val="0"/>
            <w:vAlign w:val="center"/>
          </w:tcPr>
          <w:p w14:paraId="6129514E">
            <w:pPr>
              <w:pStyle w:val="4"/>
              <w:jc w:val="center"/>
              <w:rPr>
                <w:rFonts w:ascii="Times New Roman" w:hAnsi="Times New Roman" w:cs="Times New Roman"/>
              </w:rPr>
            </w:pPr>
          </w:p>
        </w:tc>
      </w:tr>
      <w:tr w14:paraId="6EFC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788" w:type="dxa"/>
            <w:gridSpan w:val="6"/>
            <w:noWrap w:val="0"/>
            <w:vAlign w:val="center"/>
          </w:tcPr>
          <w:p w14:paraId="598541C6">
            <w:pPr>
              <w:pStyle w:val="4"/>
              <w:jc w:val="center"/>
              <w:rPr>
                <w:rFonts w:ascii="Times New Roman" w:hAnsi="Times New Roman" w:cs="Times New Roman"/>
              </w:rPr>
            </w:pPr>
            <w:r>
              <w:rPr>
                <w:rFonts w:ascii="Times New Roman" w:hAnsi="Times New Roman" w:cs="Times New Roman"/>
              </w:rPr>
              <w:t>四、绿色低碳发展</w:t>
            </w:r>
          </w:p>
        </w:tc>
      </w:tr>
      <w:tr w14:paraId="7A59D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1" w:hRule="atLeast"/>
          <w:jc w:val="center"/>
        </w:trPr>
        <w:tc>
          <w:tcPr>
            <w:tcW w:w="531" w:type="dxa"/>
            <w:noWrap w:val="0"/>
            <w:vAlign w:val="center"/>
          </w:tcPr>
          <w:p w14:paraId="31DF9E57">
            <w:pPr>
              <w:pStyle w:val="4"/>
              <w:numPr>
                <w:ilvl w:val="0"/>
                <w:numId w:val="0"/>
              </w:numPr>
              <w:ind w:left="0" w:leftChars="0" w:firstLine="0" w:firstLineChars="0"/>
              <w:jc w:val="center"/>
              <w:rPr>
                <w:rFonts w:hint="default" w:ascii="Times New Roman" w:hAnsi="Times New Roman" w:cs="Times New Roman"/>
                <w:lang w:val="en-US"/>
              </w:rPr>
            </w:pPr>
            <w:bookmarkStart w:id="5" w:name="_Hlk103262699"/>
            <w:r>
              <w:rPr>
                <w:rFonts w:hint="eastAsia" w:ascii="Times New Roman" w:hAnsi="Times New Roman" w:cs="Times New Roman"/>
                <w:kern w:val="2"/>
                <w:sz w:val="21"/>
                <w:szCs w:val="21"/>
                <w:lang w:val="en-US" w:eastAsia="zh-CN" w:bidi="ar-SA"/>
              </w:rPr>
              <w:t>19</w:t>
            </w:r>
          </w:p>
        </w:tc>
        <w:tc>
          <w:tcPr>
            <w:tcW w:w="2174" w:type="dxa"/>
            <w:noWrap w:val="0"/>
            <w:vAlign w:val="center"/>
          </w:tcPr>
          <w:p w14:paraId="243672D7">
            <w:pPr>
              <w:pStyle w:val="4"/>
              <w:jc w:val="center"/>
              <w:rPr>
                <w:rFonts w:ascii="Times New Roman" w:hAnsi="Times New Roman" w:cs="Times New Roman"/>
                <w:lang w:bidi="ar"/>
              </w:rPr>
            </w:pPr>
            <w:r>
              <w:rPr>
                <w:rFonts w:ascii="Times New Roman" w:hAnsi="Times New Roman" w:cs="Times New Roman"/>
                <w:lang w:bidi="ar"/>
              </w:rPr>
              <w:t>恒顺充电桩生产基地项目</w:t>
            </w:r>
          </w:p>
        </w:tc>
        <w:tc>
          <w:tcPr>
            <w:tcW w:w="5788" w:type="dxa"/>
            <w:noWrap w:val="0"/>
            <w:vAlign w:val="center"/>
          </w:tcPr>
          <w:p w14:paraId="00E2C699">
            <w:pPr>
              <w:pStyle w:val="4"/>
              <w:jc w:val="left"/>
              <w:rPr>
                <w:rFonts w:ascii="Times New Roman" w:hAnsi="Times New Roman" w:cs="Times New Roman"/>
                <w:lang w:bidi="ar"/>
              </w:rPr>
            </w:pPr>
            <w:r>
              <w:rPr>
                <w:rFonts w:ascii="Times New Roman" w:hAnsi="Times New Roman" w:cs="Times New Roman"/>
                <w:lang w:bidi="ar"/>
              </w:rPr>
              <w:t>恒顺充电桩生产基地项目项目由辽宁恒顺新能源科技公司投资建设，该公司是专业电动汽车充电桩研发生产企业，计划投资1亿元人民币，拟租用沈阳市浑南区综合保税区两栋工业厂房，每栋约7500</w:t>
            </w:r>
            <w:r>
              <w:rPr>
                <w:rFonts w:ascii="Times New Roman" w:hAnsi="Times New Roman" w:eastAsia="Segoe UI Symbol" w:cs="Times New Roman"/>
                <w:lang w:bidi="ar"/>
              </w:rPr>
              <w:t>㎡</w:t>
            </w:r>
            <w:r>
              <w:rPr>
                <w:rFonts w:ascii="Times New Roman" w:hAnsi="Times New Roman" w:cs="Times New Roman"/>
                <w:lang w:bidi="ar"/>
              </w:rPr>
              <w:t>，总面积约15000</w:t>
            </w:r>
            <w:r>
              <w:rPr>
                <w:rFonts w:ascii="Times New Roman" w:hAnsi="Times New Roman" w:eastAsia="Segoe UI Symbol" w:cs="Times New Roman"/>
                <w:lang w:bidi="ar"/>
              </w:rPr>
              <w:t>㎡</w:t>
            </w:r>
            <w:r>
              <w:rPr>
                <w:rFonts w:ascii="Times New Roman" w:hAnsi="Times New Roman" w:cs="Times New Roman"/>
                <w:lang w:bidi="ar"/>
              </w:rPr>
              <w:t>，作为恒顺公司的实验室和研究院组装车间，预计2020年建成首批大功率智能柔性充电示范站，2020年实现产品量产，项目正式建成达产后，预计年均可实现销售收入10亿元人民币，年均实现利润为1.5亿元人民币，年均可上缴税收5000万人民币。恒顺公司将从康平迁到浑南区。</w:t>
            </w:r>
          </w:p>
        </w:tc>
        <w:tc>
          <w:tcPr>
            <w:tcW w:w="1315" w:type="dxa"/>
            <w:noWrap w:val="0"/>
            <w:vAlign w:val="center"/>
          </w:tcPr>
          <w:p w14:paraId="3099B051">
            <w:pPr>
              <w:pStyle w:val="4"/>
              <w:jc w:val="center"/>
              <w:rPr>
                <w:rFonts w:ascii="Times New Roman" w:hAnsi="Times New Roman" w:cs="Times New Roman"/>
              </w:rPr>
            </w:pPr>
            <w:r>
              <w:rPr>
                <w:rFonts w:ascii="Times New Roman" w:hAnsi="Times New Roman" w:cs="Times New Roman"/>
                <w:lang w:bidi="ar"/>
              </w:rPr>
              <w:t>10000</w:t>
            </w:r>
          </w:p>
        </w:tc>
        <w:tc>
          <w:tcPr>
            <w:tcW w:w="1210" w:type="dxa"/>
            <w:noWrap w:val="0"/>
            <w:vAlign w:val="center"/>
          </w:tcPr>
          <w:p w14:paraId="2961314F">
            <w:pPr>
              <w:pStyle w:val="4"/>
              <w:jc w:val="center"/>
              <w:rPr>
                <w:rFonts w:ascii="Times New Roman" w:hAnsi="Times New Roman" w:cs="Times New Roman"/>
              </w:rPr>
            </w:pPr>
            <w:r>
              <w:rPr>
                <w:rFonts w:ascii="Times New Roman" w:hAnsi="Times New Roman" w:cs="Times New Roman"/>
              </w:rPr>
              <w:t>2023-2030</w:t>
            </w:r>
          </w:p>
        </w:tc>
        <w:tc>
          <w:tcPr>
            <w:tcW w:w="1770" w:type="dxa"/>
            <w:noWrap w:val="0"/>
            <w:vAlign w:val="center"/>
          </w:tcPr>
          <w:p w14:paraId="073D1993">
            <w:pPr>
              <w:pStyle w:val="4"/>
              <w:jc w:val="center"/>
              <w:rPr>
                <w:rFonts w:ascii="Times New Roman" w:hAnsi="Times New Roman" w:cs="Times New Roman"/>
              </w:rPr>
            </w:pPr>
            <w:r>
              <w:rPr>
                <w:rFonts w:ascii="Times New Roman" w:hAnsi="Times New Roman" w:cs="Times New Roman"/>
              </w:rPr>
              <w:t>区发改局、区工信局</w:t>
            </w:r>
          </w:p>
        </w:tc>
      </w:tr>
      <w:tr w14:paraId="5490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531" w:type="dxa"/>
            <w:noWrap w:val="0"/>
            <w:vAlign w:val="center"/>
          </w:tcPr>
          <w:p w14:paraId="2EF9CC5A">
            <w:pPr>
              <w:pStyle w:val="4"/>
              <w:numPr>
                <w:ilvl w:val="0"/>
                <w:numId w:val="0"/>
              </w:numPr>
              <w:ind w:left="0" w:leftChars="0" w:firstLine="0" w:firstLineChars="0"/>
              <w:jc w:val="center"/>
              <w:rPr>
                <w:rFonts w:hint="default" w:ascii="Times New Roman" w:hAnsi="Times New Roman" w:cs="Times New Roman"/>
                <w:lang w:val="en-US"/>
              </w:rPr>
            </w:pPr>
            <w:r>
              <w:rPr>
                <w:rFonts w:hint="eastAsia" w:ascii="Times New Roman" w:hAnsi="Times New Roman" w:cs="Times New Roman"/>
                <w:kern w:val="2"/>
                <w:sz w:val="21"/>
                <w:szCs w:val="21"/>
                <w:lang w:val="en-US" w:eastAsia="zh-CN" w:bidi="ar-SA"/>
              </w:rPr>
              <w:t>20</w:t>
            </w:r>
          </w:p>
        </w:tc>
        <w:tc>
          <w:tcPr>
            <w:tcW w:w="2174" w:type="dxa"/>
            <w:noWrap w:val="0"/>
            <w:vAlign w:val="center"/>
          </w:tcPr>
          <w:p w14:paraId="4BD8C9A5">
            <w:pPr>
              <w:pStyle w:val="4"/>
              <w:jc w:val="center"/>
              <w:rPr>
                <w:rFonts w:ascii="Times New Roman" w:hAnsi="Times New Roman" w:cs="Times New Roman"/>
              </w:rPr>
            </w:pPr>
            <w:r>
              <w:rPr>
                <w:rFonts w:ascii="Times New Roman" w:hAnsi="Times New Roman" w:cs="Times New Roman"/>
              </w:rPr>
              <w:t>全面推动信息化智慧景区建设</w:t>
            </w:r>
          </w:p>
        </w:tc>
        <w:tc>
          <w:tcPr>
            <w:tcW w:w="5788" w:type="dxa"/>
            <w:noWrap w:val="0"/>
            <w:vAlign w:val="center"/>
          </w:tcPr>
          <w:p w14:paraId="05FA775C">
            <w:pPr>
              <w:pStyle w:val="4"/>
              <w:jc w:val="left"/>
              <w:rPr>
                <w:rFonts w:ascii="Times New Roman" w:hAnsi="Times New Roman" w:cs="Times New Roman"/>
              </w:rPr>
            </w:pPr>
            <w:r>
              <w:rPr>
                <w:rFonts w:ascii="Times New Roman" w:hAnsi="Times New Roman" w:cs="Times New Roman"/>
              </w:rPr>
              <w:t>加强棋盘山地区生态文明建设和环境治理，坚持棋盘山地区高质量发展的绿色基底。着力提升基础设施保障能力，补齐交通基础设施短板，全面推动信息化智慧景区建设。</w:t>
            </w:r>
          </w:p>
        </w:tc>
        <w:tc>
          <w:tcPr>
            <w:tcW w:w="1315" w:type="dxa"/>
            <w:noWrap w:val="0"/>
            <w:vAlign w:val="center"/>
          </w:tcPr>
          <w:p w14:paraId="5BE71D4E">
            <w:pPr>
              <w:pStyle w:val="4"/>
              <w:jc w:val="center"/>
              <w:rPr>
                <w:rFonts w:ascii="Times New Roman" w:hAnsi="Times New Roman" w:cs="Times New Roman"/>
              </w:rPr>
            </w:pPr>
            <w:r>
              <w:rPr>
                <w:rFonts w:ascii="Times New Roman" w:hAnsi="Times New Roman" w:cs="Times New Roman"/>
              </w:rPr>
              <w:t>1000</w:t>
            </w:r>
          </w:p>
        </w:tc>
        <w:tc>
          <w:tcPr>
            <w:tcW w:w="1210" w:type="dxa"/>
            <w:noWrap w:val="0"/>
            <w:vAlign w:val="center"/>
          </w:tcPr>
          <w:p w14:paraId="3C5B551A">
            <w:pPr>
              <w:pStyle w:val="4"/>
              <w:jc w:val="center"/>
              <w:rPr>
                <w:rFonts w:ascii="Times New Roman" w:hAnsi="Times New Roman" w:cs="Times New Roman"/>
              </w:rPr>
            </w:pPr>
            <w:r>
              <w:rPr>
                <w:rFonts w:ascii="Times New Roman" w:hAnsi="Times New Roman" w:cs="Times New Roman"/>
              </w:rPr>
              <w:t>2024-2030</w:t>
            </w:r>
          </w:p>
        </w:tc>
        <w:tc>
          <w:tcPr>
            <w:tcW w:w="1770" w:type="dxa"/>
            <w:noWrap w:val="0"/>
            <w:vAlign w:val="center"/>
          </w:tcPr>
          <w:p w14:paraId="56791670">
            <w:pPr>
              <w:pStyle w:val="4"/>
              <w:jc w:val="center"/>
              <w:rPr>
                <w:rFonts w:ascii="Times New Roman" w:hAnsi="Times New Roman" w:cs="Times New Roman"/>
              </w:rPr>
            </w:pPr>
            <w:r>
              <w:rPr>
                <w:rFonts w:ascii="Times New Roman" w:hAnsi="Times New Roman" w:cs="Times New Roman"/>
              </w:rPr>
              <w:t>棋盘山管委会</w:t>
            </w:r>
          </w:p>
        </w:tc>
      </w:tr>
      <w:bookmarkEnd w:id="5"/>
      <w:tr w14:paraId="07613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jc w:val="center"/>
        </w:trPr>
        <w:tc>
          <w:tcPr>
            <w:tcW w:w="531" w:type="dxa"/>
            <w:noWrap w:val="0"/>
            <w:vAlign w:val="center"/>
          </w:tcPr>
          <w:p w14:paraId="39CF9B23">
            <w:pPr>
              <w:pStyle w:val="4"/>
              <w:numPr>
                <w:ilvl w:val="0"/>
                <w:numId w:val="0"/>
              </w:numPr>
              <w:ind w:left="0" w:leftChars="0" w:firstLine="0" w:firstLineChars="0"/>
              <w:jc w:val="center"/>
              <w:rPr>
                <w:rFonts w:hint="default" w:ascii="Times New Roman" w:hAnsi="Times New Roman" w:cs="Times New Roman"/>
                <w:lang w:val="en-US"/>
              </w:rPr>
            </w:pPr>
            <w:r>
              <w:rPr>
                <w:rFonts w:hint="eastAsia" w:ascii="Times New Roman" w:hAnsi="Times New Roman" w:cs="Times New Roman"/>
                <w:kern w:val="2"/>
                <w:sz w:val="21"/>
                <w:szCs w:val="21"/>
                <w:lang w:val="en-US" w:eastAsia="zh-CN" w:bidi="ar-SA"/>
              </w:rPr>
              <w:t>21</w:t>
            </w:r>
          </w:p>
        </w:tc>
        <w:tc>
          <w:tcPr>
            <w:tcW w:w="2174" w:type="dxa"/>
            <w:noWrap w:val="0"/>
            <w:vAlign w:val="center"/>
          </w:tcPr>
          <w:p w14:paraId="34DB4E4D">
            <w:pPr>
              <w:pStyle w:val="4"/>
              <w:jc w:val="center"/>
              <w:rPr>
                <w:rFonts w:ascii="Times New Roman" w:hAnsi="Times New Roman" w:cs="Times New Roman"/>
              </w:rPr>
            </w:pPr>
            <w:r>
              <w:rPr>
                <w:rFonts w:ascii="Times New Roman" w:hAnsi="Times New Roman" w:cs="Times New Roman"/>
              </w:rPr>
              <w:t>乡村农耕生活体验集聚区</w:t>
            </w:r>
          </w:p>
        </w:tc>
        <w:tc>
          <w:tcPr>
            <w:tcW w:w="5788" w:type="dxa"/>
            <w:noWrap w:val="0"/>
            <w:vAlign w:val="center"/>
          </w:tcPr>
          <w:p w14:paraId="5C3B0B2B">
            <w:pPr>
              <w:pStyle w:val="4"/>
              <w:jc w:val="left"/>
              <w:rPr>
                <w:rFonts w:ascii="Times New Roman" w:hAnsi="Times New Roman" w:cs="Times New Roman"/>
              </w:rPr>
            </w:pPr>
            <w:r>
              <w:rPr>
                <w:rFonts w:ascii="Times New Roman" w:hAnsi="Times New Roman" w:cs="Times New Roman"/>
              </w:rPr>
              <w:t>完善沈棋线、沈祝常富线、沈李线等三条都市休闲农业线路，策划打造一批符合乡村环境特点的观光农业、采摘农业、认领农业、共享农业等田园综合体、采摘园、休闲农业园、农家乐、连锁民宿及农商旅融合项目，打造一批市民休闲精品“打卡地”</w:t>
            </w:r>
          </w:p>
          <w:p w14:paraId="1BE8C5AD">
            <w:pPr>
              <w:pStyle w:val="4"/>
              <w:jc w:val="left"/>
              <w:rPr>
                <w:rFonts w:ascii="Times New Roman" w:hAnsi="Times New Roman" w:cs="Times New Roman"/>
              </w:rPr>
            </w:pPr>
            <w:r>
              <w:rPr>
                <w:rFonts w:ascii="Times New Roman" w:hAnsi="Times New Roman" w:cs="Times New Roman"/>
              </w:rPr>
              <w:t>以“奉天城南，北国之村”为主题，以“浑南金三角，烟村七八家”为形象定位，通过旅游要素的整合、别出心裁的包装、系统高效的运营，打造传统乡土中的精品旅游项目，打响北国乡村旅游品牌</w:t>
            </w:r>
            <w:r>
              <w:rPr>
                <w:rFonts w:hint="eastAsia" w:ascii="Times New Roman" w:hAnsi="Times New Roman" w:cs="Times New Roman"/>
              </w:rPr>
              <w:t>。</w:t>
            </w:r>
          </w:p>
        </w:tc>
        <w:tc>
          <w:tcPr>
            <w:tcW w:w="1315" w:type="dxa"/>
            <w:noWrap w:val="0"/>
            <w:vAlign w:val="center"/>
          </w:tcPr>
          <w:p w14:paraId="1FB69E7E">
            <w:pPr>
              <w:pStyle w:val="4"/>
              <w:jc w:val="center"/>
              <w:rPr>
                <w:rFonts w:ascii="Times New Roman" w:hAnsi="Times New Roman" w:cs="Times New Roman"/>
              </w:rPr>
            </w:pPr>
            <w:r>
              <w:rPr>
                <w:rFonts w:ascii="Times New Roman" w:hAnsi="Times New Roman" w:cs="Times New Roman"/>
              </w:rPr>
              <w:t>800</w:t>
            </w:r>
          </w:p>
        </w:tc>
        <w:tc>
          <w:tcPr>
            <w:tcW w:w="1210" w:type="dxa"/>
            <w:noWrap w:val="0"/>
            <w:vAlign w:val="center"/>
          </w:tcPr>
          <w:p w14:paraId="52207095">
            <w:pPr>
              <w:pStyle w:val="4"/>
              <w:jc w:val="center"/>
              <w:rPr>
                <w:rFonts w:ascii="Times New Roman" w:hAnsi="Times New Roman" w:cs="Times New Roman"/>
              </w:rPr>
            </w:pPr>
            <w:r>
              <w:rPr>
                <w:rFonts w:ascii="Times New Roman" w:hAnsi="Times New Roman" w:cs="Times New Roman"/>
              </w:rPr>
              <w:t>2024-2030</w:t>
            </w:r>
          </w:p>
        </w:tc>
        <w:tc>
          <w:tcPr>
            <w:tcW w:w="1770" w:type="dxa"/>
            <w:noWrap w:val="0"/>
            <w:vAlign w:val="center"/>
          </w:tcPr>
          <w:p w14:paraId="615CD28C">
            <w:pPr>
              <w:pStyle w:val="4"/>
              <w:jc w:val="center"/>
              <w:rPr>
                <w:rFonts w:ascii="Times New Roman" w:hAnsi="Times New Roman" w:cs="Times New Roman"/>
              </w:rPr>
            </w:pPr>
            <w:r>
              <w:rPr>
                <w:rFonts w:hint="eastAsia" w:ascii="Times New Roman" w:hAnsi="Times New Roman" w:cs="Times New Roman"/>
                <w:lang w:eastAsia="zh-CN"/>
              </w:rPr>
              <w:t>区文旅广电局</w:t>
            </w:r>
            <w:r>
              <w:rPr>
                <w:rFonts w:ascii="Times New Roman" w:hAnsi="Times New Roman" w:cs="Times New Roman"/>
              </w:rPr>
              <w:t>、区农业农村局</w:t>
            </w:r>
          </w:p>
        </w:tc>
      </w:tr>
      <w:tr w14:paraId="3E874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31" w:type="dxa"/>
            <w:noWrap w:val="0"/>
            <w:vAlign w:val="center"/>
          </w:tcPr>
          <w:p w14:paraId="351B304C">
            <w:pPr>
              <w:pStyle w:val="4"/>
              <w:jc w:val="center"/>
              <w:rPr>
                <w:rFonts w:ascii="Times New Roman" w:hAnsi="Times New Roman" w:cs="Times New Roman"/>
              </w:rPr>
            </w:pPr>
          </w:p>
        </w:tc>
        <w:tc>
          <w:tcPr>
            <w:tcW w:w="7962" w:type="dxa"/>
            <w:gridSpan w:val="2"/>
            <w:noWrap w:val="0"/>
            <w:vAlign w:val="center"/>
          </w:tcPr>
          <w:p w14:paraId="1B82B195">
            <w:pPr>
              <w:pStyle w:val="4"/>
              <w:jc w:val="center"/>
              <w:rPr>
                <w:rFonts w:ascii="Times New Roman" w:hAnsi="Times New Roman" w:cs="Times New Roman"/>
              </w:rPr>
            </w:pPr>
            <w:r>
              <w:rPr>
                <w:rFonts w:ascii="Times New Roman" w:hAnsi="Times New Roman" w:cs="Times New Roman"/>
              </w:rPr>
              <w:t>小计</w:t>
            </w:r>
          </w:p>
        </w:tc>
        <w:tc>
          <w:tcPr>
            <w:tcW w:w="1315" w:type="dxa"/>
            <w:noWrap w:val="0"/>
            <w:vAlign w:val="center"/>
          </w:tcPr>
          <w:p w14:paraId="3631898C">
            <w:pPr>
              <w:pStyle w:val="4"/>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18</w:t>
            </w:r>
            <w:r>
              <w:rPr>
                <w:rFonts w:ascii="Times New Roman" w:hAnsi="Times New Roman" w:cs="Times New Roman"/>
              </w:rPr>
              <w:t>00</w:t>
            </w:r>
          </w:p>
        </w:tc>
        <w:tc>
          <w:tcPr>
            <w:tcW w:w="2980" w:type="dxa"/>
            <w:gridSpan w:val="2"/>
            <w:noWrap w:val="0"/>
            <w:vAlign w:val="center"/>
          </w:tcPr>
          <w:p w14:paraId="1194052F">
            <w:pPr>
              <w:pStyle w:val="4"/>
              <w:jc w:val="center"/>
              <w:rPr>
                <w:rFonts w:ascii="Times New Roman" w:hAnsi="Times New Roman" w:cs="Times New Roman"/>
              </w:rPr>
            </w:pPr>
          </w:p>
        </w:tc>
      </w:tr>
      <w:tr w14:paraId="00D6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2788" w:type="dxa"/>
            <w:gridSpan w:val="6"/>
            <w:noWrap w:val="0"/>
            <w:vAlign w:val="center"/>
          </w:tcPr>
          <w:p w14:paraId="40AD2F7F">
            <w:pPr>
              <w:pStyle w:val="4"/>
              <w:jc w:val="center"/>
              <w:rPr>
                <w:rFonts w:ascii="Times New Roman" w:hAnsi="Times New Roman" w:cs="Times New Roman"/>
              </w:rPr>
            </w:pPr>
            <w:r>
              <w:rPr>
                <w:rFonts w:ascii="Times New Roman" w:hAnsi="Times New Roman" w:cs="Times New Roman"/>
              </w:rPr>
              <w:t>五、生态文化弘扬</w:t>
            </w:r>
          </w:p>
        </w:tc>
      </w:tr>
      <w:tr w14:paraId="6574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531" w:type="dxa"/>
            <w:noWrap w:val="0"/>
            <w:vAlign w:val="center"/>
          </w:tcPr>
          <w:p w14:paraId="7241CA57">
            <w:pPr>
              <w:pStyle w:val="4"/>
              <w:numPr>
                <w:ilvl w:val="0"/>
                <w:numId w:val="0"/>
              </w:numPr>
              <w:ind w:left="0" w:leftChars="0" w:firstLine="0" w:firstLineChars="0"/>
              <w:jc w:val="center"/>
              <w:rPr>
                <w:rFonts w:hint="default" w:ascii="Times New Roman" w:hAnsi="Times New Roman" w:cs="Times New Roman"/>
                <w:lang w:val="en-US"/>
              </w:rPr>
            </w:pPr>
            <w:r>
              <w:rPr>
                <w:rFonts w:hint="eastAsia" w:ascii="Times New Roman" w:hAnsi="Times New Roman" w:cs="Times New Roman"/>
                <w:kern w:val="2"/>
                <w:sz w:val="21"/>
                <w:szCs w:val="21"/>
                <w:lang w:val="en-US" w:eastAsia="zh-CN" w:bidi="ar-SA"/>
              </w:rPr>
              <w:t>22</w:t>
            </w:r>
          </w:p>
        </w:tc>
        <w:tc>
          <w:tcPr>
            <w:tcW w:w="2174" w:type="dxa"/>
            <w:noWrap w:val="0"/>
            <w:vAlign w:val="center"/>
          </w:tcPr>
          <w:p w14:paraId="4D864ED8">
            <w:pPr>
              <w:pStyle w:val="4"/>
              <w:jc w:val="center"/>
              <w:rPr>
                <w:rFonts w:ascii="Times New Roman" w:hAnsi="Times New Roman" w:cs="Times New Roman"/>
              </w:rPr>
            </w:pPr>
            <w:r>
              <w:rPr>
                <w:rFonts w:ascii="Times New Roman" w:hAnsi="Times New Roman" w:cs="Times New Roman"/>
              </w:rPr>
              <w:t>打造“文化惠民平台”公共服务体系</w:t>
            </w:r>
          </w:p>
        </w:tc>
        <w:tc>
          <w:tcPr>
            <w:tcW w:w="5788" w:type="dxa"/>
            <w:noWrap w:val="0"/>
            <w:vAlign w:val="center"/>
          </w:tcPr>
          <w:p w14:paraId="3E758E62">
            <w:pPr>
              <w:pStyle w:val="4"/>
              <w:jc w:val="left"/>
              <w:rPr>
                <w:rFonts w:ascii="Times New Roman" w:hAnsi="Times New Roman" w:cs="Times New Roman"/>
              </w:rPr>
            </w:pPr>
            <w:r>
              <w:rPr>
                <w:rFonts w:ascii="Times New Roman" w:hAnsi="Times New Roman" w:cs="Times New Roman"/>
              </w:rPr>
              <w:t>提质升级，以制度化、标准化引领公共文化服务的普惠化和均等化，通过互联网+文化，为市民提供一站式现代城市公共文化服务。</w:t>
            </w:r>
          </w:p>
        </w:tc>
        <w:tc>
          <w:tcPr>
            <w:tcW w:w="1315" w:type="dxa"/>
            <w:noWrap w:val="0"/>
            <w:vAlign w:val="center"/>
          </w:tcPr>
          <w:p w14:paraId="73785A4F">
            <w:pPr>
              <w:pStyle w:val="4"/>
              <w:jc w:val="center"/>
              <w:rPr>
                <w:rFonts w:ascii="Times New Roman" w:hAnsi="Times New Roman" w:cs="Times New Roman"/>
              </w:rPr>
            </w:pPr>
            <w:r>
              <w:rPr>
                <w:rFonts w:ascii="Times New Roman" w:hAnsi="Times New Roman" w:cs="Times New Roman"/>
              </w:rPr>
              <w:t>300</w:t>
            </w:r>
          </w:p>
        </w:tc>
        <w:tc>
          <w:tcPr>
            <w:tcW w:w="1210" w:type="dxa"/>
            <w:noWrap w:val="0"/>
            <w:vAlign w:val="center"/>
          </w:tcPr>
          <w:p w14:paraId="6E7EBF7B">
            <w:pPr>
              <w:pStyle w:val="4"/>
              <w:jc w:val="center"/>
              <w:rPr>
                <w:rFonts w:ascii="Times New Roman" w:hAnsi="Times New Roman" w:cs="Times New Roman"/>
              </w:rPr>
            </w:pPr>
            <w:r>
              <w:rPr>
                <w:rFonts w:ascii="Times New Roman" w:hAnsi="Times New Roman" w:cs="Times New Roman"/>
              </w:rPr>
              <w:t>2024-2026</w:t>
            </w:r>
          </w:p>
        </w:tc>
        <w:tc>
          <w:tcPr>
            <w:tcW w:w="1770" w:type="dxa"/>
            <w:noWrap w:val="0"/>
            <w:vAlign w:val="center"/>
          </w:tcPr>
          <w:p w14:paraId="61F3C70A">
            <w:pPr>
              <w:pStyle w:val="4"/>
              <w:jc w:val="center"/>
              <w:rPr>
                <w:rFonts w:hint="eastAsia" w:ascii="Times New Roman" w:hAnsi="Times New Roman" w:eastAsia="仿宋_GB2312" w:cs="Times New Roman"/>
                <w:lang w:eastAsia="zh-CN"/>
              </w:rPr>
            </w:pPr>
            <w:r>
              <w:rPr>
                <w:rFonts w:hint="eastAsia" w:ascii="Times New Roman" w:hAnsi="Times New Roman" w:cs="Times New Roman"/>
                <w:lang w:eastAsia="zh-CN"/>
              </w:rPr>
              <w:t>区文旅广电局</w:t>
            </w:r>
          </w:p>
        </w:tc>
      </w:tr>
      <w:tr w14:paraId="53E3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531" w:type="dxa"/>
            <w:noWrap w:val="0"/>
            <w:vAlign w:val="center"/>
          </w:tcPr>
          <w:p w14:paraId="5B623F88">
            <w:pPr>
              <w:pStyle w:val="4"/>
              <w:numPr>
                <w:ilvl w:val="0"/>
                <w:numId w:val="0"/>
              </w:numPr>
              <w:ind w:left="0" w:leftChars="0" w:firstLine="0" w:firstLineChars="0"/>
              <w:jc w:val="center"/>
              <w:rPr>
                <w:rFonts w:hint="default" w:ascii="Times New Roman" w:hAnsi="Times New Roman" w:cs="Times New Roman"/>
                <w:lang w:val="en-US"/>
              </w:rPr>
            </w:pPr>
            <w:r>
              <w:rPr>
                <w:rFonts w:hint="eastAsia" w:ascii="Times New Roman" w:hAnsi="Times New Roman" w:cs="Times New Roman"/>
                <w:kern w:val="2"/>
                <w:sz w:val="21"/>
                <w:szCs w:val="21"/>
                <w:lang w:val="en-US" w:eastAsia="zh-CN" w:bidi="ar-SA"/>
              </w:rPr>
              <w:t>23</w:t>
            </w:r>
          </w:p>
        </w:tc>
        <w:tc>
          <w:tcPr>
            <w:tcW w:w="2174" w:type="dxa"/>
            <w:noWrap w:val="0"/>
            <w:vAlign w:val="center"/>
          </w:tcPr>
          <w:p w14:paraId="5D149EEA">
            <w:pPr>
              <w:pStyle w:val="4"/>
              <w:jc w:val="center"/>
              <w:rPr>
                <w:rFonts w:ascii="Times New Roman" w:hAnsi="Times New Roman" w:cs="Times New Roman"/>
              </w:rPr>
            </w:pPr>
            <w:r>
              <w:rPr>
                <w:rFonts w:ascii="Times New Roman" w:hAnsi="Times New Roman" w:cs="Times New Roman"/>
              </w:rPr>
              <w:t>农村先进文化宣传教育阵地建设</w:t>
            </w:r>
          </w:p>
        </w:tc>
        <w:tc>
          <w:tcPr>
            <w:tcW w:w="5788" w:type="dxa"/>
            <w:noWrap w:val="0"/>
            <w:vAlign w:val="center"/>
          </w:tcPr>
          <w:p w14:paraId="5811B482">
            <w:pPr>
              <w:pStyle w:val="4"/>
              <w:jc w:val="left"/>
              <w:rPr>
                <w:rFonts w:ascii="Times New Roman" w:hAnsi="Times New Roman" w:cs="Times New Roman"/>
              </w:rPr>
            </w:pPr>
            <w:r>
              <w:rPr>
                <w:rFonts w:ascii="Times New Roman" w:hAnsi="Times New Roman" w:cs="Times New Roman"/>
              </w:rPr>
              <w:t>深入开展文化下乡，持续推进多级联动、多方联合、下沉资源，以“标准化、多元化、示范性”为引领，大力街道、村综合文化活动室（中心）标准化建设，夯实农村先进文化宣传教育阵地，加强村民现代文明行为规范，不断提升乡村群众的文化获得感和文明程度。</w:t>
            </w:r>
          </w:p>
        </w:tc>
        <w:tc>
          <w:tcPr>
            <w:tcW w:w="1315" w:type="dxa"/>
            <w:noWrap w:val="0"/>
            <w:vAlign w:val="center"/>
          </w:tcPr>
          <w:p w14:paraId="4C2419EC">
            <w:pPr>
              <w:pStyle w:val="4"/>
              <w:jc w:val="center"/>
              <w:rPr>
                <w:rFonts w:ascii="Times New Roman" w:hAnsi="Times New Roman" w:cs="Times New Roman"/>
              </w:rPr>
            </w:pPr>
            <w:r>
              <w:rPr>
                <w:rFonts w:ascii="Times New Roman" w:hAnsi="Times New Roman" w:cs="Times New Roman"/>
              </w:rPr>
              <w:t>300</w:t>
            </w:r>
          </w:p>
        </w:tc>
        <w:tc>
          <w:tcPr>
            <w:tcW w:w="1210" w:type="dxa"/>
            <w:noWrap w:val="0"/>
            <w:vAlign w:val="center"/>
          </w:tcPr>
          <w:p w14:paraId="733C0A79">
            <w:pPr>
              <w:pStyle w:val="4"/>
              <w:jc w:val="center"/>
              <w:rPr>
                <w:rFonts w:ascii="Times New Roman" w:hAnsi="Times New Roman" w:cs="Times New Roman"/>
              </w:rPr>
            </w:pPr>
            <w:r>
              <w:rPr>
                <w:rFonts w:ascii="Times New Roman" w:hAnsi="Times New Roman" w:cs="Times New Roman"/>
              </w:rPr>
              <w:t>2025-2026</w:t>
            </w:r>
          </w:p>
        </w:tc>
        <w:tc>
          <w:tcPr>
            <w:tcW w:w="1770" w:type="dxa"/>
            <w:noWrap w:val="0"/>
            <w:vAlign w:val="center"/>
          </w:tcPr>
          <w:p w14:paraId="5C99DA18">
            <w:pPr>
              <w:pStyle w:val="4"/>
              <w:jc w:val="center"/>
              <w:rPr>
                <w:rFonts w:hint="eastAsia" w:ascii="Times New Roman" w:hAnsi="Times New Roman" w:eastAsia="仿宋_GB2312" w:cs="Times New Roman"/>
                <w:lang w:eastAsia="zh-CN"/>
              </w:rPr>
            </w:pPr>
            <w:r>
              <w:rPr>
                <w:rFonts w:hint="eastAsia" w:ascii="Times New Roman" w:hAnsi="Times New Roman" w:cs="Times New Roman"/>
                <w:lang w:eastAsia="zh-CN"/>
              </w:rPr>
              <w:t>区文旅广电局</w:t>
            </w:r>
          </w:p>
        </w:tc>
      </w:tr>
      <w:tr w14:paraId="38C4F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531" w:type="dxa"/>
            <w:noWrap w:val="0"/>
            <w:vAlign w:val="center"/>
          </w:tcPr>
          <w:p w14:paraId="35CB63F4">
            <w:pPr>
              <w:pStyle w:val="4"/>
              <w:numPr>
                <w:ilvl w:val="0"/>
                <w:numId w:val="0"/>
              </w:numPr>
              <w:ind w:leftChars="0"/>
              <w:jc w:val="center"/>
              <w:rPr>
                <w:rFonts w:hint="default" w:ascii="Times New Roman" w:hAnsi="Times New Roman" w:eastAsia="仿宋_GB2312" w:cs="Times New Roman"/>
                <w:lang w:val="en-US" w:eastAsia="zh-CN"/>
              </w:rPr>
            </w:pPr>
            <w:r>
              <w:rPr>
                <w:rFonts w:hint="eastAsia" w:ascii="Times New Roman" w:hAnsi="Times New Roman" w:cs="Times New Roman"/>
                <w:lang w:val="en-US" w:eastAsia="zh-CN"/>
              </w:rPr>
              <w:t>24</w:t>
            </w:r>
          </w:p>
        </w:tc>
        <w:tc>
          <w:tcPr>
            <w:tcW w:w="2174" w:type="dxa"/>
            <w:noWrap w:val="0"/>
            <w:vAlign w:val="center"/>
          </w:tcPr>
          <w:p w14:paraId="7787A0D4">
            <w:pPr>
              <w:pStyle w:val="4"/>
              <w:jc w:val="center"/>
              <w:rPr>
                <w:rFonts w:ascii="Times New Roman" w:hAnsi="Times New Roman" w:cs="Times New Roman"/>
              </w:rPr>
            </w:pPr>
            <w:r>
              <w:rPr>
                <w:rFonts w:ascii="Times New Roman" w:hAnsi="Times New Roman" w:cs="Times New Roman"/>
              </w:rPr>
              <w:t>双韵体育文化产业园</w:t>
            </w:r>
          </w:p>
        </w:tc>
        <w:tc>
          <w:tcPr>
            <w:tcW w:w="5788" w:type="dxa"/>
            <w:noWrap w:val="0"/>
            <w:vAlign w:val="center"/>
          </w:tcPr>
          <w:p w14:paraId="19DFE0C6">
            <w:pPr>
              <w:pStyle w:val="4"/>
              <w:jc w:val="left"/>
              <w:rPr>
                <w:rFonts w:ascii="Times New Roman" w:hAnsi="Times New Roman" w:cs="Times New Roman"/>
              </w:rPr>
            </w:pPr>
            <w:r>
              <w:rPr>
                <w:rFonts w:ascii="Times New Roman" w:hAnsi="Times New Roman" w:cs="Times New Roman"/>
              </w:rPr>
              <w:t>沈阳双韵体育运动公园规划总面积76亩，园区规划为“两馆、一场、一廊、一带”，五大功能区。通过三位一体的规划定位，将综合体育馆、服务设施、水上乐园、运动配套、体育器材、教育培训6大板块有机结合。构建适应“全天候、全季节、全人群”的经济、休闲、娱乐的活力中心。</w:t>
            </w:r>
          </w:p>
        </w:tc>
        <w:tc>
          <w:tcPr>
            <w:tcW w:w="1315" w:type="dxa"/>
            <w:noWrap w:val="0"/>
            <w:vAlign w:val="center"/>
          </w:tcPr>
          <w:p w14:paraId="3DFCF0C6">
            <w:pPr>
              <w:pStyle w:val="4"/>
              <w:jc w:val="center"/>
              <w:rPr>
                <w:rFonts w:ascii="Times New Roman" w:hAnsi="Times New Roman" w:cs="Times New Roman"/>
              </w:rPr>
            </w:pPr>
            <w:r>
              <w:rPr>
                <w:rFonts w:hint="eastAsia" w:ascii="Times New Roman" w:hAnsi="Times New Roman" w:cs="Times New Roman"/>
              </w:rPr>
              <w:t>15000</w:t>
            </w:r>
          </w:p>
        </w:tc>
        <w:tc>
          <w:tcPr>
            <w:tcW w:w="1210" w:type="dxa"/>
            <w:noWrap w:val="0"/>
            <w:vAlign w:val="center"/>
          </w:tcPr>
          <w:p w14:paraId="1DBB4D86">
            <w:pPr>
              <w:pStyle w:val="4"/>
              <w:jc w:val="center"/>
              <w:rPr>
                <w:rFonts w:ascii="Times New Roman" w:hAnsi="Times New Roman" w:cs="Times New Roman"/>
              </w:rPr>
            </w:pPr>
            <w:r>
              <w:rPr>
                <w:rFonts w:hint="eastAsia" w:ascii="Times New Roman" w:hAnsi="Times New Roman" w:cs="Times New Roman"/>
              </w:rPr>
              <w:t>2023-2024</w:t>
            </w:r>
          </w:p>
        </w:tc>
        <w:tc>
          <w:tcPr>
            <w:tcW w:w="1770" w:type="dxa"/>
            <w:noWrap w:val="0"/>
            <w:vAlign w:val="center"/>
          </w:tcPr>
          <w:p w14:paraId="7F3E933B">
            <w:pPr>
              <w:pStyle w:val="4"/>
              <w:jc w:val="center"/>
              <w:rPr>
                <w:rFonts w:hint="eastAsia" w:ascii="Times New Roman" w:hAnsi="Times New Roman" w:eastAsia="仿宋_GB2312" w:cs="Times New Roman"/>
                <w:lang w:eastAsia="zh-CN"/>
              </w:rPr>
            </w:pPr>
            <w:r>
              <w:rPr>
                <w:rFonts w:hint="eastAsia" w:ascii="Times New Roman" w:hAnsi="Times New Roman" w:cs="Times New Roman"/>
                <w:lang w:eastAsia="zh-CN"/>
              </w:rPr>
              <w:t>区文旅广电局</w:t>
            </w:r>
          </w:p>
        </w:tc>
      </w:tr>
      <w:tr w14:paraId="66E46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31" w:type="dxa"/>
            <w:noWrap w:val="0"/>
            <w:vAlign w:val="center"/>
          </w:tcPr>
          <w:p w14:paraId="5B53AB0D">
            <w:pPr>
              <w:pStyle w:val="4"/>
              <w:jc w:val="center"/>
              <w:rPr>
                <w:rFonts w:ascii="Times New Roman" w:hAnsi="Times New Roman" w:cs="Times New Roman"/>
              </w:rPr>
            </w:pPr>
          </w:p>
        </w:tc>
        <w:tc>
          <w:tcPr>
            <w:tcW w:w="7962" w:type="dxa"/>
            <w:gridSpan w:val="2"/>
            <w:noWrap w:val="0"/>
            <w:vAlign w:val="center"/>
          </w:tcPr>
          <w:p w14:paraId="238D1E71">
            <w:pPr>
              <w:pStyle w:val="4"/>
              <w:jc w:val="center"/>
              <w:rPr>
                <w:rFonts w:ascii="Times New Roman" w:hAnsi="Times New Roman" w:cs="Times New Roman"/>
              </w:rPr>
            </w:pPr>
            <w:r>
              <w:rPr>
                <w:rFonts w:ascii="Times New Roman" w:hAnsi="Times New Roman" w:cs="Times New Roman"/>
              </w:rPr>
              <w:t>小计</w:t>
            </w:r>
          </w:p>
        </w:tc>
        <w:tc>
          <w:tcPr>
            <w:tcW w:w="1315" w:type="dxa"/>
            <w:noWrap w:val="0"/>
            <w:vAlign w:val="center"/>
          </w:tcPr>
          <w:p w14:paraId="34B82296">
            <w:pPr>
              <w:pStyle w:val="4"/>
              <w:jc w:val="center"/>
              <w:rPr>
                <w:rFonts w:ascii="Times New Roman" w:hAnsi="Times New Roman" w:cs="Times New Roman"/>
              </w:rPr>
            </w:pPr>
            <w:r>
              <w:rPr>
                <w:rFonts w:hint="eastAsia" w:ascii="Times New Roman" w:hAnsi="Times New Roman" w:cs="Times New Roman"/>
              </w:rPr>
              <w:t>156</w:t>
            </w:r>
            <w:r>
              <w:rPr>
                <w:rFonts w:ascii="Times New Roman" w:hAnsi="Times New Roman" w:cs="Times New Roman"/>
              </w:rPr>
              <w:t>00</w:t>
            </w:r>
          </w:p>
        </w:tc>
        <w:tc>
          <w:tcPr>
            <w:tcW w:w="2980" w:type="dxa"/>
            <w:gridSpan w:val="2"/>
            <w:noWrap w:val="0"/>
            <w:vAlign w:val="center"/>
          </w:tcPr>
          <w:p w14:paraId="6092238A">
            <w:pPr>
              <w:pStyle w:val="4"/>
              <w:jc w:val="center"/>
              <w:rPr>
                <w:rFonts w:ascii="Times New Roman" w:hAnsi="Times New Roman" w:cs="Times New Roman"/>
              </w:rPr>
            </w:pPr>
          </w:p>
        </w:tc>
      </w:tr>
      <w:tr w14:paraId="4D32A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531" w:type="dxa"/>
            <w:noWrap w:val="0"/>
            <w:vAlign w:val="center"/>
          </w:tcPr>
          <w:p w14:paraId="1321E25C">
            <w:pPr>
              <w:pStyle w:val="4"/>
              <w:jc w:val="center"/>
              <w:rPr>
                <w:rFonts w:ascii="Times New Roman" w:hAnsi="Times New Roman" w:cs="Times New Roman"/>
              </w:rPr>
            </w:pPr>
          </w:p>
        </w:tc>
        <w:tc>
          <w:tcPr>
            <w:tcW w:w="7962" w:type="dxa"/>
            <w:gridSpan w:val="2"/>
            <w:noWrap w:val="0"/>
            <w:vAlign w:val="center"/>
          </w:tcPr>
          <w:p w14:paraId="03375822">
            <w:pPr>
              <w:pStyle w:val="4"/>
              <w:jc w:val="center"/>
              <w:rPr>
                <w:rFonts w:ascii="Times New Roman" w:hAnsi="Times New Roman" w:cs="Times New Roman"/>
              </w:rPr>
            </w:pPr>
            <w:r>
              <w:rPr>
                <w:rFonts w:ascii="Times New Roman" w:hAnsi="Times New Roman" w:cs="Times New Roman"/>
              </w:rPr>
              <w:t>合计</w:t>
            </w:r>
          </w:p>
        </w:tc>
        <w:tc>
          <w:tcPr>
            <w:tcW w:w="1315" w:type="dxa"/>
            <w:noWrap w:val="0"/>
            <w:vAlign w:val="center"/>
          </w:tcPr>
          <w:p w14:paraId="6B5CDD0D">
            <w:pPr>
              <w:pStyle w:val="4"/>
              <w:jc w:val="center"/>
              <w:rPr>
                <w:rFonts w:hint="default" w:ascii="Times New Roman" w:hAnsi="Times New Roman" w:eastAsia="仿宋_GB2312" w:cs="Times New Roman"/>
                <w:lang w:val="en-US" w:eastAsia="zh-CN"/>
              </w:rPr>
            </w:pPr>
            <w:r>
              <w:rPr>
                <w:rFonts w:hint="eastAsia" w:ascii="Times New Roman" w:hAnsi="Times New Roman" w:cs="Times New Roman"/>
                <w:lang w:val="en-US" w:eastAsia="zh-CN"/>
              </w:rPr>
              <w:t>172611.9</w:t>
            </w:r>
          </w:p>
        </w:tc>
        <w:tc>
          <w:tcPr>
            <w:tcW w:w="2980" w:type="dxa"/>
            <w:gridSpan w:val="2"/>
            <w:noWrap w:val="0"/>
            <w:vAlign w:val="center"/>
          </w:tcPr>
          <w:p w14:paraId="22341041">
            <w:pPr>
              <w:pStyle w:val="4"/>
              <w:jc w:val="center"/>
              <w:rPr>
                <w:rFonts w:ascii="Times New Roman" w:hAnsi="Times New Roman" w:cs="Times New Roman"/>
              </w:rPr>
            </w:pPr>
          </w:p>
        </w:tc>
      </w:tr>
      <w:bookmarkEnd w:id="2"/>
    </w:tbl>
    <w:p w14:paraId="6752131A">
      <w:pPr>
        <w:ind w:firstLine="0" w:firstLineChars="0"/>
        <w:jc w:val="both"/>
        <w:rPr>
          <w:rFonts w:hint="eastAsia"/>
        </w:rPr>
        <w:sectPr>
          <w:pgSz w:w="16838" w:h="11906" w:orient="landscape"/>
          <w:pgMar w:top="1587" w:right="2098" w:bottom="1474" w:left="1984" w:header="851" w:footer="992" w:gutter="0"/>
          <w:pgNumType w:fmt="numberInDash"/>
          <w:cols w:space="720" w:num="1"/>
          <w:rtlGutter w:val="0"/>
          <w:docGrid w:type="lines" w:linePitch="442" w:charSpace="0"/>
        </w:sectPr>
      </w:pPr>
      <w:r>
        <w:rPr>
          <w:rFonts w:hint="eastAsia"/>
          <w:sz w:val="28"/>
          <w:szCs w:val="28"/>
        </w:rPr>
        <w:t>注：重点工程根据实际需要推进实施，可动态调整。</w:t>
      </w:r>
    </w:p>
    <w:p w14:paraId="3B837F5E">
      <w:pPr>
        <w:ind w:left="0" w:leftChars="0" w:firstLine="0" w:firstLineChars="0"/>
      </w:pPr>
      <w:bookmarkStart w:id="6" w:name="_GoBack"/>
      <w:bookmarkEnd w:id="6"/>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Segoe UI Symbol">
    <w:panose1 w:val="020B0502040204020203"/>
    <w:charset w:val="00"/>
    <w:family w:val="swiss"/>
    <w:pitch w:val="default"/>
    <w:sig w:usb0="8000006F" w:usb1="1200FBEF" w:usb2="0064C000" w:usb3="00000002"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55841DD3"/>
    <w:rsid w:val="55841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40" w:firstLineChars="200"/>
      <w:jc w:val="both"/>
    </w:pPr>
    <w:rPr>
      <w:rFonts w:ascii="Times New Roman" w:hAnsi="Times New Roman" w:eastAsia="仿宋_GB2312" w:cs="Times New Roman"/>
      <w:kern w:val="2"/>
      <w:sz w:val="32"/>
      <w:szCs w:val="22"/>
      <w:lang w:val="en-US" w:eastAsia="zh-CN" w:bidi="ar-SA"/>
    </w:rPr>
  </w:style>
  <w:style w:type="paragraph" w:styleId="3">
    <w:name w:val="heading 2"/>
    <w:basedOn w:val="1"/>
    <w:next w:val="1"/>
    <w:link w:val="7"/>
    <w:unhideWhenUsed/>
    <w:qFormat/>
    <w:uiPriority w:val="0"/>
    <w:pPr>
      <w:keepNext/>
      <w:keepLines/>
      <w:spacing w:before="120" w:after="156" w:line="560" w:lineRule="exact"/>
      <w:ind w:left="640" w:firstLine="0" w:firstLineChars="0"/>
      <w:outlineLvl w:val="1"/>
    </w:pPr>
    <w:rPr>
      <w:rFonts w:ascii="Calibri Light" w:hAnsi="Calibri Light" w:eastAsia="黑体" w:cs="Times New Roman"/>
      <w:bCs/>
      <w:szCs w:val="4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caption"/>
    <w:basedOn w:val="1"/>
    <w:next w:val="1"/>
    <w:unhideWhenUsed/>
    <w:qFormat/>
    <w:uiPriority w:val="35"/>
    <w:pPr>
      <w:snapToGrid w:val="0"/>
      <w:spacing w:line="240" w:lineRule="auto"/>
      <w:ind w:firstLine="0" w:firstLineChars="0"/>
      <w:jc w:val="center"/>
    </w:pPr>
    <w:rPr>
      <w:rFonts w:ascii="仿宋_GB2312" w:hAnsi="黑体" w:cs="Times New Roman"/>
      <w:sz w:val="21"/>
      <w:szCs w:val="21"/>
    </w:rPr>
  </w:style>
  <w:style w:type="character" w:customStyle="1" w:styleId="7">
    <w:name w:val="标题 2 字符"/>
    <w:basedOn w:val="6"/>
    <w:link w:val="3"/>
    <w:qFormat/>
    <w:uiPriority w:val="0"/>
    <w:rPr>
      <w:rFonts w:ascii="Calibri Light" w:hAnsi="Calibri Light" w:eastAsia="黑体" w:cs="Times New Roman"/>
      <w:bCs/>
      <w:szCs w:val="4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2024-08-15T07:46:00Z</dcterms:created>
  <dc:creator>杨洋</dc:creator>
  <cp:lastModifiedBy>杨洋</cp:lastModifiedBy>
  <dcterms:modified xsi:type="dcterms:W3CDTF">2024-08-15T07:47:17Z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D020E59BAEF746409E85486CBAA55922_11</vt:lpwstr>
  </property>
</Properties>
</file>