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1DF7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BC9D48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w w:val="98"/>
          <w:sz w:val="44"/>
          <w:szCs w:val="44"/>
          <w:lang w:val="en-US" w:eastAsia="zh-CN"/>
        </w:rPr>
      </w:pPr>
    </w:p>
    <w:p w14:paraId="28ECF4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w w:val="98"/>
          <w:sz w:val="44"/>
          <w:szCs w:val="44"/>
          <w:lang w:val="en-US" w:eastAsia="zh-CN"/>
        </w:rPr>
      </w:pPr>
      <w:r>
        <w:rPr>
          <w:rFonts w:hint="eastAsia" w:ascii="方正小标宋_GBK" w:hAnsi="方正小标宋_GBK" w:eastAsia="方正小标宋_GBK" w:cs="方正小标宋_GBK"/>
          <w:b w:val="0"/>
          <w:bCs w:val="0"/>
          <w:w w:val="98"/>
          <w:sz w:val="44"/>
          <w:szCs w:val="44"/>
          <w:lang w:val="en-US" w:eastAsia="zh-CN"/>
        </w:rPr>
        <w:t>区政府及区政府办公室</w:t>
      </w:r>
    </w:p>
    <w:p w14:paraId="5E8F15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w w:val="98"/>
          <w:sz w:val="44"/>
          <w:szCs w:val="44"/>
          <w:lang w:val="en-US" w:eastAsia="zh-CN"/>
        </w:rPr>
        <w:t>政策性和规范性文件清理目</w:t>
      </w:r>
      <w:r>
        <w:rPr>
          <w:rFonts w:hint="eastAsia" w:ascii="方正小标宋_GBK" w:hAnsi="方正小标宋_GBK" w:eastAsia="方正小标宋_GBK" w:cs="方正小标宋_GBK"/>
          <w:b w:val="0"/>
          <w:bCs w:val="0"/>
          <w:sz w:val="44"/>
          <w:szCs w:val="44"/>
          <w:lang w:val="en-US" w:eastAsia="zh-CN"/>
        </w:rPr>
        <w:t>录</w:t>
      </w:r>
    </w:p>
    <w:p w14:paraId="11E95C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（继续有效）</w:t>
      </w:r>
    </w:p>
    <w:p w14:paraId="1A855CA4">
      <w:pPr>
        <w:pStyle w:val="2"/>
        <w:pageBreakBefore w:val="0"/>
        <w:kinsoku/>
        <w:wordWrap/>
        <w:overflowPunct/>
        <w:topLinePunct w:val="0"/>
        <w:autoSpaceDE/>
        <w:autoSpaceDN/>
        <w:bidi w:val="0"/>
        <w:adjustRightInd/>
        <w:snapToGrid/>
        <w:spacing w:before="0" w:after="0" w:line="300" w:lineRule="exact"/>
        <w:rPr>
          <w:rFonts w:hint="eastAsia" w:ascii="仿宋_GB2312" w:hAnsi="仿宋_GB2312" w:eastAsia="仿宋_GB2312" w:cs="仿宋_GB2312"/>
          <w:sz w:val="32"/>
          <w:szCs w:val="32"/>
          <w:lang w:val="en-US" w:eastAsia="zh-CN"/>
        </w:rPr>
      </w:pPr>
    </w:p>
    <w:tbl>
      <w:tblPr>
        <w:tblStyle w:val="3"/>
        <w:tblW w:w="10410" w:type="dxa"/>
        <w:tblInd w:w="-764" w:type="dxa"/>
        <w:tblLayout w:type="fixed"/>
        <w:tblCellMar>
          <w:top w:w="0" w:type="dxa"/>
          <w:left w:w="0" w:type="dxa"/>
          <w:bottom w:w="0" w:type="dxa"/>
          <w:right w:w="0" w:type="dxa"/>
        </w:tblCellMar>
      </w:tblPr>
      <w:tblGrid>
        <w:gridCol w:w="705"/>
        <w:gridCol w:w="5595"/>
        <w:gridCol w:w="4110"/>
      </w:tblGrid>
      <w:tr w14:paraId="071BA23E">
        <w:tblPrEx>
          <w:tblCellMar>
            <w:top w:w="0" w:type="dxa"/>
            <w:left w:w="0" w:type="dxa"/>
            <w:bottom w:w="0" w:type="dxa"/>
            <w:right w:w="0" w:type="dxa"/>
          </w:tblCellMar>
        </w:tblPrEx>
        <w:trPr>
          <w:trHeight w:val="419"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50F98F">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序号</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CBDC7C">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文件标题</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4FE388">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文号</w:t>
            </w:r>
          </w:p>
        </w:tc>
      </w:tr>
      <w:tr w14:paraId="3E19FEC8">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E7C2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2B680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印发《东陵区村镇房屋拆迁实施细则》的通知 </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37D9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沈东陵政发〔2001〕17号 </w:t>
            </w:r>
          </w:p>
        </w:tc>
      </w:tr>
      <w:tr w14:paraId="0F41A541">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9CC8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027709">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关于印发东陵区集体土地房屋及地上附着物拆迁补偿办法（暂行）的通知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E328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沈东陵政发〔2007〕7号</w:t>
            </w:r>
          </w:p>
        </w:tc>
      </w:tr>
      <w:tr w14:paraId="7D1E46BF">
        <w:tblPrEx>
          <w:tblCellMar>
            <w:top w:w="0" w:type="dxa"/>
            <w:left w:w="0" w:type="dxa"/>
            <w:bottom w:w="0" w:type="dxa"/>
            <w:right w:w="0" w:type="dxa"/>
          </w:tblCellMar>
        </w:tblPrEx>
        <w:trPr>
          <w:trHeight w:val="641"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45B1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37C97F">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关于印发东陵区被征地农民社会保障暂行办法的通知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8CBE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沈东陵政发〔2007〕8号</w:t>
            </w:r>
          </w:p>
        </w:tc>
      </w:tr>
      <w:tr w14:paraId="0AE106A9">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0D88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C26D9E">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关于印发浑南新城集体土地房屋及地上附着物拆迁补偿办法（暂行）的通知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2516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沈东陵（浑南）政发〔2010〕1号</w:t>
            </w:r>
          </w:p>
        </w:tc>
      </w:tr>
      <w:tr w14:paraId="518F8290">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70DB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6C4E2D">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关于印发东陵区（浑南新区）促进动漫产业发展若干政策的通知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0A96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沈东陵（浑南）政发〔2011〕4号</w:t>
            </w:r>
          </w:p>
        </w:tc>
      </w:tr>
      <w:tr w14:paraId="1C74C405">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EA3E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E6B3E4">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关于进一步加强文物工作的实施意见</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F25E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沈浑南政发〔2019〕8号</w:t>
            </w:r>
          </w:p>
        </w:tc>
      </w:tr>
      <w:tr w14:paraId="4FF92A6B">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3FA9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50562F">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关于印发浑南区农村生活污水治理规划的通知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1D30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沈浑南政发〔2019〕10号</w:t>
            </w:r>
          </w:p>
        </w:tc>
      </w:tr>
      <w:tr w14:paraId="7F41D6D5">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DA47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7A7175">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浑南区人民政府关于印发浑南区被征收集体土地上房屋（附属物）申请强制执行实施细则的通知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5446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沈浑南政发〔2020〕6号</w:t>
            </w:r>
          </w:p>
        </w:tc>
      </w:tr>
      <w:tr w14:paraId="4AF191F5">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25E7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768F67">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关于印发《浑南区（沈阳高新区）关于支持企业上市发展的政策措施》的通知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EC69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沈浑南政发〔2020〕10号</w:t>
            </w:r>
          </w:p>
        </w:tc>
      </w:tr>
      <w:tr w14:paraId="40F984C2">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6461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6DA643">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浑南区人民政府关于印发浑南区进一步强化稳就业工作举措实施方案的通知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10FF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沈浑南政发〔2020〕12号</w:t>
            </w:r>
          </w:p>
        </w:tc>
      </w:tr>
      <w:tr w14:paraId="4BA98347">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3A56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0370D8">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浑南区人民政府关于印发浑南区民意诉求办理工作实施方案的通知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E41E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沈浑南政发〔2020〕13号</w:t>
            </w:r>
          </w:p>
        </w:tc>
      </w:tr>
      <w:tr w14:paraId="7A796A05">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00DC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F85926">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浑南区人民政府关于印发健康浑南行动实施方案的通知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A0F5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沈浑南政发〔2020〕21号</w:t>
            </w:r>
          </w:p>
        </w:tc>
      </w:tr>
      <w:tr w14:paraId="121545F7">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2E68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FFA210">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浑南区人民政府印发关于浑南区被征地农民社会保障政策的补充规定的通知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462C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沈浑南政发〔2021〕2号</w:t>
            </w:r>
          </w:p>
        </w:tc>
      </w:tr>
      <w:tr w14:paraId="0C99058F">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BBD5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F0FA63">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浑南区人民政府关于印发浑南区全民健身实施计划(2021-2025年)的通知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3339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沈浑南政发〔2021〕13号</w:t>
            </w:r>
          </w:p>
        </w:tc>
      </w:tr>
      <w:tr w14:paraId="1B876450">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0B94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9C4D68">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浑南区人民政府关于印发沈阳市浑南区国民经济和社会发展第十四个五年规划和二〇三五年远景目标纲要的通知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F2E5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沈浑南政发〔2021〕14号</w:t>
            </w:r>
          </w:p>
        </w:tc>
      </w:tr>
      <w:tr w14:paraId="2973C91A">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8F8D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5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6BD2F">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浑南区人民政府关于印发浑南区扎实稳住经济一揽子政策措施的通知</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D4B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沈浑南政发〔2022〕4号</w:t>
            </w:r>
          </w:p>
        </w:tc>
      </w:tr>
      <w:tr w14:paraId="44689CDD">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333E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48496F">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浑南区人民政府关于印发沈阳市棋盘山地区“绿水青山就是金山银山”实践创新基地建设实施方案的通知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5F12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沈浑南政发〔2022〕5号</w:t>
            </w:r>
          </w:p>
        </w:tc>
      </w:tr>
      <w:tr w14:paraId="73D15751">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6EAE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E1E149">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浑南区人民政府关于印发浑南区行政许可事项清单(2022年版)的通知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C61B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沈浑南政发〔2022〕7号</w:t>
            </w:r>
          </w:p>
        </w:tc>
      </w:tr>
      <w:tr w14:paraId="158E70DF">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7C14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57C093">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浑南区人民政府关于印发浑南区儿童发展规划（2021—2030年）的通知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E88D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沈浑南政发〔2022〕8号</w:t>
            </w:r>
          </w:p>
        </w:tc>
      </w:tr>
      <w:tr w14:paraId="6C086C4A">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B6F1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B0787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浑南区人民政府关于印发浑南区妇女发展规划（2021—2031年）的通知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B838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沈浑南政发〔2022〕9号</w:t>
            </w:r>
          </w:p>
        </w:tc>
      </w:tr>
      <w:tr w14:paraId="708377B1">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2F8C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A5059F">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关于调整东陵区集体土地房屋拆迁补偿标准的通知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125F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沈东陵政办发〔2009〕15号</w:t>
            </w:r>
          </w:p>
        </w:tc>
      </w:tr>
      <w:tr w14:paraId="05825228">
        <w:tblPrEx>
          <w:tblCellMar>
            <w:top w:w="0" w:type="dxa"/>
            <w:left w:w="0" w:type="dxa"/>
            <w:bottom w:w="0" w:type="dxa"/>
            <w:right w:w="0" w:type="dxa"/>
          </w:tblCellMar>
        </w:tblPrEx>
        <w:trPr>
          <w:trHeight w:val="72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80A6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15F2C9">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关于印发东陵区（浑南新区）东湖街道集体土地地上附着物征收补偿标准的通知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AF36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沈东陵（浑南）政办发〔2011〕49号</w:t>
            </w:r>
          </w:p>
        </w:tc>
      </w:tr>
      <w:tr w14:paraId="05455616">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6338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758DFD">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东陵区（浑南新区）人民政府办公室关于印发东陵区（浑南新区）雇员管理办法的通知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61FE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沈东陵（浑南）政办发〔2012〕73号</w:t>
            </w:r>
          </w:p>
        </w:tc>
      </w:tr>
      <w:tr w14:paraId="407D82E3">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7373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F1205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此件不予公开</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1516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沈东陵（浑南）政办发〔2013〕28号</w:t>
            </w:r>
          </w:p>
        </w:tc>
      </w:tr>
      <w:tr w14:paraId="190367B2">
        <w:tblPrEx>
          <w:tblCellMar>
            <w:top w:w="0" w:type="dxa"/>
            <w:left w:w="0" w:type="dxa"/>
            <w:bottom w:w="0" w:type="dxa"/>
            <w:right w:w="0" w:type="dxa"/>
          </w:tblCellMar>
        </w:tblPrEx>
        <w:trPr>
          <w:trHeight w:val="7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4A54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DFD137">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关于印发浑南区促进金融业发展若干政策实施办法的通知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2C8F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沈浑南政办发〔2016〕6号</w:t>
            </w:r>
          </w:p>
        </w:tc>
      </w:tr>
      <w:tr w14:paraId="4D9F68BB">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334C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CCC817">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关于印发浑南区集体土地上住宅房屋征收补偿若干事项实施办法的通知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DA7B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沈浑南政办发〔2016〕45号</w:t>
            </w:r>
          </w:p>
        </w:tc>
      </w:tr>
      <w:tr w14:paraId="45C01637">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B5DA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10CB41">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关于印发浑南区政府工作部门权责清单动态管理办法的通知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2F0F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沈浑南政办发〔2016〕47号</w:t>
            </w:r>
          </w:p>
        </w:tc>
      </w:tr>
      <w:tr w14:paraId="378D51EC">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014F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2E5FAD">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关于印发浑南区重大行政处罚备案审查办法的通知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EBB1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沈浑南政办发〔2017〕13号</w:t>
            </w:r>
          </w:p>
        </w:tc>
      </w:tr>
      <w:tr w14:paraId="646ECBAC">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B54B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53E457">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关于印发非农户征收补偿指导意见的通知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A447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沈浑南政办发〔2017〕15号</w:t>
            </w:r>
          </w:p>
        </w:tc>
      </w:tr>
      <w:tr w14:paraId="071C6F0C">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BC49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166240">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关于印发沈阳市浑南区（沈阳高新区）招商引资费用管理办法(试行）的通知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1585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沈浑南政办发〔2017〕36号</w:t>
            </w:r>
          </w:p>
        </w:tc>
      </w:tr>
      <w:tr w14:paraId="5068712C">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74CE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4654A3">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关于印发浑南区集体土地上房屋征收补偿面积补贴实施办法的通知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B0BF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沈浑南政办发〔2017〕58号</w:t>
            </w:r>
          </w:p>
        </w:tc>
      </w:tr>
      <w:tr w14:paraId="755AE191">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6A77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5595" w:type="dxa"/>
            <w:tcBorders>
              <w:top w:val="nil"/>
              <w:left w:val="nil"/>
              <w:bottom w:val="nil"/>
              <w:right w:val="nil"/>
            </w:tcBorders>
            <w:shd w:val="clear" w:color="auto" w:fill="auto"/>
            <w:noWrap/>
            <w:tcMar>
              <w:top w:w="15" w:type="dxa"/>
              <w:left w:w="15" w:type="dxa"/>
              <w:right w:w="15" w:type="dxa"/>
            </w:tcMar>
            <w:vAlign w:val="center"/>
          </w:tcPr>
          <w:p w14:paraId="432202C1">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关于印发浑南区食品摊贩管理办法的通知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76E6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沈浑南政办发〔2017〕68号</w:t>
            </w:r>
          </w:p>
        </w:tc>
      </w:tr>
      <w:tr w14:paraId="0AE97075">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A8B7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73C709">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关于印发浑南区进一步做好学前教育机构行政审批和日常管理工作实施办法的通知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2D4E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沈浑南政办发〔2018〕12号</w:t>
            </w:r>
          </w:p>
        </w:tc>
      </w:tr>
      <w:tr w14:paraId="266B6451">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A5B6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CBE794">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关于印发征收补偿涉及买卖继承等问题指导意见的通知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BF0E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沈浑南政办发〔2018〕16号</w:t>
            </w:r>
          </w:p>
        </w:tc>
      </w:tr>
      <w:tr w14:paraId="2405F2C9">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C8B3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08963F">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此件不予公开</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D703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沈浑南政办发〔2018〕81号</w:t>
            </w:r>
          </w:p>
        </w:tc>
      </w:tr>
      <w:tr w14:paraId="710EBF60">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2648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067664">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关于印发浑南区涉农资金整合工作实施方案的通知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DB9D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沈浑南政办发〔2019〕14号</w:t>
            </w:r>
          </w:p>
        </w:tc>
      </w:tr>
      <w:tr w14:paraId="437C2461">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7F14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D81462">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关于印发浑南区农村集体经济组织成员资格确认指导意见的通知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04A2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沈浑南政办发〔2019〕16号</w:t>
            </w:r>
          </w:p>
        </w:tc>
      </w:tr>
      <w:tr w14:paraId="0706807F">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5BE6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60B39B">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关于加强城市更新工作体系建设的实施意见</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A915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沈浑南政办发〔2019〕20号</w:t>
            </w:r>
          </w:p>
        </w:tc>
      </w:tr>
      <w:tr w14:paraId="4287C3FA">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B4D1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C7EF82">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关于印发浑南区全面治理违法建筑实施方案的通知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91F7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沈浑南政办发〔2019〕22号</w:t>
            </w:r>
          </w:p>
        </w:tc>
      </w:tr>
      <w:tr w14:paraId="40865E01">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2A3B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C65289">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关于印发浑南区全面治理拖欠农民工工资实施意见的通知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ED38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沈浑南政办发〔2019〕23号</w:t>
            </w:r>
          </w:p>
        </w:tc>
      </w:tr>
      <w:tr w14:paraId="512CA1C6">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9E18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0B957D">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关于印发浑南区文物安全管理实施方案的通知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E1B2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沈浑南政办发〔2019〕30号</w:t>
            </w:r>
          </w:p>
        </w:tc>
      </w:tr>
      <w:tr w14:paraId="1164BD72">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56E8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A01682">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关于印发浑南区全面推行行政执法公示制度执法全过程记录制度重大执法决定法制审核制度实施方案的通知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5C41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沈浑南政办发〔2019〕33号</w:t>
            </w:r>
          </w:p>
        </w:tc>
      </w:tr>
      <w:tr w14:paraId="4CEC6663">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DEF6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D00F9F">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关于印发浑南区饮水安全工程运行管理办法的通知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05E6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沈浑南政办发〔2019〕40号</w:t>
            </w:r>
          </w:p>
        </w:tc>
      </w:tr>
      <w:tr w14:paraId="34692A92">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6B34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5595" w:type="dxa"/>
            <w:tcBorders>
              <w:top w:val="nil"/>
              <w:left w:val="nil"/>
              <w:bottom w:val="nil"/>
              <w:right w:val="nil"/>
            </w:tcBorders>
            <w:shd w:val="clear" w:color="auto" w:fill="auto"/>
            <w:noWrap/>
            <w:tcMar>
              <w:top w:w="15" w:type="dxa"/>
              <w:left w:w="15" w:type="dxa"/>
              <w:right w:w="15" w:type="dxa"/>
            </w:tcMar>
            <w:vAlign w:val="center"/>
          </w:tcPr>
          <w:p w14:paraId="527223CC">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关于印发浑南区行政机关规范性文件管理规定的通知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922C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沈浑南政办发〔2019〕42号</w:t>
            </w:r>
          </w:p>
        </w:tc>
      </w:tr>
      <w:tr w14:paraId="4A0382F5">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7C49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C0EC96">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浑南区征收补偿大额资金审批意见</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0DB5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沈浑南政办发〔2020〕7号</w:t>
            </w:r>
          </w:p>
        </w:tc>
      </w:tr>
      <w:tr w14:paraId="099D2B03">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2005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7114B4">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浑南区人民政府办公室关于印发浑南区开展省级“四好农村路”示范区创建实施方案的通知 </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BA0E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沈浑南政办发〔2020〕14号</w:t>
            </w:r>
          </w:p>
        </w:tc>
      </w:tr>
      <w:tr w14:paraId="6AC78DBC">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AB64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A43015">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浑南区人民政府办公室关于印发浑南区浑南区畜禽禁养区限养区畜禽圈舍补偿工作实施方案的通知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0A69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沈浑南政办发〔2020〕22号</w:t>
            </w:r>
          </w:p>
        </w:tc>
      </w:tr>
      <w:tr w14:paraId="07525D6C">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4355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70855C">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浑南区人民政府办公室关于印发浑南区落实离岗老年乡村医生养老待遇补助政策实施方案的通知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812C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沈浑南政办发〔2020〕25号</w:t>
            </w:r>
          </w:p>
        </w:tc>
      </w:tr>
      <w:tr w14:paraId="28D4276C">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08BE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E371DD">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此件不予公开</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5EE4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沈浑南政办发〔2020〕26号</w:t>
            </w:r>
          </w:p>
        </w:tc>
      </w:tr>
      <w:tr w14:paraId="5BC36CC2">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6C7A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5F05DC">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关于印发《浑南区征收工作采购第三方服务机构相关事项实施意见》的通知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F849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沈浑南政办发〔2020〕28号</w:t>
            </w:r>
          </w:p>
        </w:tc>
      </w:tr>
      <w:tr w14:paraId="7CD8301D">
        <w:tblPrEx>
          <w:tblCellMar>
            <w:top w:w="0" w:type="dxa"/>
            <w:left w:w="0" w:type="dxa"/>
            <w:bottom w:w="0" w:type="dxa"/>
            <w:right w:w="0"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8FC9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1A4C4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此件不予公开</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E4E9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沈浑南政办发〔2020〕33号</w:t>
            </w:r>
          </w:p>
        </w:tc>
      </w:tr>
      <w:tr w14:paraId="6970392D">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6D18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F50AC8">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浑南区人民政府办公室关于印发浑南区（沈阳高新区）企业服务工作方案的通知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C70D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沈浑南政办发〔2020〕34号</w:t>
            </w:r>
          </w:p>
        </w:tc>
      </w:tr>
      <w:tr w14:paraId="79310937">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80BC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8BED70">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spacing w:val="-11"/>
                <w:kern w:val="0"/>
                <w:sz w:val="24"/>
                <w:szCs w:val="24"/>
                <w:u w:val="none"/>
                <w:lang w:val="en-US" w:eastAsia="zh-CN" w:bidi="ar"/>
              </w:rPr>
              <w:t>浑南区人民政府办公室关于印发浑南区（沈阳高新区）关于支持企业上市发展的政策措施实施细则的通知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E817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沈浑南政办发〔2020〕38号</w:t>
            </w:r>
          </w:p>
        </w:tc>
      </w:tr>
      <w:tr w14:paraId="6323CB5D">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EFA7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42F533">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浑南区人民政府办公室关于印发浑南区降低实体经济成本22条措施实施细则的通知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0D0D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沈浑南政办发〔2021〕4号</w:t>
            </w:r>
          </w:p>
        </w:tc>
      </w:tr>
      <w:tr w14:paraId="480EFC00">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97C0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55</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6C34B4">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此件不予公开</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6A01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沈浑南政办发〔2021〕6号</w:t>
            </w:r>
          </w:p>
        </w:tc>
      </w:tr>
      <w:tr w14:paraId="1A9A50B6">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3C6D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56</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C4DEC5">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此件不予公开</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4ED7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沈浑南政办发〔2021〕17号</w:t>
            </w:r>
          </w:p>
        </w:tc>
      </w:tr>
      <w:tr w14:paraId="789BB686">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86EB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57</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550376">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此件不予公开</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1B42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沈浑南政办发〔2021〕19号</w:t>
            </w:r>
          </w:p>
        </w:tc>
      </w:tr>
      <w:tr w14:paraId="2B4D8F37">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EDE7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B264BF">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此件不予公开</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953F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沈浑南政办发〔2021〕20号</w:t>
            </w:r>
          </w:p>
        </w:tc>
      </w:tr>
      <w:tr w14:paraId="44D8253B">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F876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59</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728249">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浑南区人民政府办公室关于印发浑南区推行“证照分离”改革全覆盖工作实施方案的通知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FA54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沈浑南政办发〔2021〕21号</w:t>
            </w:r>
          </w:p>
        </w:tc>
      </w:tr>
      <w:tr w14:paraId="1C247327">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FC8C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60</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7340C3">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此件不予公开</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FE85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沈浑南政办发〔2021〕23号</w:t>
            </w:r>
          </w:p>
        </w:tc>
      </w:tr>
      <w:tr w14:paraId="1CBCEA7E">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8B07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61</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A82179">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浑南区人民政府办公室关于印发浑南区加快楼宇经济发展工作方案的通知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6112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沈浑南政办发〔2021〕24号</w:t>
            </w:r>
          </w:p>
        </w:tc>
      </w:tr>
      <w:tr w14:paraId="3ADD4098">
        <w:tblPrEx>
          <w:tblCellMar>
            <w:top w:w="0" w:type="dxa"/>
            <w:left w:w="0" w:type="dxa"/>
            <w:bottom w:w="0" w:type="dxa"/>
            <w:right w:w="0" w:type="dxa"/>
          </w:tblCellMar>
        </w:tblPrEx>
        <w:trPr>
          <w:trHeight w:val="7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91C3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62</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F0CC9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此件不予公开</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46D7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沈浑南政办发〔2021〕26号</w:t>
            </w:r>
          </w:p>
        </w:tc>
      </w:tr>
      <w:tr w14:paraId="2AC62DE6">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302D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63</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A71BCD">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浑南区人民政府办公室关于印发浑南区城乡结合部提升改造三年行动方案(2021-2023年)的通知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74F8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沈浑南政办发〔2021〕27号</w:t>
            </w:r>
          </w:p>
        </w:tc>
      </w:tr>
      <w:tr w14:paraId="3E138A5B">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495C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631810">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浑南区人民政府办公室关于印发浑南区金融重点支持企业白名单管理办法的通知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1298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沈浑南政办发〔2021〕28号</w:t>
            </w:r>
          </w:p>
        </w:tc>
      </w:tr>
      <w:tr w14:paraId="16512627">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04BD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A0F9F0">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浑南区人民政府办公室关于印发浑南区降低实体经济成本22条措施补充政策实施细则的通知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1E0B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沈浑南政办发〔2021〕32号</w:t>
            </w:r>
          </w:p>
        </w:tc>
      </w:tr>
      <w:tr w14:paraId="21E77AB4">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A1C4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66</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9B0C37">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此件不予公开</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20B0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沈浑南政办发〔2021〕37号</w:t>
            </w:r>
          </w:p>
        </w:tc>
      </w:tr>
      <w:tr w14:paraId="2F6F7772">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6339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67</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EF36A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浑南区人民政府办公室关于印发浑南区重点工程建设项目“落地即开工”特殊审批流程实施方案的通知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E766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沈浑南政办发〔2022〕1号</w:t>
            </w:r>
          </w:p>
        </w:tc>
      </w:tr>
      <w:tr w14:paraId="62B2E5A8">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3188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68</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376AF7">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此件不予公开</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A98F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沈浑南政办发〔2022〕12号</w:t>
            </w:r>
          </w:p>
        </w:tc>
      </w:tr>
      <w:tr w14:paraId="6C00FFA6">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E534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69</w:t>
            </w:r>
          </w:p>
        </w:tc>
        <w:tc>
          <w:tcPr>
            <w:tcW w:w="5595" w:type="dxa"/>
            <w:tcBorders>
              <w:top w:val="nil"/>
              <w:left w:val="nil"/>
              <w:bottom w:val="nil"/>
              <w:right w:val="nil"/>
            </w:tcBorders>
            <w:shd w:val="clear" w:color="auto" w:fill="auto"/>
            <w:noWrap/>
            <w:tcMar>
              <w:top w:w="15" w:type="dxa"/>
              <w:left w:w="15" w:type="dxa"/>
              <w:right w:w="15" w:type="dxa"/>
            </w:tcMar>
            <w:vAlign w:val="center"/>
          </w:tcPr>
          <w:p w14:paraId="031707A2">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此件不予公开</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6B3A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沈浑南政办发〔2022〕14号</w:t>
            </w:r>
          </w:p>
        </w:tc>
      </w:tr>
      <w:tr w14:paraId="546E81E0">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A6CE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E236B2">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浑南区人民政府关于印发浑南区东南山区“绿水青山就是金山银山”实践创新基地建设实施方案的通知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DCCE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沈浑南政发〔2023〕3号</w:t>
            </w:r>
          </w:p>
        </w:tc>
      </w:tr>
      <w:tr w14:paraId="5DDB6E46">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1A31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D826D1">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浑南区人民政府关于印发浑南区深入开展爱国卫生运动行动方案(2021-2025)的通知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897B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沈浑南政发〔2023〕5号</w:t>
            </w:r>
          </w:p>
        </w:tc>
      </w:tr>
      <w:tr w14:paraId="4FC08471">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EEF9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7F8BD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浑南区人民政府印发浑南区关于加快农村土地经营权全域流转的实施方案的通知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60BA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沈浑南政发〔2023〕6号</w:t>
            </w:r>
          </w:p>
        </w:tc>
      </w:tr>
      <w:tr w14:paraId="4A76EC0D">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F38A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9C50C1">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浑南区人民政府关于深化“只提交一次材料”改革优化调整一批行政职权事项的决定</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596D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沈浑南政发〔2023〕8号</w:t>
            </w:r>
          </w:p>
        </w:tc>
      </w:tr>
      <w:tr w14:paraId="46777CAA">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7CEB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87E1CE">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浑南区人民政府关于印发浑南区文化产业发展“指南针计划”（2023-2025年）的通知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0B70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沈浑南政发〔2023〕9号</w:t>
            </w:r>
          </w:p>
        </w:tc>
      </w:tr>
      <w:tr w14:paraId="7DD7F1B9">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14AC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75</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FE5299">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浑南区人民政府关于印发浑南区全民科学素质行动规划纲要实施方案(2022-2025年)的通知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3ED9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沈浑南政发〔2023〕10号</w:t>
            </w:r>
          </w:p>
        </w:tc>
      </w:tr>
      <w:tr w14:paraId="32B0A4F9">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CCAD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76</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7D221C">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浑南区人民政府关于推进气象高质量发展的实施意见</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5F53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沈浑南政发〔2023〕11号</w:t>
            </w:r>
          </w:p>
        </w:tc>
      </w:tr>
      <w:tr w14:paraId="2D599C3C">
        <w:tblPrEx>
          <w:tblCellMar>
            <w:top w:w="0" w:type="dxa"/>
            <w:left w:w="0" w:type="dxa"/>
            <w:bottom w:w="0" w:type="dxa"/>
            <w:right w:w="0"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32D0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77</w:t>
            </w:r>
          </w:p>
        </w:tc>
        <w:tc>
          <w:tcPr>
            <w:tcW w:w="55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0A8610">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浑南区人民政府关于印发沈阳市浑南区突发事件总体应急预案（2023修订版）的通知</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F16A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沈浑南政发〔2023〕13号</w:t>
            </w:r>
          </w:p>
        </w:tc>
      </w:tr>
      <w:tr w14:paraId="6CBC5AEC">
        <w:tblPrEx>
          <w:tblCellMar>
            <w:top w:w="0" w:type="dxa"/>
            <w:left w:w="0" w:type="dxa"/>
            <w:bottom w:w="0" w:type="dxa"/>
            <w:right w:w="0" w:type="dxa"/>
          </w:tblCellMar>
        </w:tblPrEx>
        <w:trPr>
          <w:trHeight w:val="780" w:hRule="atLeast"/>
        </w:trPr>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605B5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78</w:t>
            </w:r>
          </w:p>
        </w:tc>
        <w:tc>
          <w:tcPr>
            <w:tcW w:w="55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05A139">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此件不予公开</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062B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沈浑南政办发〔2023〕3号</w:t>
            </w:r>
          </w:p>
        </w:tc>
      </w:tr>
      <w:tr w14:paraId="04A8263E">
        <w:tblPrEx>
          <w:tblCellMar>
            <w:top w:w="0" w:type="dxa"/>
            <w:left w:w="0" w:type="dxa"/>
            <w:bottom w:w="0" w:type="dxa"/>
            <w:right w:w="0" w:type="dxa"/>
          </w:tblCellMar>
        </w:tblPrEx>
        <w:trPr>
          <w:trHeight w:val="780" w:hRule="atLeast"/>
        </w:trPr>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E5421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79</w:t>
            </w:r>
          </w:p>
        </w:tc>
        <w:tc>
          <w:tcPr>
            <w:tcW w:w="55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F524B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此件不予公开</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D99F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沈浑南政办发〔2023〕6号</w:t>
            </w:r>
          </w:p>
        </w:tc>
      </w:tr>
      <w:tr w14:paraId="7F9B8BED">
        <w:tblPrEx>
          <w:tblCellMar>
            <w:top w:w="0" w:type="dxa"/>
            <w:left w:w="0" w:type="dxa"/>
            <w:bottom w:w="0" w:type="dxa"/>
            <w:right w:w="0" w:type="dxa"/>
          </w:tblCellMar>
        </w:tblPrEx>
        <w:trPr>
          <w:trHeight w:val="780" w:hRule="atLeast"/>
        </w:trPr>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17CA1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w:t>
            </w:r>
          </w:p>
        </w:tc>
        <w:tc>
          <w:tcPr>
            <w:tcW w:w="55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AC5B5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此件不予公开</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22C2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沈浑南政办发〔2023〕17号</w:t>
            </w:r>
          </w:p>
        </w:tc>
      </w:tr>
    </w:tbl>
    <w:p w14:paraId="1934919B">
      <w:pPr>
        <w:keepNext w:val="0"/>
        <w:keepLines w:val="0"/>
        <w:pageBreakBefore w:val="0"/>
        <w:widowControl w:val="0"/>
        <w:kinsoku/>
        <w:wordWrap/>
        <w:overflowPunct/>
        <w:topLinePunct w:val="0"/>
        <w:autoSpaceDE/>
        <w:autoSpaceDN/>
        <w:bidi w:val="0"/>
        <w:adjustRightInd/>
        <w:snapToGrid/>
        <w:spacing w:line="579" w:lineRule="exact"/>
        <w:jc w:val="both"/>
        <w:textAlignment w:val="auto"/>
      </w:pPr>
    </w:p>
    <w:p w14:paraId="332B9A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EAFD8250-EBC5-44FF-BB8B-F051F49947D1}"/>
  </w:font>
  <w:font w:name="仿宋_GB2312">
    <w:altName w:val="仿宋"/>
    <w:panose1 w:val="02010609030101010101"/>
    <w:charset w:val="86"/>
    <w:family w:val="modern"/>
    <w:pitch w:val="default"/>
    <w:sig w:usb0="00000000" w:usb1="00000000" w:usb2="00000000" w:usb3="00000000" w:csb0="00040000" w:csb1="00000000"/>
    <w:embedRegular r:id="rId2" w:fontKey="{10C09F76-7F60-4DC0-9E7F-723DBAF3710C}"/>
  </w:font>
  <w:font w:name="方正小标宋_GBK">
    <w:panose1 w:val="02000000000000000000"/>
    <w:charset w:val="86"/>
    <w:family w:val="auto"/>
    <w:pitch w:val="default"/>
    <w:sig w:usb0="A00002BF" w:usb1="38CF7CFA" w:usb2="00082016" w:usb3="00000000" w:csb0="00040001" w:csb1="00000000"/>
    <w:embedRegular r:id="rId3" w:fontKey="{5421014C-6A32-40AB-A791-B55D72FB290D}"/>
  </w:font>
  <w:font w:name="楷体_GB2312">
    <w:altName w:val="楷体"/>
    <w:panose1 w:val="02010609030101010101"/>
    <w:charset w:val="86"/>
    <w:family w:val="modern"/>
    <w:pitch w:val="default"/>
    <w:sig w:usb0="00000000" w:usb1="00000000" w:usb2="00000000" w:usb3="00000000" w:csb0="00040000" w:csb1="00000000"/>
    <w:embedRegular r:id="rId4" w:fontKey="{5327F252-5871-48B2-B322-3921CEB01345}"/>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E79D4"/>
    <w:rsid w:val="359E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line="579" w:lineRule="exact"/>
      <w:ind w:firstLine="883" w:firstLineChars="200"/>
      <w:jc w:val="both"/>
      <w:outlineLvl w:val="0"/>
    </w:pPr>
    <w:rPr>
      <w:rFonts w:ascii="宋体" w:hAnsi="宋体" w:eastAsia="仿宋_GB2312" w:cs="宋体"/>
      <w:bCs/>
      <w:kern w:val="36"/>
      <w:sz w:val="32"/>
      <w:szCs w:val="4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2024-12-24T09:13:00Z</dcterms:created>
  <dc:creator>杨洋</dc:creator>
  <cp:lastModifiedBy>杨洋</cp:lastModifiedBy>
  <dcterms:modified xsi:type="dcterms:W3CDTF">2024-12-24T09:14:11Z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8C715446D1BB4D4A8FAF8E8521D11E60_11</vt:lpwstr>
  </property>
</Properties>
</file>