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3370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32"/>
          <w:lang w:val="en-US" w:eastAsia="zh-CN" w:bidi="ar-SA"/>
        </w:rPr>
        <w:t>附件3</w:t>
      </w:r>
    </w:p>
    <w:p w14:paraId="3DD342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p>
    <w:p w14:paraId="0C558D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宋体" w:hAnsi="宋体" w:eastAsia="宋体" w:cs="宋体"/>
          <w:b/>
          <w:bCs/>
          <w:snapToGrid/>
          <w:w w:val="98"/>
          <w:kern w:val="2"/>
          <w:sz w:val="44"/>
          <w:szCs w:val="44"/>
          <w:lang w:val="en-US" w:eastAsia="zh-CN"/>
        </w:rPr>
        <w:t>区政府及区政府办公室</w:t>
      </w:r>
    </w:p>
    <w:p w14:paraId="7EDFE9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kern w:val="2"/>
          <w:sz w:val="44"/>
          <w:szCs w:val="44"/>
          <w:lang w:val="en-US" w:eastAsia="zh-CN"/>
        </w:rPr>
      </w:pPr>
      <w:r>
        <w:rPr>
          <w:rFonts w:hint="eastAsia" w:ascii="宋体" w:hAnsi="宋体" w:eastAsia="宋体" w:cs="宋体"/>
          <w:b/>
          <w:bCs/>
          <w:snapToGrid/>
          <w:w w:val="98"/>
          <w:kern w:val="2"/>
          <w:sz w:val="44"/>
          <w:szCs w:val="44"/>
          <w:lang w:val="en-US" w:eastAsia="zh-CN"/>
        </w:rPr>
        <w:t>政策性和规范性文件清理目</w:t>
      </w:r>
      <w:r>
        <w:rPr>
          <w:rFonts w:hint="eastAsia" w:ascii="宋体" w:hAnsi="宋体" w:eastAsia="宋体" w:cs="宋体"/>
          <w:b/>
          <w:bCs/>
          <w:snapToGrid/>
          <w:kern w:val="2"/>
          <w:sz w:val="44"/>
          <w:szCs w:val="44"/>
          <w:lang w:val="en-US" w:eastAsia="zh-CN"/>
        </w:rPr>
        <w:t>录</w:t>
      </w:r>
    </w:p>
    <w:p w14:paraId="4ACD6568">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（失效）</w:t>
      </w:r>
    </w:p>
    <w:p w14:paraId="106279D8">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Calibri" w:hAnsi="Calibri" w:eastAsia="仿宋_GB2312" w:cs="Times New Roman"/>
          <w:snapToGrid/>
          <w:kern w:val="2"/>
          <w:sz w:val="32"/>
          <w:szCs w:val="24"/>
          <w:lang w:val="en-US" w:eastAsia="zh-CN"/>
        </w:rPr>
      </w:pPr>
    </w:p>
    <w:tbl>
      <w:tblPr>
        <w:tblStyle w:val="3"/>
        <w:tblW w:w="8498" w:type="dxa"/>
        <w:jc w:val="center"/>
        <w:tblLayout w:type="autofit"/>
        <w:tblCellMar>
          <w:top w:w="45" w:type="dxa"/>
          <w:left w:w="96" w:type="dxa"/>
          <w:bottom w:w="45" w:type="dxa"/>
          <w:right w:w="96" w:type="dxa"/>
        </w:tblCellMar>
      </w:tblPr>
      <w:tblGrid>
        <w:gridCol w:w="835"/>
        <w:gridCol w:w="5684"/>
        <w:gridCol w:w="1979"/>
      </w:tblGrid>
      <w:tr w14:paraId="3A39D307">
        <w:tblPrEx>
          <w:tblCellMar>
            <w:top w:w="45" w:type="dxa"/>
            <w:left w:w="96" w:type="dxa"/>
            <w:bottom w:w="45" w:type="dxa"/>
            <w:right w:w="96" w:type="dxa"/>
          </w:tblCellMar>
        </w:tblPrEx>
        <w:trPr>
          <w:trHeight w:val="0" w:hRule="atLeast"/>
          <w:tblHeader/>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26B9">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序号</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899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文件标题</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E9BD9">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文号</w:t>
            </w:r>
          </w:p>
        </w:tc>
      </w:tr>
      <w:tr w14:paraId="1BD9D961">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4DB5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1</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CFB67">
            <w:pPr>
              <w:keepNext w:val="0"/>
              <w:keepLines w:val="0"/>
              <w:widowControl/>
              <w:suppressLineNumbers w:val="0"/>
              <w:snapToGrid w:val="0"/>
              <w:jc w:val="left"/>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关于印发《浑南区（沈阳高新区）关于支持企业上市发展的政策措施》的通知</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371ED">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沈浑南政发〔2020〕10号</w:t>
            </w:r>
          </w:p>
        </w:tc>
      </w:tr>
      <w:tr w14:paraId="5CBFA09C">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9B85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2</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FD86D">
            <w:pPr>
              <w:keepNext w:val="0"/>
              <w:keepLines w:val="0"/>
              <w:widowControl/>
              <w:suppressLineNumbers w:val="0"/>
              <w:snapToGrid w:val="0"/>
              <w:jc w:val="left"/>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关于印发浑南区促进金融业发展若干政策实施办法的通知</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A4F3">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沈浑南政办发〔2016〕6号</w:t>
            </w:r>
          </w:p>
        </w:tc>
      </w:tr>
      <w:tr w14:paraId="2F6796DD">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3469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3</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3EA1DA0C">
            <w:pPr>
              <w:keepNext w:val="0"/>
              <w:keepLines w:val="0"/>
              <w:widowControl/>
              <w:suppressLineNumbers w:val="0"/>
              <w:snapToGrid w:val="0"/>
              <w:jc w:val="left"/>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此件不予公开</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8E9A9B0">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沈浑南政办发〔2020〕26号</w:t>
            </w:r>
          </w:p>
        </w:tc>
      </w:tr>
      <w:tr w14:paraId="6F4C3BCB">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C224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4</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3A455">
            <w:pPr>
              <w:keepNext w:val="0"/>
              <w:keepLines w:val="0"/>
              <w:widowControl/>
              <w:suppressLineNumbers w:val="0"/>
              <w:snapToGrid w:val="0"/>
              <w:jc w:val="left"/>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浑南区人民政府办公室关于印发浑南区（沈阳高新区）关于支持企业上市发展的政策措施实施细则的通知</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515BB">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沈浑南政办发〔2020〕38号</w:t>
            </w:r>
          </w:p>
        </w:tc>
      </w:tr>
      <w:tr w14:paraId="30A732E3">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0328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5</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0C975401">
            <w:pPr>
              <w:keepNext w:val="0"/>
              <w:keepLines w:val="0"/>
              <w:widowControl/>
              <w:suppressLineNumbers w:val="0"/>
              <w:snapToGrid w:val="0"/>
              <w:jc w:val="left"/>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浑南区人民政府办公室关于印发浑南区降低实体经济成本22条措施实施细则的通知</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1FEC16E4">
            <w:pPr>
              <w:keepNext w:val="0"/>
              <w:keepLines w:val="0"/>
              <w:widowControl/>
              <w:suppressLineNumbers w:val="0"/>
              <w:snapToGrid w:val="0"/>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val="0"/>
                <w:color w:val="000000"/>
                <w:kern w:val="0"/>
                <w:sz w:val="24"/>
                <w:szCs w:val="24"/>
                <w:u w:val="none"/>
                <w:lang w:val="en-US" w:eastAsia="zh-CN" w:bidi="ar"/>
              </w:rPr>
              <w:t>沈浑南政办发〔2021〕4号</w:t>
            </w:r>
          </w:p>
        </w:tc>
      </w:tr>
      <w:tr w14:paraId="45564F2D">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0F69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6</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47852BED">
            <w:pPr>
              <w:keepNext w:val="0"/>
              <w:keepLines w:val="0"/>
              <w:widowControl/>
              <w:suppressLineNumbers w:val="0"/>
              <w:snapToGrid w:val="0"/>
              <w:jc w:val="left"/>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此件不予公开</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6059BBAD">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沈浑南政办发〔2021〕20号</w:t>
            </w:r>
          </w:p>
        </w:tc>
      </w:tr>
      <w:tr w14:paraId="647D42CC">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8841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7</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29F8A934">
            <w:pPr>
              <w:keepNext w:val="0"/>
              <w:keepLines w:val="0"/>
              <w:widowControl/>
              <w:suppressLineNumbers w:val="0"/>
              <w:snapToGrid w:val="0"/>
              <w:jc w:val="left"/>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浑南区人民政府办公室关于印发浑南区加快楼宇经济发展工作方案的通知</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09F17D18">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沈浑南政办发〔2021〕24号</w:t>
            </w:r>
          </w:p>
        </w:tc>
      </w:tr>
      <w:tr w14:paraId="453F8191">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2264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8</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3A91E006">
            <w:pPr>
              <w:keepNext w:val="0"/>
              <w:keepLines w:val="0"/>
              <w:widowControl/>
              <w:suppressLineNumbers w:val="0"/>
              <w:snapToGrid w:val="0"/>
              <w:jc w:val="left"/>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浑南区人民政府办公室关于印发浑南区城乡结合部提升改造三年行动方案(2021-2023年)的通知</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0B1851D">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沈浑南政办发〔2021〕27号</w:t>
            </w:r>
          </w:p>
        </w:tc>
      </w:tr>
      <w:tr w14:paraId="4C6A3DAD">
        <w:tblPrEx>
          <w:tblCellMar>
            <w:top w:w="45" w:type="dxa"/>
            <w:left w:w="96" w:type="dxa"/>
            <w:bottom w:w="45" w:type="dxa"/>
            <w:right w:w="96" w:type="dxa"/>
          </w:tblCellMar>
        </w:tblPrEx>
        <w:trPr>
          <w:trHeight w:val="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2E1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9</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14:paraId="394911FF">
            <w:pPr>
              <w:keepNext w:val="0"/>
              <w:keepLines w:val="0"/>
              <w:widowControl/>
              <w:suppressLineNumbers w:val="0"/>
              <w:snapToGrid w:val="0"/>
              <w:jc w:val="left"/>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浑南区人民政府办公室关于印发浑南区降低实体经济成本22条措施补充政策实施细则的通知</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46C81FCA">
            <w:pPr>
              <w:keepNext w:val="0"/>
              <w:keepLines w:val="0"/>
              <w:widowControl/>
              <w:suppressLineNumbers w:val="0"/>
              <w:snapToGrid w:val="0"/>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沈浑南政办发〔2021〕32号</w:t>
            </w:r>
          </w:p>
        </w:tc>
      </w:tr>
    </w:tbl>
    <w:p w14:paraId="743F00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50E41"/>
    <w:rsid w:val="5CE5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2025-09-08T08:30:00Z</dcterms:created>
  <dc:creator>杨洋</dc:creator>
  <cp:lastModifiedBy>杨洋</cp:lastModifiedBy>
  <dcterms:modified xsi:type="dcterms:W3CDTF">2025-09-08T08:31:10Z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E614558C122B44C49BB7A82661545839_11</vt:lpwstr>
  </property>
  <property fmtid="{D5CDD505-2E9C-101B-9397-08002B2CF9AE}" pid="4" name="KSOTemplateDocerSaveRecord">
    <vt:lpwstr>eyJoZGlkIjoiNzZiZTQ3ZmI1OTFmODUzNzgwMGRlNDBmMWZiZDQzMjEiLCJ1c2VySWQiOiIyMzQ0MjI2NjQifQ==</vt:lpwstr>
  </property>
</Properties>
</file>