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7A8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napToGrid/>
          <w:w w:val="98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w w:val="98"/>
          <w:kern w:val="2"/>
          <w:sz w:val="32"/>
          <w:szCs w:val="32"/>
          <w:lang w:val="en-US" w:eastAsia="zh-CN"/>
        </w:rPr>
        <w:t>附件4</w:t>
      </w:r>
    </w:p>
    <w:p w14:paraId="4E6096E6">
      <w:pPr>
        <w:pStyle w:val="2"/>
        <w:rPr>
          <w:rFonts w:hint="eastAsia"/>
          <w:lang w:val="en-US" w:eastAsia="zh-CN"/>
        </w:rPr>
      </w:pPr>
    </w:p>
    <w:p w14:paraId="0A67E5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w w:val="98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w w:val="98"/>
          <w:kern w:val="2"/>
          <w:sz w:val="44"/>
          <w:szCs w:val="44"/>
          <w:lang w:val="en-US" w:eastAsia="zh-CN"/>
        </w:rPr>
        <w:t>区政府及区政府办公室</w:t>
      </w:r>
    </w:p>
    <w:p w14:paraId="2C8ADE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napToGrid/>
          <w:w w:val="98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w w:val="98"/>
          <w:kern w:val="2"/>
          <w:sz w:val="44"/>
          <w:szCs w:val="44"/>
          <w:lang w:val="en-US" w:eastAsia="zh-CN"/>
        </w:rPr>
        <w:t>政策性和规范性文件清理修改文件</w:t>
      </w:r>
    </w:p>
    <w:p w14:paraId="2DFF657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Calibri" w:eastAsia="仿宋_GB2312" w:cs="Times New Roman"/>
          <w:snapToGrid/>
          <w:kern w:val="2"/>
          <w:sz w:val="32"/>
          <w:szCs w:val="32"/>
        </w:rPr>
      </w:pPr>
    </w:p>
    <w:p w14:paraId="4F4D9AE4"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 w:bidi="ar-SA"/>
        </w:rPr>
        <w:t>《沈阳市浑南区人民政府办公室关于印发浑南区（沈阳高新区）招商引资项目协议监督管理办法的通知》（沈浑南政办发〔2025〕1号）</w:t>
      </w:r>
      <w:bookmarkStart w:id="0" w:name="_GoBack"/>
      <w:bookmarkEnd w:id="0"/>
    </w:p>
    <w:p w14:paraId="3A612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lang w:val="en-US" w:eastAsia="zh-CN"/>
        </w:rPr>
        <w:t>将第五条“‘新东拓+’科技招商项目准入依照《沈阳高新区（浑南科技城）‘新东拓+’项目准入及退出机制（试行）》（沈高新区发〔2024〕1号）以及《‘新东拓+’科技招商专项行动工作规则修订版》（沈高新区发〔2025〕4号）执行，对项目开展评估工作”删除。</w:t>
      </w:r>
    </w:p>
    <w:p w14:paraId="6E1A9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lang w:val="en-US" w:eastAsia="zh-CN"/>
        </w:rPr>
        <w:t>将第十条“高新区财政金融局根据《浑南区产业扶持项目事前绩效评价操作规程》（沈浑财发〔2024〕4号）、《关于对产业扶持项目开展事前绩效评价调整意见的函》（沈浑财发〔2020〕20号）文件要求，结合工作实际，对项目引进部门起草的招商引资协议（拟签署版）进行绩效评价，并于7个工作日内完成招商引资协议核心条款内容的事前绩效评价。”修改为“高新区党政综合办公室根据相关文件要求，结合工作实际，对项目引进部门起草的招商引资协议（拟签署版）进行绩效评价，并于7个工作日内完成招商引资协议核心条款内容的事前绩效评价。”</w:t>
      </w:r>
    </w:p>
    <w:p w14:paraId="62F74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lang w:val="en-US" w:eastAsia="zh-CN"/>
        </w:rPr>
        <w:t>将第十二条、十九条“高新区党政办公室”修改为“高新区党政综合办公室”。</w:t>
      </w:r>
    </w:p>
    <w:p w14:paraId="2639A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lang w:val="en-US" w:eastAsia="zh-CN"/>
        </w:rPr>
        <w:t>将第二十条“产业项目依照《浑南区（沈阳高新区）招商引资政策兑现管理办法》（沈浑南政办发〔2022〕14号）执行；‘新东拓+’项目依照《沈阳高新区（浑南科技城）‘新东拓+’</w:t>
      </w: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  <w:t>项目管理流程规范》（沈高新区发〔2024〕4号）执行”删除。</w:t>
      </w:r>
    </w:p>
    <w:p w14:paraId="3F5B7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  <w:t>将第二十一条、第二十五条合并为第二十一条：“高新区党政综合办公室：主要负责收集主任办公会议和领导小组会议议题；召集会议，并通知协调相关成员单位参加会议；审核下发会议纪要，督办相关单位落实会议精神，对项目开展事前、事后绩效评价，核算已请款项目政策资金已兑现及未兑现金额，将政策兑现项目资金拨付项目单位”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后续条款依次顺延。</w:t>
      </w:r>
    </w:p>
    <w:p w14:paraId="00696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  <w:t>将第二十二条 “高新区投资促进局”修改为“各项目引进部门”。</w:t>
      </w:r>
    </w:p>
    <w:p w14:paraId="360EC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  <w:t>将第二十三条“高新区科技创新局：负责按《‘新东拓+’科技招商专项行动工作规则》中要求，对引进的孵化类、平台类、科研类、高企类的项目进行评估考核认定、制定科技招商项目的政策兑现初审和资金兑付工作。”修改为“高新区科技创新局：负责对引进的孵化类、平台类、科研类、高企类的项目进行评估考核认定、制定科技招商项目的政策兑现初审和资金兑付工作。”</w:t>
      </w:r>
    </w:p>
    <w:p w14:paraId="4D699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  <w:t>将第三十六条“产业用地项目监管工作继续按照《浑南区产业用地项目监管制度》签订监管协议，进行监管”删除。</w:t>
      </w:r>
    </w:p>
    <w:p w14:paraId="4149B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1"/>
        <w:jc w:val="both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40"/>
          <w:highlight w:val="none"/>
          <w:lang w:val="en-US" w:eastAsia="zh-CN"/>
        </w:rPr>
        <w:t>将附件“高新区财政金融局”“高新区党政办”调整为“高新区党政综合办公室”。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D7B40"/>
    <w:rsid w:val="23D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2026-07-27T07:15:00Z</dcterms:created>
  <dc:creator>杨洋</dc:creator>
  <cp:lastModifiedBy>杨洋</cp:lastModifiedBy>
  <dcterms:modified xsi:type="dcterms:W3CDTF">2026-07-27T07:15:54Z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3EBE0D56E3C94C269E083FB5CC201D8C_11</vt:lpwstr>
  </property>
  <property fmtid="{D5CDD505-2E9C-101B-9397-08002B2CF9AE}" pid="4" name="KSOTemplateDocerSaveRecord">
    <vt:lpwstr>eyJoZGlkIjoiNzZiZTQ3ZmI1OTFmODUzNzgwMGRlNDBmMWZiZDQzMjEiLCJ1c2VySWQiOiIyMzQ0MjI2NjQifQ==</vt:lpwstr>
  </property>
</Properties>
</file>