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lang w:val="zh-CN"/>
        </w:rPr>
      </w:pPr>
    </w:p>
    <w:p>
      <w:pPr>
        <w:autoSpaceDE w:val="0"/>
        <w:autoSpaceDN w:val="0"/>
        <w:adjustRightInd w:val="0"/>
        <w:snapToGrid w:val="0"/>
        <w:spacing w:line="560" w:lineRule="exact"/>
        <w:jc w:val="center"/>
        <w:outlineLvl w:val="0"/>
        <w:rPr>
          <w:rFonts w:ascii="宋体" w:hAnsi="宋体" w:cs="宋体"/>
          <w:b/>
          <w:bCs/>
          <w:snapToGrid w:val="0"/>
          <w:sz w:val="44"/>
          <w:szCs w:val="44"/>
          <w:lang w:val="zh-CN" w:bidi="zh-CN"/>
        </w:rPr>
      </w:pPr>
      <w:r>
        <w:rPr>
          <w:rFonts w:hint="eastAsia" w:ascii="宋体" w:hAnsi="宋体" w:cs="宋体"/>
          <w:b/>
          <w:bCs/>
          <w:snapToGrid w:val="0"/>
          <w:sz w:val="44"/>
          <w:szCs w:val="44"/>
          <w:lang w:val="zh-CN" w:bidi="zh-CN"/>
        </w:rPr>
        <w:t>浑南区</w:t>
      </w:r>
      <w:r>
        <w:rPr>
          <w:rFonts w:ascii="宋体" w:hAnsi="宋体" w:cs="宋体"/>
          <w:b/>
          <w:bCs/>
          <w:snapToGrid w:val="0"/>
          <w:sz w:val="44"/>
          <w:szCs w:val="44"/>
          <w:lang w:val="zh-CN" w:bidi="zh-CN"/>
        </w:rPr>
        <w:t>20</w:t>
      </w:r>
      <w:r>
        <w:rPr>
          <w:rFonts w:hint="eastAsia" w:ascii="宋体" w:hAnsi="宋体" w:cs="宋体"/>
          <w:b/>
          <w:bCs/>
          <w:snapToGrid w:val="0"/>
          <w:sz w:val="44"/>
          <w:szCs w:val="44"/>
          <w:lang w:val="zh-CN" w:bidi="zh-CN"/>
        </w:rPr>
        <w:t>24</w:t>
      </w:r>
      <w:r>
        <w:rPr>
          <w:rFonts w:ascii="宋体" w:hAnsi="宋体" w:cs="宋体"/>
          <w:b/>
          <w:bCs/>
          <w:snapToGrid w:val="0"/>
          <w:sz w:val="44"/>
          <w:szCs w:val="44"/>
          <w:lang w:val="zh-CN" w:bidi="zh-CN"/>
        </w:rPr>
        <w:t>年黑土地保护性耕作</w:t>
      </w:r>
    </w:p>
    <w:p>
      <w:pPr>
        <w:autoSpaceDE w:val="0"/>
        <w:autoSpaceDN w:val="0"/>
        <w:adjustRightInd w:val="0"/>
        <w:snapToGrid w:val="0"/>
        <w:spacing w:line="560" w:lineRule="exact"/>
        <w:jc w:val="center"/>
        <w:outlineLvl w:val="0"/>
        <w:rPr>
          <w:rFonts w:ascii="宋体" w:hAnsi="宋体" w:cs="宋体"/>
          <w:b/>
          <w:bCs/>
          <w:snapToGrid w:val="0"/>
          <w:sz w:val="44"/>
          <w:szCs w:val="44"/>
          <w:lang w:val="zh-CN" w:bidi="zh-CN"/>
        </w:rPr>
      </w:pPr>
      <w:r>
        <w:rPr>
          <w:rFonts w:hint="eastAsia" w:ascii="宋体" w:hAnsi="宋体" w:cs="宋体"/>
          <w:b/>
          <w:bCs/>
          <w:snapToGrid w:val="0"/>
          <w:sz w:val="44"/>
          <w:szCs w:val="44"/>
          <w:lang w:val="zh-CN" w:bidi="zh-CN"/>
        </w:rPr>
        <w:t>院府合作</w:t>
      </w:r>
      <w:r>
        <w:rPr>
          <w:rFonts w:ascii="宋体" w:hAnsi="宋体" w:cs="宋体"/>
          <w:b/>
          <w:bCs/>
          <w:snapToGrid w:val="0"/>
          <w:sz w:val="44"/>
          <w:szCs w:val="44"/>
          <w:lang w:val="zh-CN" w:bidi="zh-CN"/>
        </w:rPr>
        <w:t>实施方案</w:t>
      </w:r>
    </w:p>
    <w:p>
      <w:pPr>
        <w:autoSpaceDE w:val="0"/>
        <w:autoSpaceDN w:val="0"/>
        <w:adjustRightInd w:val="0"/>
        <w:snapToGrid w:val="0"/>
        <w:spacing w:line="560" w:lineRule="exact"/>
        <w:rPr>
          <w:rFonts w:ascii="宋体" w:hAnsi="仿宋" w:eastAsia="仿宋" w:cs="仿宋"/>
          <w:b/>
          <w:snapToGrid w:val="0"/>
          <w:sz w:val="52"/>
          <w:szCs w:val="32"/>
          <w:lang w:val="zh-CN" w:bidi="zh-CN"/>
        </w:rPr>
      </w:pP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val="zh-CN" w:bidi="zh-CN"/>
        </w:rPr>
      </w:pPr>
      <w:r>
        <w:rPr>
          <w:rFonts w:hint="eastAsia" w:ascii="仿宋_GB2312" w:hAnsi="仿宋_GB2312" w:eastAsia="仿宋_GB2312" w:cs="仿宋_GB2312"/>
          <w:snapToGrid w:val="0"/>
          <w:color w:val="auto"/>
          <w:sz w:val="32"/>
          <w:szCs w:val="32"/>
          <w:lang w:val="zh-CN" w:bidi="zh-CN"/>
        </w:rPr>
        <w:t>为深入贯彻落实国家、省、市《东北黑土地保护性耕作行动计划（2020-2025年）》、</w:t>
      </w:r>
      <w:r>
        <w:rPr>
          <w:rFonts w:hint="eastAsia" w:ascii="仿宋_GB2312" w:hAnsi="仿宋_GB2312" w:eastAsia="仿宋_GB2312" w:cs="仿宋_GB2312"/>
          <w:color w:val="auto"/>
          <w:sz w:val="32"/>
          <w:szCs w:val="32"/>
          <w:lang w:val="zh-CN" w:bidi="zh-CN"/>
        </w:rPr>
        <w:t>《市农业农村局市财政局关于印发沈阳市2024年</w:t>
      </w:r>
      <w:r>
        <w:rPr>
          <w:rFonts w:hint="eastAsia" w:ascii="仿宋_GB2312" w:hAnsi="仿宋_GB2312" w:eastAsia="仿宋_GB2312" w:cs="仿宋_GB2312"/>
          <w:bCs/>
          <w:snapToGrid w:val="0"/>
          <w:color w:val="auto"/>
          <w:sz w:val="32"/>
          <w:szCs w:val="32"/>
          <w:lang w:bidi="zh-CN"/>
        </w:rPr>
        <w:t>黑土地保护性耕作院府合作</w:t>
      </w:r>
      <w:r>
        <w:rPr>
          <w:rFonts w:hint="eastAsia" w:ascii="仿宋_GB2312" w:hAnsi="仿宋_GB2312" w:eastAsia="仿宋_GB2312" w:cs="仿宋_GB2312"/>
          <w:color w:val="auto"/>
          <w:sz w:val="32"/>
          <w:szCs w:val="32"/>
          <w:lang w:val="zh-CN" w:bidi="zh-CN"/>
        </w:rPr>
        <w:t>实施方案的通知》（沈农机发〔2024〕</w:t>
      </w:r>
      <w:r>
        <w:rPr>
          <w:rFonts w:hint="eastAsia" w:ascii="仿宋_GB2312" w:hAnsi="仿宋_GB2312" w:eastAsia="仿宋_GB2312" w:cs="仿宋_GB2312"/>
          <w:color w:val="auto"/>
          <w:sz w:val="32"/>
          <w:szCs w:val="32"/>
          <w:lang w:bidi="zh-CN"/>
        </w:rPr>
        <w:t>46</w:t>
      </w:r>
      <w:r>
        <w:rPr>
          <w:rFonts w:hint="eastAsia" w:ascii="仿宋_GB2312" w:hAnsi="仿宋_GB2312" w:eastAsia="仿宋_GB2312" w:cs="仿宋_GB2312"/>
          <w:color w:val="auto"/>
          <w:sz w:val="32"/>
          <w:szCs w:val="32"/>
          <w:lang w:val="zh-CN" w:bidi="zh-CN"/>
        </w:rPr>
        <w:t>号），</w:t>
      </w:r>
      <w:r>
        <w:rPr>
          <w:rFonts w:hint="eastAsia" w:ascii="仿宋_GB2312" w:hAnsi="仿宋_GB2312" w:eastAsia="仿宋_GB2312" w:cs="仿宋_GB2312"/>
          <w:snapToGrid w:val="0"/>
          <w:color w:val="auto"/>
          <w:sz w:val="32"/>
          <w:szCs w:val="32"/>
          <w:lang w:val="zh-CN" w:bidi="zh-CN"/>
        </w:rPr>
        <w:t>高质量完成2024年度保护性耕作目标任务，结合我区实际，制定本实施方案。</w:t>
      </w:r>
    </w:p>
    <w:p>
      <w:pPr>
        <w:autoSpaceDE w:val="0"/>
        <w:autoSpaceDN w:val="0"/>
        <w:adjustRightInd w:val="0"/>
        <w:snapToGrid w:val="0"/>
        <w:spacing w:line="560" w:lineRule="exact"/>
        <w:ind w:firstLine="640" w:firstLineChars="200"/>
        <w:rPr>
          <w:rFonts w:ascii="黑体" w:hAnsi="黑体" w:eastAsia="黑体" w:cs="黑体"/>
          <w:snapToGrid w:val="0"/>
          <w:color w:val="auto"/>
          <w:sz w:val="32"/>
          <w:szCs w:val="32"/>
          <w:lang w:val="zh-CN" w:bidi="zh-CN"/>
        </w:rPr>
      </w:pPr>
      <w:r>
        <w:rPr>
          <w:rFonts w:hint="eastAsia" w:ascii="黑体" w:hAnsi="黑体" w:eastAsia="黑体" w:cs="黑体"/>
          <w:snapToGrid w:val="0"/>
          <w:color w:val="auto"/>
          <w:sz w:val="32"/>
          <w:szCs w:val="32"/>
          <w:lang w:val="zh-CN" w:bidi="zh-CN"/>
        </w:rPr>
        <w:t>一、总体要求</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val="zh-CN" w:bidi="zh-CN"/>
        </w:rPr>
      </w:pPr>
      <w:r>
        <w:rPr>
          <w:rFonts w:hint="eastAsia" w:ascii="仿宋_GB2312" w:hAnsi="仿宋_GB2312" w:eastAsia="仿宋_GB2312" w:cs="仿宋_GB2312"/>
          <w:snapToGrid w:val="0"/>
          <w:color w:val="auto"/>
          <w:sz w:val="32"/>
          <w:szCs w:val="32"/>
          <w:lang w:val="zh-CN" w:bidi="zh-CN"/>
        </w:rPr>
        <w:t>为深入贯彻落实习近平总书记关于黑土地保护的重要指示精神，深入实施东北黑土地保护性耕作行动计划。坚持实事求是、守正创新、循序渐进、扩面提质的原则，强化组织领导和政策引导，通过政府与市场两端发力，农机与农艺深度融合，科技支撑与主体培育并重，重点突破与整体推进并举，稳产丰产与节本增效兼顾，技术创新与机制创新并行，在我</w:t>
      </w:r>
      <w:r>
        <w:rPr>
          <w:rFonts w:hint="eastAsia" w:ascii="仿宋_GB2312" w:hAnsi="仿宋_GB2312" w:eastAsia="仿宋_GB2312" w:cs="仿宋_GB2312"/>
          <w:snapToGrid w:val="0"/>
          <w:color w:val="auto"/>
          <w:sz w:val="32"/>
          <w:szCs w:val="32"/>
          <w:lang w:val="zh-CN" w:eastAsia="zh-CN" w:bidi="zh-CN"/>
        </w:rPr>
        <w:t>区</w:t>
      </w:r>
      <w:r>
        <w:rPr>
          <w:rFonts w:hint="eastAsia" w:ascii="仿宋_GB2312" w:hAnsi="仿宋_GB2312" w:eastAsia="仿宋_GB2312" w:cs="仿宋_GB2312"/>
          <w:snapToGrid w:val="0"/>
          <w:color w:val="auto"/>
          <w:sz w:val="32"/>
          <w:szCs w:val="32"/>
          <w:lang w:val="zh-CN" w:bidi="zh-CN"/>
        </w:rPr>
        <w:t>适宜区域开展村级高标准应用基地建设，不断提升实施质量和实施效果，促进黑土地保护和农业可持续发展。</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val="zh-CN" w:bidi="zh-CN"/>
        </w:rPr>
      </w:pPr>
      <w:r>
        <w:rPr>
          <w:rFonts w:hint="eastAsia" w:ascii="黑体" w:hAnsi="黑体" w:eastAsia="黑体" w:cs="黑体"/>
          <w:snapToGrid w:val="0"/>
          <w:color w:val="auto"/>
          <w:sz w:val="32"/>
          <w:szCs w:val="32"/>
          <w:lang w:bidi="zh-CN"/>
        </w:rPr>
        <w:t>二、基本原则</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snapToGrid w:val="0"/>
          <w:color w:val="auto"/>
          <w:sz w:val="32"/>
          <w:szCs w:val="32"/>
          <w:lang w:bidi="zh-CN"/>
        </w:rPr>
        <w:t>坚持“农民自愿、政府引导、市场导向、院府合作”原则，与科研院所建立共同发展的合作机制。引导和鼓励农机合作社、家庭农场、农机户、农民以及其他服务农业的社会化服务组织与科研院所开展合作。</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bidi="zh-CN"/>
        </w:rPr>
      </w:pPr>
      <w:r>
        <w:rPr>
          <w:rFonts w:hint="eastAsia" w:ascii="黑体" w:hAnsi="黑体" w:eastAsia="黑体" w:cs="黑体"/>
          <w:snapToGrid w:val="0"/>
          <w:color w:val="auto"/>
          <w:sz w:val="32"/>
          <w:szCs w:val="32"/>
          <w:lang w:bidi="zh-CN"/>
        </w:rPr>
        <w:t>三、合作内容</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val="zh-CN" w:bidi="zh-CN"/>
        </w:rPr>
      </w:pPr>
      <w:r>
        <w:rPr>
          <w:rFonts w:hint="eastAsia" w:ascii="仿宋_GB2312" w:hAnsi="仿宋_GB2312" w:eastAsia="仿宋_GB2312" w:cs="仿宋_GB2312"/>
          <w:snapToGrid w:val="0"/>
          <w:color w:val="auto"/>
          <w:sz w:val="32"/>
          <w:szCs w:val="32"/>
          <w:lang w:val="zh-CN" w:bidi="zh-CN"/>
        </w:rPr>
        <w:t>本着服务农民的宗旨，贯彻中央保护黑土地政策精神，更大范围推广保护性耕作技术，使农民不出村便能看到学到保护性耕作技术，将黑土地保护政策宣传到农民身边，2024年继续开展以相关科研院所为技术支撑，以合作社、农机大户、种粮大户等为实施建设主体，区和各街道农业农村部门以及农技推广部门全面参与的院府合作项目，建设村级保护性耕作标准应用基地（以下简称基地）。通过建立完善的保护性耕作制度，带动能力、服务能力显著提升，农作物产量、黑土地各项指标有所提高，产学研用结合更加紧密，科技推广成果显著。</w:t>
      </w:r>
    </w:p>
    <w:p>
      <w:pPr>
        <w:autoSpaceDE w:val="0"/>
        <w:autoSpaceDN w:val="0"/>
        <w:adjustRightInd w:val="0"/>
        <w:snapToGrid w:val="0"/>
        <w:spacing w:line="560" w:lineRule="exact"/>
        <w:ind w:firstLine="643" w:firstLineChars="200"/>
        <w:rPr>
          <w:rFonts w:ascii="仿宋_GB2312" w:hAnsi="仿宋_GB2312" w:eastAsia="仿宋_GB2312" w:cs="仿宋_GB2312"/>
          <w:b/>
          <w:snapToGrid w:val="0"/>
          <w:color w:val="auto"/>
          <w:sz w:val="32"/>
          <w:szCs w:val="32"/>
          <w:lang w:bidi="zh-CN"/>
        </w:rPr>
      </w:pPr>
      <w:r>
        <w:rPr>
          <w:rFonts w:hint="eastAsia" w:ascii="楷体_GB2312" w:hAnsi="楷体_GB2312" w:eastAsia="楷体_GB2312" w:cs="楷体_GB2312"/>
          <w:b/>
          <w:snapToGrid w:val="0"/>
          <w:color w:val="auto"/>
          <w:sz w:val="32"/>
          <w:szCs w:val="32"/>
          <w:lang w:bidi="zh-CN"/>
        </w:rPr>
        <w:t>（一）基地建设</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snapToGrid w:val="0"/>
          <w:color w:val="auto"/>
          <w:sz w:val="32"/>
          <w:szCs w:val="32"/>
          <w:lang w:bidi="zh-CN"/>
        </w:rPr>
        <w:t>区农业农村局指导各街道确定基地建设区域，基地区域地块要相对集中。一是村</w:t>
      </w:r>
      <w:r>
        <w:rPr>
          <w:rFonts w:hint="eastAsia" w:ascii="仿宋_GB2312" w:hAnsi="仿宋_GB2312" w:eastAsia="仿宋_GB2312" w:cs="仿宋_GB2312"/>
          <w:snapToGrid w:val="0"/>
          <w:color w:val="auto"/>
          <w:sz w:val="32"/>
          <w:szCs w:val="32"/>
          <w:lang w:val="en-US" w:bidi="zh-CN"/>
        </w:rPr>
        <w:t>级</w:t>
      </w:r>
      <w:r>
        <w:rPr>
          <w:rFonts w:hint="eastAsia" w:ascii="仿宋_GB2312" w:hAnsi="仿宋_GB2312" w:eastAsia="仿宋_GB2312" w:cs="仿宋_GB2312"/>
          <w:snapToGrid w:val="0"/>
          <w:color w:val="auto"/>
          <w:sz w:val="32"/>
          <w:szCs w:val="32"/>
          <w:lang w:bidi="zh-CN"/>
        </w:rPr>
        <w:t>基地单个面积分别不少于100亩；二是要保障基地建设的持续性和稳定性，同一地块技术应用连续实施3年以上；三是要选择装备实力较强、技术应用较好、积极性较高、经营管理规范、社会信誉度高的农机合作社、农业生产经营组织、农机大户、种粮大户、家庭农场为实施建设主体承担基地建设。</w:t>
      </w:r>
    </w:p>
    <w:p>
      <w:pPr>
        <w:autoSpaceDE w:val="0"/>
        <w:autoSpaceDN w:val="0"/>
        <w:adjustRightInd w:val="0"/>
        <w:snapToGrid w:val="0"/>
        <w:spacing w:line="560" w:lineRule="exact"/>
        <w:ind w:firstLine="643" w:firstLineChars="200"/>
        <w:rPr>
          <w:rFonts w:ascii="仿宋_GB2312" w:hAnsi="仿宋_GB2312" w:eastAsia="仿宋_GB2312" w:cs="仿宋_GB2312"/>
          <w:b/>
          <w:snapToGrid w:val="0"/>
          <w:color w:val="auto"/>
          <w:sz w:val="32"/>
          <w:szCs w:val="32"/>
          <w:lang w:bidi="zh-CN"/>
        </w:rPr>
      </w:pPr>
      <w:r>
        <w:rPr>
          <w:rFonts w:hint="eastAsia" w:ascii="楷体_GB2312" w:hAnsi="楷体_GB2312" w:eastAsia="楷体_GB2312" w:cs="楷体_GB2312"/>
          <w:b/>
          <w:snapToGrid w:val="0"/>
          <w:color w:val="auto"/>
          <w:sz w:val="32"/>
          <w:szCs w:val="32"/>
          <w:lang w:bidi="zh-CN"/>
        </w:rPr>
        <w:t>（二）技术支撑</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snapToGrid w:val="0"/>
          <w:color w:val="auto"/>
          <w:sz w:val="32"/>
          <w:szCs w:val="32"/>
          <w:lang w:bidi="zh-CN"/>
        </w:rPr>
        <w:t>科研院所负责对基地开展技术支撑服务和监测数据采集分析，要以适用性为基础，在模式选择、技术路线、指导应用、技术培训、应用效果监测等方面提供技术支撑和保障。基地在秸秆覆盖上应做到高标准、严要求，原则上要求秸秆覆盖率要达到60%以上。鼓励多采取免耕播种方式，免耕播种应不少于基地面积的40%，播种作业前或播种作业时可采取条耕（旋）、浅耕、灭茬或耙（碎）混等方式进行耕整地或秸秆处理作业。科研院所要在合作期间为基地所在街道培养一支具有先进理念和先进技术的保护性耕作推广队伍，为当地推广工作做好技术储备。科研院所要明确提出适宜本区域的保护性耕作主推模式、技术路线和技术措施，制定完善相关技术方案、技术标准、操作规程等内容，有效指导技术应用。科研院所要持续开展耕地理化、生物性状、生产成本、作物产量、病虫草害、机具装备及技术适用性等情况的监测试验工作，优化技术措施，提升实施效果。科研院所要打造集指导培训、宣传推广、技术集成应用、成果展示于一体的基地，示范带动本地域保护性耕作高标准高质量发展。</w:t>
      </w:r>
    </w:p>
    <w:p>
      <w:pPr>
        <w:autoSpaceDE w:val="0"/>
        <w:autoSpaceDN w:val="0"/>
        <w:adjustRightInd w:val="0"/>
        <w:snapToGrid w:val="0"/>
        <w:spacing w:line="560" w:lineRule="exact"/>
        <w:ind w:firstLine="643" w:firstLineChars="200"/>
        <w:rPr>
          <w:rFonts w:ascii="仿宋_GB2312" w:hAnsi="仿宋_GB2312" w:eastAsia="仿宋_GB2312" w:cs="仿宋_GB2312"/>
          <w:b/>
          <w:snapToGrid w:val="0"/>
          <w:color w:val="auto"/>
          <w:sz w:val="32"/>
          <w:szCs w:val="32"/>
          <w:lang w:bidi="zh-CN"/>
        </w:rPr>
      </w:pPr>
      <w:r>
        <w:rPr>
          <w:rFonts w:hint="eastAsia" w:ascii="楷体_GB2312" w:hAnsi="楷体_GB2312" w:eastAsia="楷体_GB2312" w:cs="楷体_GB2312"/>
          <w:b/>
          <w:snapToGrid w:val="0"/>
          <w:color w:val="auto"/>
          <w:sz w:val="32"/>
          <w:szCs w:val="32"/>
          <w:lang w:bidi="zh-CN"/>
        </w:rPr>
        <w:t>（三）项目要求</w:t>
      </w:r>
    </w:p>
    <w:p>
      <w:pPr>
        <w:autoSpaceDE w:val="0"/>
        <w:autoSpaceDN w:val="0"/>
        <w:adjustRightInd w:val="0"/>
        <w:snapToGrid w:val="0"/>
        <w:spacing w:line="560" w:lineRule="exact"/>
        <w:ind w:firstLine="643"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b/>
          <w:bCs/>
          <w:snapToGrid w:val="0"/>
          <w:color w:val="auto"/>
          <w:sz w:val="32"/>
          <w:szCs w:val="32"/>
          <w:lang w:bidi="zh-CN"/>
        </w:rPr>
        <w:t>1.完善技术应用</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snapToGrid w:val="0"/>
          <w:color w:val="auto"/>
          <w:sz w:val="32"/>
          <w:szCs w:val="32"/>
          <w:lang w:bidi="zh-CN"/>
        </w:rPr>
        <w:t>明确适宜本区域的保护性耕作主推模式、技术路线和技术措施，制定完善相关技术方案、技术标准、操作规程等内容，有效指导技术应用。</w:t>
      </w:r>
    </w:p>
    <w:p>
      <w:pPr>
        <w:autoSpaceDE w:val="0"/>
        <w:autoSpaceDN w:val="0"/>
        <w:adjustRightInd w:val="0"/>
        <w:snapToGrid w:val="0"/>
        <w:spacing w:line="560" w:lineRule="exact"/>
        <w:ind w:firstLine="643" w:firstLineChars="200"/>
        <w:rPr>
          <w:rFonts w:ascii="仿宋_GB2312" w:hAnsi="仿宋_GB2312" w:eastAsia="仿宋_GB2312" w:cs="仿宋_GB2312"/>
          <w:b/>
          <w:bCs/>
          <w:snapToGrid w:val="0"/>
          <w:color w:val="auto"/>
          <w:sz w:val="32"/>
          <w:szCs w:val="32"/>
          <w:lang w:bidi="zh-CN"/>
        </w:rPr>
      </w:pPr>
      <w:r>
        <w:rPr>
          <w:rFonts w:hint="eastAsia" w:ascii="仿宋_GB2312" w:hAnsi="仿宋_GB2312" w:eastAsia="仿宋_GB2312" w:cs="仿宋_GB2312"/>
          <w:b/>
          <w:bCs/>
          <w:snapToGrid w:val="0"/>
          <w:color w:val="auto"/>
          <w:sz w:val="32"/>
          <w:szCs w:val="32"/>
          <w:lang w:bidi="zh-CN"/>
        </w:rPr>
        <w:t>2.完善技术监测</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snapToGrid w:val="0"/>
          <w:color w:val="auto"/>
          <w:sz w:val="32"/>
          <w:szCs w:val="32"/>
          <w:lang w:bidi="zh-CN"/>
        </w:rPr>
        <w:t>持续开展耕地理化、生物性状、生产成本、作物产量、病虫草害、机具装备及技术适用性等情况的监测试验工作，优化技术措施，提升实施效果。</w:t>
      </w:r>
    </w:p>
    <w:p>
      <w:pPr>
        <w:autoSpaceDE w:val="0"/>
        <w:autoSpaceDN w:val="0"/>
        <w:adjustRightInd w:val="0"/>
        <w:snapToGrid w:val="0"/>
        <w:spacing w:line="560" w:lineRule="exact"/>
        <w:ind w:firstLine="643"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b/>
          <w:bCs/>
          <w:snapToGrid w:val="0"/>
          <w:color w:val="auto"/>
          <w:sz w:val="32"/>
          <w:szCs w:val="32"/>
          <w:lang w:bidi="zh-CN"/>
        </w:rPr>
        <w:t>3.充分发挥示范功能和效果</w:t>
      </w:r>
    </w:p>
    <w:p>
      <w:pPr>
        <w:autoSpaceDE w:val="0"/>
        <w:autoSpaceDN w:val="0"/>
        <w:adjustRightInd w:val="0"/>
        <w:snapToGrid w:val="0"/>
        <w:spacing w:line="560" w:lineRule="exact"/>
        <w:ind w:firstLine="640" w:firstLineChars="200"/>
        <w:rPr>
          <w:rFonts w:hint="eastAsia" w:ascii="仿宋_GB2312" w:hAnsi="仿宋_GB2312" w:eastAsia="仿宋_GB2312" w:cs="仿宋_GB2312"/>
          <w:snapToGrid w:val="0"/>
          <w:color w:val="auto"/>
          <w:sz w:val="32"/>
          <w:szCs w:val="32"/>
          <w:lang w:bidi="zh-CN"/>
        </w:rPr>
      </w:pPr>
      <w:r>
        <w:rPr>
          <w:rFonts w:hint="eastAsia" w:ascii="仿宋_GB2312" w:hAnsi="仿宋_GB2312" w:eastAsia="仿宋_GB2312" w:cs="仿宋_GB2312"/>
          <w:snapToGrid w:val="0"/>
          <w:color w:val="auto"/>
          <w:sz w:val="32"/>
          <w:szCs w:val="32"/>
          <w:lang w:bidi="zh-CN"/>
        </w:rPr>
        <w:t>打造集成果展示、指导培训、宣传推广、技术集成应用于一体的高标准保护性耕作示范应用基地，示范带动所在区域保护性耕作高标准高质量发展。</w:t>
      </w:r>
    </w:p>
    <w:p>
      <w:pPr>
        <w:pStyle w:val="2"/>
      </w:pPr>
    </w:p>
    <w:p>
      <w:pPr>
        <w:numPr>
          <w:ilvl w:val="0"/>
          <w:numId w:val="1"/>
        </w:numPr>
        <w:autoSpaceDE w:val="0"/>
        <w:autoSpaceDN w:val="0"/>
        <w:adjustRightInd w:val="0"/>
        <w:snapToGrid w:val="0"/>
        <w:spacing w:line="560" w:lineRule="exact"/>
        <w:ind w:firstLine="640" w:firstLineChars="200"/>
        <w:rPr>
          <w:color w:val="auto"/>
          <w:sz w:val="32"/>
          <w:szCs w:val="32"/>
        </w:rPr>
      </w:pPr>
      <w:r>
        <w:rPr>
          <w:rFonts w:hint="eastAsia" w:ascii="黑体" w:hAnsi="黑体" w:eastAsia="黑体" w:cs="黑体"/>
          <w:snapToGrid w:val="0"/>
          <w:color w:val="auto"/>
          <w:sz w:val="32"/>
          <w:szCs w:val="32"/>
          <w:lang w:bidi="zh-CN"/>
        </w:rPr>
        <w:t>政策支持</w:t>
      </w:r>
    </w:p>
    <w:p>
      <w:pPr>
        <w:autoSpaceDE w:val="0"/>
        <w:autoSpaceDN w:val="0"/>
        <w:adjustRightInd w:val="0"/>
        <w:snapToGrid w:val="0"/>
        <w:spacing w:line="560" w:lineRule="exact"/>
        <w:ind w:firstLine="643" w:firstLineChars="200"/>
        <w:rPr>
          <w:rFonts w:ascii="楷体_GB2312" w:hAnsi="楷体_GB2312" w:eastAsia="楷体_GB2312" w:cs="楷体_GB2312"/>
          <w:b/>
          <w:snapToGrid w:val="0"/>
          <w:color w:val="auto"/>
          <w:sz w:val="32"/>
          <w:szCs w:val="32"/>
          <w:lang w:bidi="zh-CN"/>
        </w:rPr>
      </w:pPr>
      <w:r>
        <w:rPr>
          <w:rFonts w:hint="eastAsia" w:ascii="楷体_GB2312" w:hAnsi="楷体_GB2312" w:eastAsia="楷体_GB2312" w:cs="楷体_GB2312"/>
          <w:b/>
          <w:snapToGrid w:val="0"/>
          <w:color w:val="auto"/>
          <w:sz w:val="32"/>
          <w:szCs w:val="32"/>
          <w:lang w:bidi="zh-CN"/>
        </w:rPr>
        <w:t>（</w:t>
      </w:r>
      <w:r>
        <w:rPr>
          <w:rFonts w:hint="eastAsia" w:ascii="楷体_GB2312" w:hAnsi="楷体_GB2312" w:eastAsia="楷体_GB2312" w:cs="楷体_GB2312"/>
          <w:b/>
          <w:snapToGrid w:val="0"/>
          <w:color w:val="auto"/>
          <w:sz w:val="32"/>
          <w:szCs w:val="32"/>
          <w:lang w:val="en-US" w:bidi="zh-CN"/>
        </w:rPr>
        <w:t>一</w:t>
      </w:r>
      <w:r>
        <w:rPr>
          <w:rFonts w:hint="eastAsia" w:ascii="楷体_GB2312" w:hAnsi="楷体_GB2312" w:eastAsia="楷体_GB2312" w:cs="楷体_GB2312"/>
          <w:b/>
          <w:snapToGrid w:val="0"/>
          <w:color w:val="auto"/>
          <w:sz w:val="32"/>
          <w:szCs w:val="32"/>
          <w:lang w:bidi="zh-CN"/>
        </w:rPr>
        <w:t>）村级高标准应用基地补助</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snapToGrid w:val="0"/>
          <w:color w:val="auto"/>
          <w:sz w:val="32"/>
          <w:szCs w:val="32"/>
          <w:lang w:bidi="zh-CN"/>
        </w:rPr>
        <w:t>1.对承担基地的实施对象补助2万元用于生产投入补助。主要用于对基地所需的种子、化肥农药等物化投入补助，农机作业等社会化服务补助。</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snapToGrid w:val="0"/>
          <w:color w:val="auto"/>
          <w:sz w:val="32"/>
          <w:szCs w:val="32"/>
          <w:lang w:bidi="zh-CN"/>
        </w:rPr>
        <w:t>2.按照1万元/个的标准合理安排使用补助资金，由基地实施主体按照《农业资源及生态保护补助资金管理办法》有关规定，通过购买服务、签订合同等方式委托相关技术支撑单位在基地开展对比试验、数据监测、技术指导、培训示范、基础研究等工作。推动高质量发展。资金主要用于：土壤养分等指标测试费、专家技术培训费、植保产量监测费等。</w:t>
      </w:r>
    </w:p>
    <w:p>
      <w:pPr>
        <w:autoSpaceDE w:val="0"/>
        <w:autoSpaceDN w:val="0"/>
        <w:adjustRightInd w:val="0"/>
        <w:snapToGrid w:val="0"/>
        <w:spacing w:line="560" w:lineRule="exact"/>
        <w:ind w:firstLine="643" w:firstLineChars="200"/>
        <w:rPr>
          <w:rFonts w:ascii="仿宋_GB2312" w:hAnsi="仿宋_GB2312" w:eastAsia="仿宋_GB2312" w:cs="仿宋_GB2312"/>
          <w:b/>
          <w:snapToGrid w:val="0"/>
          <w:color w:val="auto"/>
          <w:sz w:val="32"/>
          <w:szCs w:val="32"/>
          <w:lang w:bidi="zh-CN"/>
        </w:rPr>
      </w:pPr>
      <w:r>
        <w:rPr>
          <w:rFonts w:hint="eastAsia" w:ascii="楷体_GB2312" w:hAnsi="楷体_GB2312" w:eastAsia="楷体_GB2312" w:cs="楷体_GB2312"/>
          <w:b/>
          <w:snapToGrid w:val="0"/>
          <w:color w:val="auto"/>
          <w:sz w:val="32"/>
          <w:szCs w:val="32"/>
          <w:lang w:bidi="zh-CN"/>
        </w:rPr>
        <w:t>（三）技术推广费</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snapToGrid w:val="0"/>
          <w:color w:val="auto"/>
          <w:sz w:val="32"/>
          <w:szCs w:val="32"/>
          <w:lang w:bidi="zh-CN"/>
        </w:rPr>
        <w:t>区农业农村局、乡村振兴发展中心及相关街道办事处参加黑土地保护性耕作技术支撑工作，市级将对每个区、县（市）补助推广费用。其中：每个区、县（市）验收合格达到5个以上（含5个）村级基地，给予2万元技术推广费；验收合格达到10个以上（含10个）村级基地，给予5万元技术推广费。资金主要用于开展黑土地保护性耕作技术培训、推广、科普宣传、印制技术资料、必要的监测器材等方面支出。</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val="zh-CN" w:bidi="zh-CN"/>
        </w:rPr>
      </w:pPr>
      <w:r>
        <w:rPr>
          <w:rFonts w:hint="eastAsia" w:ascii="黑体" w:hAnsi="黑体" w:eastAsia="黑体" w:cs="黑体"/>
          <w:snapToGrid w:val="0"/>
          <w:color w:val="auto"/>
          <w:sz w:val="32"/>
          <w:szCs w:val="32"/>
          <w:lang w:val="zh-CN" w:bidi="zh-CN"/>
        </w:rPr>
        <w:t>五、实施程序</w:t>
      </w:r>
    </w:p>
    <w:p>
      <w:pPr>
        <w:autoSpaceDE w:val="0"/>
        <w:autoSpaceDN w:val="0"/>
        <w:adjustRightInd w:val="0"/>
        <w:snapToGrid w:val="0"/>
        <w:spacing w:line="560" w:lineRule="exact"/>
        <w:ind w:firstLine="643" w:firstLineChars="200"/>
        <w:rPr>
          <w:rFonts w:ascii="仿宋_GB2312" w:hAnsi="仿宋_GB2312" w:eastAsia="仿宋_GB2312" w:cs="仿宋_GB2312"/>
          <w:b/>
          <w:snapToGrid w:val="0"/>
          <w:color w:val="auto"/>
          <w:sz w:val="32"/>
          <w:szCs w:val="32"/>
          <w:lang w:bidi="zh-CN"/>
        </w:rPr>
      </w:pPr>
      <w:r>
        <w:rPr>
          <w:rFonts w:hint="eastAsia" w:ascii="楷体_GB2312" w:hAnsi="楷体_GB2312" w:eastAsia="楷体_GB2312" w:cs="楷体_GB2312"/>
          <w:b/>
          <w:snapToGrid w:val="0"/>
          <w:color w:val="auto"/>
          <w:sz w:val="32"/>
          <w:szCs w:val="32"/>
          <w:lang w:bidi="zh-CN"/>
        </w:rPr>
        <w:t>（一）任务落实</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bidi="zh-CN"/>
        </w:rPr>
      </w:pPr>
      <w:r>
        <w:rPr>
          <w:rFonts w:hint="eastAsia" w:ascii="仿宋_GB2312" w:hAnsi="仿宋_GB2312" w:eastAsia="仿宋_GB2312" w:cs="仿宋_GB2312"/>
          <w:snapToGrid w:val="0"/>
          <w:color w:val="auto"/>
          <w:sz w:val="32"/>
          <w:szCs w:val="32"/>
          <w:lang w:bidi="zh-CN"/>
        </w:rPr>
        <w:t>各街道办事处认真落实保护性耕作院府合作项目，将基地落实到具体实施主体、农户和地块，并与技术支撑单位和农机</w:t>
      </w:r>
      <w:r>
        <w:rPr>
          <w:rFonts w:hint="eastAsia" w:ascii="仿宋_GB2312" w:hAnsi="仿宋_GB2312" w:eastAsia="仿宋_GB2312" w:cs="仿宋_GB2312"/>
          <w:snapToGrid w:val="0"/>
          <w:color w:val="auto"/>
          <w:sz w:val="32"/>
          <w:szCs w:val="32"/>
          <w:lang w:val="zh-CN" w:bidi="zh-CN"/>
        </w:rPr>
        <w:t>合作社、农机大户、种粮大户等</w:t>
      </w:r>
      <w:r>
        <w:rPr>
          <w:rFonts w:hint="eastAsia" w:ascii="仿宋_GB2312" w:hAnsi="仿宋_GB2312" w:eastAsia="仿宋_GB2312" w:cs="仿宋_GB2312"/>
          <w:snapToGrid w:val="0"/>
          <w:color w:val="auto"/>
          <w:sz w:val="32"/>
          <w:szCs w:val="32"/>
          <w:lang w:bidi="zh-CN"/>
        </w:rPr>
        <w:t>实施主体签订相关合同、协议。</w:t>
      </w:r>
    </w:p>
    <w:p>
      <w:pPr>
        <w:autoSpaceDE w:val="0"/>
        <w:autoSpaceDN w:val="0"/>
        <w:adjustRightInd w:val="0"/>
        <w:snapToGrid w:val="0"/>
        <w:spacing w:line="560" w:lineRule="exact"/>
        <w:ind w:firstLine="643" w:firstLineChars="200"/>
        <w:outlineLvl w:val="1"/>
        <w:rPr>
          <w:rFonts w:ascii="仿宋_GB2312" w:hAnsi="仿宋_GB2312" w:eastAsia="仿宋_GB2312" w:cs="仿宋_GB2312"/>
          <w:b/>
          <w:snapToGrid w:val="0"/>
          <w:color w:val="auto"/>
          <w:sz w:val="32"/>
          <w:szCs w:val="32"/>
          <w:lang w:bidi="zh-CN"/>
        </w:rPr>
      </w:pPr>
      <w:r>
        <w:rPr>
          <w:rFonts w:hint="eastAsia" w:ascii="楷体_GB2312" w:hAnsi="楷体_GB2312" w:eastAsia="楷体_GB2312" w:cs="楷体_GB2312"/>
          <w:b/>
          <w:snapToGrid w:val="0"/>
          <w:color w:val="auto"/>
          <w:sz w:val="32"/>
          <w:szCs w:val="32"/>
          <w:lang w:bidi="zh-CN"/>
        </w:rPr>
        <w:t>（二）核实验收</w:t>
      </w:r>
    </w:p>
    <w:p>
      <w:pPr>
        <w:tabs>
          <w:tab w:val="left" w:pos="1840"/>
        </w:tabs>
        <w:autoSpaceDE w:val="0"/>
        <w:autoSpaceDN w:val="0"/>
        <w:adjustRightInd w:val="0"/>
        <w:snapToGrid w:val="0"/>
        <w:spacing w:line="560" w:lineRule="exact"/>
        <w:ind w:firstLine="643" w:firstLineChars="200"/>
        <w:rPr>
          <w:rFonts w:ascii="仿宋_GB2312" w:hAnsi="仿宋_GB2312" w:eastAsia="仿宋_GB2312" w:cs="仿宋_GB2312"/>
          <w:snapToGrid w:val="0"/>
          <w:color w:val="auto"/>
          <w:sz w:val="32"/>
          <w:szCs w:val="22"/>
          <w:lang w:val="zh-CN" w:bidi="zh-CN"/>
        </w:rPr>
      </w:pPr>
      <w:r>
        <w:rPr>
          <w:rFonts w:hint="eastAsia" w:ascii="仿宋_GB2312" w:hAnsi="仿宋_GB2312" w:eastAsia="仿宋_GB2312" w:cs="仿宋_GB2312"/>
          <w:b/>
          <w:snapToGrid w:val="0"/>
          <w:color w:val="auto"/>
          <w:sz w:val="32"/>
          <w:szCs w:val="22"/>
          <w:lang w:bidi="zh-CN"/>
        </w:rPr>
        <w:t>1.</w:t>
      </w:r>
      <w:r>
        <w:rPr>
          <w:rFonts w:hint="eastAsia" w:ascii="仿宋_GB2312" w:hAnsi="仿宋_GB2312" w:eastAsia="仿宋_GB2312" w:cs="仿宋_GB2312"/>
          <w:b/>
          <w:snapToGrid w:val="0"/>
          <w:color w:val="auto"/>
          <w:sz w:val="32"/>
          <w:szCs w:val="22"/>
          <w:lang w:val="zh-CN" w:bidi="zh-CN"/>
        </w:rPr>
        <w:t>全面核实验收。</w:t>
      </w:r>
      <w:r>
        <w:rPr>
          <w:rFonts w:hint="eastAsia" w:ascii="仿宋_GB2312" w:hAnsi="仿宋_GB2312" w:eastAsia="仿宋_GB2312" w:cs="仿宋_GB2312"/>
          <w:snapToGrid w:val="0"/>
          <w:color w:val="auto"/>
          <w:sz w:val="32"/>
          <w:szCs w:val="22"/>
          <w:lang w:val="zh-CN" w:bidi="zh-CN"/>
        </w:rPr>
        <w:t>各街道办事处按照省农业农村厅实施方案提出的作业质量标准和方法要求，在春季播种结束后，即可组织开展院府合作村级基地作业面积和作业质量全面核实验收。</w:t>
      </w:r>
    </w:p>
    <w:p>
      <w:pPr>
        <w:tabs>
          <w:tab w:val="left" w:pos="1840"/>
        </w:tabs>
        <w:autoSpaceDE w:val="0"/>
        <w:autoSpaceDN w:val="0"/>
        <w:adjustRightInd w:val="0"/>
        <w:snapToGrid w:val="0"/>
        <w:spacing w:line="560" w:lineRule="exact"/>
        <w:ind w:firstLine="643" w:firstLineChars="200"/>
        <w:rPr>
          <w:rFonts w:ascii="仿宋_GB2312" w:hAnsi="仿宋_GB2312" w:eastAsia="仿宋_GB2312" w:cs="仿宋_GB2312"/>
          <w:snapToGrid w:val="0"/>
          <w:color w:val="auto"/>
          <w:sz w:val="32"/>
          <w:szCs w:val="22"/>
          <w:lang w:val="zh-CN" w:bidi="zh-CN"/>
        </w:rPr>
      </w:pPr>
      <w:r>
        <w:rPr>
          <w:rFonts w:hint="eastAsia" w:ascii="仿宋_GB2312" w:hAnsi="仿宋_GB2312" w:eastAsia="仿宋_GB2312" w:cs="仿宋_GB2312"/>
          <w:b/>
          <w:snapToGrid w:val="0"/>
          <w:color w:val="auto"/>
          <w:sz w:val="32"/>
          <w:szCs w:val="22"/>
          <w:lang w:bidi="zh-CN"/>
        </w:rPr>
        <w:t>2.确保监管质量。</w:t>
      </w:r>
      <w:r>
        <w:rPr>
          <w:rFonts w:hint="eastAsia" w:ascii="仿宋_GB2312" w:hAnsi="仿宋_GB2312" w:eastAsia="仿宋_GB2312" w:cs="仿宋_GB2312"/>
          <w:snapToGrid w:val="0"/>
          <w:color w:val="auto"/>
          <w:sz w:val="32"/>
          <w:szCs w:val="22"/>
          <w:lang w:val="zh-CN" w:bidi="zh-CN"/>
        </w:rPr>
        <w:t>各街道办事处要按照省、市、区实施方案要求进行核实验收和监督检查工作，确保验收结果安全可靠、真实有效。各街道办事处要建立村级可耕地专门的补助工作实施档案，相关文件资料、信息化平台数据等要完整齐全，留存备查。同时，各街道办事处要做好应用基地技术支撑服务费相关支出的合同、影像资料、监测和研究成果等档案、资料管理，确保有据可查。</w:t>
      </w:r>
    </w:p>
    <w:p>
      <w:pPr>
        <w:autoSpaceDE w:val="0"/>
        <w:autoSpaceDN w:val="0"/>
        <w:adjustRightInd w:val="0"/>
        <w:snapToGrid w:val="0"/>
        <w:spacing w:line="560" w:lineRule="exact"/>
        <w:ind w:firstLine="643" w:firstLineChars="200"/>
        <w:outlineLvl w:val="1"/>
        <w:rPr>
          <w:rFonts w:ascii="仿宋_GB2312" w:hAnsi="仿宋_GB2312" w:eastAsia="仿宋_GB2312" w:cs="仿宋_GB2312"/>
          <w:b/>
          <w:bCs/>
          <w:snapToGrid w:val="0"/>
          <w:color w:val="auto"/>
          <w:sz w:val="32"/>
          <w:szCs w:val="32"/>
          <w:lang w:val="zh-CN" w:bidi="zh-CN"/>
        </w:rPr>
      </w:pPr>
      <w:r>
        <w:rPr>
          <w:rFonts w:hint="eastAsia" w:ascii="楷体_GB2312" w:hAnsi="楷体_GB2312" w:eastAsia="楷体_GB2312" w:cs="楷体_GB2312"/>
          <w:b/>
          <w:bCs/>
          <w:snapToGrid w:val="0"/>
          <w:color w:val="auto"/>
          <w:sz w:val="32"/>
          <w:szCs w:val="32"/>
          <w:lang w:val="zh-CN" w:bidi="zh-CN"/>
        </w:rPr>
        <w:t>（三）资金兑付</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22"/>
          <w:lang w:val="zh-CN" w:bidi="zh-CN"/>
        </w:rPr>
      </w:pPr>
      <w:r>
        <w:rPr>
          <w:rFonts w:hint="eastAsia" w:ascii="仿宋_GB2312" w:hAnsi="仿宋_GB2312" w:eastAsia="仿宋_GB2312" w:cs="仿宋_GB2312"/>
          <w:snapToGrid w:val="0"/>
          <w:color w:val="auto"/>
          <w:sz w:val="32"/>
          <w:szCs w:val="22"/>
          <w:lang w:val="zh-CN" w:bidi="zh-CN"/>
        </w:rPr>
        <w:t>补助资金实行“先作业后补助、先公示后兑现”，经各街道办事处验收合格并公示无异议后兑付。各街道办事处要及时完</w:t>
      </w:r>
      <w:r>
        <w:rPr>
          <w:rFonts w:hint="eastAsia" w:ascii="仿宋_GB2312" w:hAnsi="仿宋_GB2312" w:eastAsia="仿宋_GB2312" w:cs="仿宋_GB2312"/>
          <w:snapToGrid w:val="0"/>
          <w:color w:val="auto"/>
          <w:sz w:val="32"/>
          <w:szCs w:val="22"/>
          <w:lang w:bidi="zh-CN"/>
        </w:rPr>
        <w:t>成项目核查验收并履行相关手续提出资金兑付申请，</w:t>
      </w:r>
      <w:r>
        <w:rPr>
          <w:rFonts w:hint="eastAsia" w:ascii="仿宋_GB2312" w:hAnsi="仿宋_GB2312" w:eastAsia="仿宋_GB2312" w:cs="仿宋_GB2312"/>
          <w:snapToGrid w:val="0"/>
          <w:color w:val="auto"/>
          <w:sz w:val="32"/>
          <w:szCs w:val="22"/>
          <w:lang w:val="zh-CN" w:bidi="zh-CN"/>
        </w:rPr>
        <w:t>区财政局按程序及时足额兑付补助资金。</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val="zh-CN" w:bidi="zh-CN"/>
        </w:rPr>
      </w:pPr>
      <w:r>
        <w:rPr>
          <w:rFonts w:hint="eastAsia" w:ascii="黑体" w:hAnsi="黑体" w:eastAsia="黑体" w:cs="黑体"/>
          <w:snapToGrid w:val="0"/>
          <w:color w:val="auto"/>
          <w:sz w:val="32"/>
          <w:szCs w:val="32"/>
          <w:lang w:val="zh-CN" w:bidi="zh-CN"/>
        </w:rPr>
        <w:t>六、实施进度</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22"/>
          <w:lang w:val="zh-CN" w:bidi="zh-CN"/>
        </w:rPr>
      </w:pPr>
      <w:r>
        <w:rPr>
          <w:rFonts w:hint="eastAsia" w:ascii="仿宋_GB2312" w:hAnsi="仿宋_GB2312" w:eastAsia="仿宋_GB2312" w:cs="仿宋_GB2312"/>
          <w:snapToGrid w:val="0"/>
          <w:color w:val="auto"/>
          <w:sz w:val="32"/>
          <w:szCs w:val="22"/>
          <w:lang w:val="zh-CN" w:bidi="zh-CN"/>
        </w:rPr>
        <w:t>（一）</w:t>
      </w:r>
      <w:r>
        <w:rPr>
          <w:rFonts w:hint="eastAsia" w:ascii="仿宋_GB2312" w:hAnsi="仿宋_GB2312" w:eastAsia="仿宋_GB2312" w:cs="仿宋_GB2312"/>
          <w:b/>
          <w:bCs/>
          <w:snapToGrid w:val="0"/>
          <w:color w:val="auto"/>
          <w:sz w:val="32"/>
          <w:szCs w:val="22"/>
          <w:lang w:val="zh-CN" w:bidi="zh-CN"/>
        </w:rPr>
        <w:t>2024年</w:t>
      </w:r>
      <w:r>
        <w:rPr>
          <w:rFonts w:hint="eastAsia" w:ascii="仿宋_GB2312" w:hAnsi="仿宋_GB2312" w:eastAsia="仿宋_GB2312" w:cs="仿宋_GB2312"/>
          <w:b/>
          <w:bCs/>
          <w:snapToGrid w:val="0"/>
          <w:color w:val="auto"/>
          <w:sz w:val="32"/>
          <w:szCs w:val="22"/>
          <w:lang w:bidi="zh-CN"/>
        </w:rPr>
        <w:t>4</w:t>
      </w:r>
      <w:r>
        <w:rPr>
          <w:rFonts w:hint="eastAsia" w:ascii="仿宋_GB2312" w:hAnsi="仿宋_GB2312" w:eastAsia="仿宋_GB2312" w:cs="仿宋_GB2312"/>
          <w:b/>
          <w:bCs/>
          <w:snapToGrid w:val="0"/>
          <w:color w:val="auto"/>
          <w:sz w:val="32"/>
          <w:szCs w:val="22"/>
          <w:lang w:val="zh-CN" w:bidi="zh-CN"/>
        </w:rPr>
        <w:t>月20日</w:t>
      </w:r>
      <w:r>
        <w:rPr>
          <w:rFonts w:hint="eastAsia" w:ascii="仿宋_GB2312" w:hAnsi="仿宋_GB2312" w:eastAsia="仿宋_GB2312" w:cs="仿宋_GB2312"/>
          <w:snapToGrid w:val="0"/>
          <w:color w:val="auto"/>
          <w:sz w:val="32"/>
          <w:szCs w:val="22"/>
          <w:lang w:val="zh-CN" w:bidi="zh-CN"/>
        </w:rPr>
        <w:t>前，制定浑南区年度实施方案，确定村级高标准应用基地，相关街道办事处组织落实基地实施区域、面积、地块，确认实施主体，完成高标准应用基地合同签订等工作，组织开展秸秆覆盖还田作业、保护性耕作作业机具配备、检修调试、远程监测终端设备安装调试、技术培训及宣传发动等工作。</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22"/>
          <w:lang w:val="zh-CN" w:bidi="zh-CN"/>
        </w:rPr>
      </w:pPr>
      <w:r>
        <w:rPr>
          <w:rFonts w:hint="eastAsia" w:ascii="仿宋_GB2312" w:hAnsi="仿宋_GB2312" w:eastAsia="仿宋_GB2312" w:cs="仿宋_GB2312"/>
          <w:snapToGrid w:val="0"/>
          <w:color w:val="auto"/>
          <w:sz w:val="32"/>
          <w:szCs w:val="22"/>
          <w:lang w:val="zh-CN" w:bidi="zh-CN"/>
        </w:rPr>
        <w:t>（二）</w:t>
      </w:r>
      <w:r>
        <w:rPr>
          <w:rFonts w:hint="eastAsia" w:ascii="仿宋_GB2312" w:hAnsi="仿宋_GB2312" w:eastAsia="仿宋_GB2312" w:cs="仿宋_GB2312"/>
          <w:b/>
          <w:bCs/>
          <w:snapToGrid w:val="0"/>
          <w:color w:val="auto"/>
          <w:sz w:val="32"/>
          <w:szCs w:val="22"/>
          <w:lang w:val="zh-CN" w:bidi="zh-CN"/>
        </w:rPr>
        <w:t>2024年9月30日</w:t>
      </w:r>
      <w:r>
        <w:rPr>
          <w:rFonts w:hint="eastAsia" w:ascii="仿宋_GB2312" w:hAnsi="仿宋_GB2312" w:eastAsia="仿宋_GB2312" w:cs="仿宋_GB2312"/>
          <w:snapToGrid w:val="0"/>
          <w:color w:val="auto"/>
          <w:sz w:val="32"/>
          <w:szCs w:val="22"/>
          <w:lang w:val="zh-CN" w:bidi="zh-CN"/>
        </w:rPr>
        <w:t>前，各街道办事处组织完成村级高标准应用基地项目建设和核实验收工作。</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val="zh-CN" w:bidi="zh-CN"/>
        </w:rPr>
      </w:pPr>
      <w:r>
        <w:rPr>
          <w:rFonts w:hint="eastAsia" w:ascii="仿宋_GB2312" w:hAnsi="仿宋_GB2312" w:eastAsia="仿宋_GB2312" w:cs="仿宋_GB2312"/>
          <w:snapToGrid w:val="0"/>
          <w:color w:val="auto"/>
          <w:sz w:val="32"/>
          <w:szCs w:val="22"/>
          <w:lang w:val="zh-CN" w:bidi="zh-CN"/>
        </w:rPr>
        <w:t>（三）市级资金下达后，各街道办事处验收合格，符合资金兑付条件后，区财政局应于1个月内完成村级高标准应用基地建设项目资金兑付工作。</w:t>
      </w:r>
    </w:p>
    <w:p>
      <w:pPr>
        <w:autoSpaceDE w:val="0"/>
        <w:autoSpaceDN w:val="0"/>
        <w:adjustRightInd w:val="0"/>
        <w:snapToGrid w:val="0"/>
        <w:spacing w:line="560" w:lineRule="exact"/>
        <w:ind w:firstLine="640" w:firstLineChars="200"/>
        <w:rPr>
          <w:rFonts w:ascii="黑体" w:hAnsi="黑体" w:eastAsia="黑体" w:cs="黑体"/>
          <w:snapToGrid w:val="0"/>
          <w:color w:val="auto"/>
          <w:sz w:val="32"/>
          <w:szCs w:val="32"/>
          <w:lang w:val="zh-CN" w:bidi="zh-CN"/>
        </w:rPr>
      </w:pPr>
      <w:r>
        <w:rPr>
          <w:rFonts w:hint="eastAsia" w:ascii="黑体" w:hAnsi="黑体" w:eastAsia="黑体" w:cs="黑体"/>
          <w:snapToGrid w:val="0"/>
          <w:color w:val="auto"/>
          <w:sz w:val="32"/>
          <w:szCs w:val="32"/>
          <w:lang w:val="zh-CN" w:bidi="zh-CN"/>
        </w:rPr>
        <w:t>七、工作要求</w:t>
      </w:r>
    </w:p>
    <w:p>
      <w:pPr>
        <w:autoSpaceDE w:val="0"/>
        <w:autoSpaceDN w:val="0"/>
        <w:adjustRightInd w:val="0"/>
        <w:snapToGrid w:val="0"/>
        <w:spacing w:line="560" w:lineRule="exact"/>
        <w:ind w:firstLine="643" w:firstLineChars="200"/>
        <w:rPr>
          <w:rFonts w:ascii="仿宋_GB2312" w:hAnsi="仿宋_GB2312" w:eastAsia="仿宋_GB2312" w:cs="仿宋_GB2312"/>
          <w:b/>
          <w:snapToGrid w:val="0"/>
          <w:color w:val="auto"/>
          <w:sz w:val="32"/>
          <w:szCs w:val="32"/>
          <w:lang w:val="zh-CN" w:bidi="zh-CN"/>
        </w:rPr>
      </w:pPr>
      <w:r>
        <w:rPr>
          <w:rFonts w:hint="eastAsia" w:ascii="楷体_GB2312" w:hAnsi="楷体_GB2312" w:eastAsia="楷体_GB2312" w:cs="楷体_GB2312"/>
          <w:b/>
          <w:snapToGrid w:val="0"/>
          <w:color w:val="auto"/>
          <w:sz w:val="32"/>
          <w:szCs w:val="32"/>
          <w:lang w:val="zh-CN" w:bidi="zh-CN"/>
        </w:rPr>
        <w:t>（一）加强组织领导</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kern w:val="0"/>
          <w:sz w:val="32"/>
          <w:szCs w:val="22"/>
          <w:lang w:val="zh-CN" w:bidi="zh-CN"/>
        </w:rPr>
      </w:pPr>
      <w:r>
        <w:rPr>
          <w:rFonts w:hint="eastAsia" w:ascii="仿宋_GB2312" w:hAnsi="仿宋_GB2312" w:eastAsia="仿宋_GB2312" w:cs="仿宋_GB2312"/>
          <w:snapToGrid w:val="0"/>
          <w:color w:val="auto"/>
          <w:kern w:val="0"/>
          <w:sz w:val="32"/>
          <w:szCs w:val="22"/>
          <w:lang w:val="zh-CN" w:bidi="zh-CN"/>
        </w:rPr>
        <w:t>浑南区成立保护性耕作推进行动领导小组，由主管农业的区长任组长；区农业农村局、区财政局主要领导任副组长；区农业农村局、区财政局、区</w:t>
      </w:r>
      <w:r>
        <w:rPr>
          <w:rFonts w:hint="eastAsia" w:ascii="仿宋_GB2312" w:hAnsi="仿宋_GB2312" w:eastAsia="仿宋_GB2312" w:cs="仿宋_GB2312"/>
          <w:snapToGrid w:val="0"/>
          <w:color w:val="auto"/>
          <w:kern w:val="0"/>
          <w:sz w:val="32"/>
          <w:szCs w:val="32"/>
          <w:lang w:bidi="zh-CN"/>
        </w:rPr>
        <w:t>乡村振兴发展中心</w:t>
      </w:r>
      <w:r>
        <w:rPr>
          <w:rFonts w:hint="eastAsia" w:ascii="仿宋_GB2312" w:hAnsi="仿宋_GB2312" w:eastAsia="仿宋_GB2312" w:cs="仿宋_GB2312"/>
          <w:snapToGrid w:val="0"/>
          <w:color w:val="auto"/>
          <w:kern w:val="0"/>
          <w:sz w:val="32"/>
          <w:szCs w:val="22"/>
          <w:lang w:val="zh-CN" w:bidi="zh-CN"/>
        </w:rPr>
        <w:t>以及相关街道办事处为成员单位。在领导小组统一领导下，建立政府主导、上下联动、各相关部门齐抓共管的工作机制，组织协调各方力量，配套工作经费，加大资金扶持力度。</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kern w:val="0"/>
          <w:sz w:val="32"/>
          <w:szCs w:val="22"/>
          <w:lang w:val="zh-CN" w:bidi="zh-CN"/>
        </w:rPr>
      </w:pPr>
      <w:r>
        <w:rPr>
          <w:rFonts w:hint="eastAsia" w:ascii="仿宋_GB2312" w:hAnsi="仿宋_GB2312" w:eastAsia="仿宋_GB2312" w:cs="仿宋_GB2312"/>
          <w:snapToGrid w:val="0"/>
          <w:color w:val="auto"/>
          <w:kern w:val="0"/>
          <w:sz w:val="32"/>
          <w:szCs w:val="22"/>
          <w:lang w:val="zh-CN" w:bidi="zh-CN"/>
        </w:rPr>
        <w:t>区农业农村局负责协调调度、政策咨询、争取上级资金和技术指导等工作，并配合上级农业农村部门和区有关部门开展督导检查，定期向区委</w:t>
      </w:r>
      <w:r>
        <w:rPr>
          <w:rFonts w:hint="eastAsia" w:ascii="仿宋_GB2312" w:hAnsi="仿宋_GB2312" w:eastAsia="仿宋_GB2312" w:cs="仿宋_GB2312"/>
          <w:snapToGrid w:val="0"/>
          <w:color w:val="auto"/>
          <w:kern w:val="0"/>
          <w:sz w:val="32"/>
          <w:szCs w:val="22"/>
          <w:lang w:val="zh-CN" w:eastAsia="zh-CN" w:bidi="zh-CN"/>
        </w:rPr>
        <w:t>、</w:t>
      </w:r>
      <w:r>
        <w:rPr>
          <w:rFonts w:hint="eastAsia" w:ascii="仿宋_GB2312" w:hAnsi="仿宋_GB2312" w:eastAsia="仿宋_GB2312" w:cs="仿宋_GB2312"/>
          <w:snapToGrid w:val="0"/>
          <w:color w:val="auto"/>
          <w:kern w:val="0"/>
          <w:sz w:val="32"/>
          <w:szCs w:val="22"/>
          <w:lang w:val="zh-CN" w:bidi="zh-CN"/>
        </w:rPr>
        <w:t>区政府报告工作进展情况，做好数据汇总和信息上报；区财政局负责资金筹措，并按程序及时足额兑付补助资金；各街道办事处是保护性耕作村级高标准应用基地建设实施责任主体，对本街道保护性耕作工作负总责，要全面落实工作任务，强化全过程监管，组织实施作业，做好面积和质量核查、补助标准核定、资金申请及兑付等工作，确保上级政策不折不扣落实到位。</w:t>
      </w:r>
    </w:p>
    <w:p>
      <w:pPr>
        <w:autoSpaceDE w:val="0"/>
        <w:autoSpaceDN w:val="0"/>
        <w:adjustRightInd w:val="0"/>
        <w:snapToGrid w:val="0"/>
        <w:spacing w:line="560" w:lineRule="exact"/>
        <w:ind w:firstLine="643" w:firstLineChars="200"/>
        <w:rPr>
          <w:rFonts w:ascii="仿宋_GB2312" w:hAnsi="仿宋_GB2312" w:eastAsia="仿宋_GB2312" w:cs="仿宋_GB2312"/>
          <w:b/>
          <w:snapToGrid w:val="0"/>
          <w:color w:val="auto"/>
          <w:sz w:val="32"/>
          <w:szCs w:val="32"/>
          <w:lang w:val="zh-CN" w:bidi="zh-CN"/>
        </w:rPr>
      </w:pPr>
      <w:r>
        <w:rPr>
          <w:rFonts w:hint="eastAsia" w:ascii="楷体_GB2312" w:hAnsi="楷体_GB2312" w:eastAsia="楷体_GB2312" w:cs="楷体_GB2312"/>
          <w:b/>
          <w:snapToGrid w:val="0"/>
          <w:color w:val="auto"/>
          <w:sz w:val="32"/>
          <w:szCs w:val="32"/>
          <w:lang w:val="zh-CN" w:bidi="zh-CN"/>
        </w:rPr>
        <w:t>（二）加强技术服务</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kern w:val="0"/>
          <w:sz w:val="32"/>
          <w:szCs w:val="22"/>
          <w:lang w:val="zh-CN" w:bidi="zh-CN"/>
        </w:rPr>
      </w:pPr>
      <w:r>
        <w:rPr>
          <w:rFonts w:hint="eastAsia" w:ascii="仿宋_GB2312" w:hAnsi="仿宋_GB2312" w:eastAsia="仿宋_GB2312" w:cs="仿宋_GB2312"/>
          <w:snapToGrid w:val="0"/>
          <w:color w:val="auto"/>
          <w:kern w:val="0"/>
          <w:sz w:val="32"/>
          <w:szCs w:val="22"/>
          <w:lang w:val="zh-CN" w:bidi="zh-CN"/>
        </w:rPr>
        <w:t>各相关部门要依托技术支撑单位，完善各项保护性耕作措施，</w:t>
      </w:r>
      <w:bookmarkStart w:id="24" w:name="_GoBack"/>
      <w:bookmarkEnd w:id="24"/>
      <w:r>
        <w:rPr>
          <w:rFonts w:hint="eastAsia" w:ascii="仿宋_GB2312" w:hAnsi="仿宋_GB2312" w:eastAsia="仿宋_GB2312" w:cs="仿宋_GB2312"/>
          <w:snapToGrid w:val="0"/>
          <w:color w:val="auto"/>
          <w:kern w:val="0"/>
          <w:sz w:val="32"/>
          <w:szCs w:val="22"/>
          <w:lang w:val="zh-CN" w:bidi="zh-CN"/>
        </w:rPr>
        <w:t>各技术支撑单位要各负其责，在分担区域内做好各项技术支撑。要建立完善保护性耕作专家服务队伍和技术推广队伍，全面参与村级基地建设工作，加强农机农艺融合，合理衔接前后作业环节技术应用，加强各级各类技术培训工作，强化跟踪指导服务，提高作业质量，确保播种质量和出苗率。</w:t>
      </w:r>
    </w:p>
    <w:p>
      <w:pPr>
        <w:autoSpaceDE w:val="0"/>
        <w:autoSpaceDN w:val="0"/>
        <w:adjustRightInd w:val="0"/>
        <w:snapToGrid w:val="0"/>
        <w:spacing w:line="560" w:lineRule="exact"/>
        <w:ind w:firstLine="643" w:firstLineChars="200"/>
        <w:rPr>
          <w:rFonts w:ascii="仿宋_GB2312" w:hAnsi="仿宋_GB2312" w:eastAsia="仿宋_GB2312" w:cs="仿宋_GB2312"/>
          <w:b/>
          <w:snapToGrid w:val="0"/>
          <w:color w:val="auto"/>
          <w:sz w:val="32"/>
          <w:szCs w:val="32"/>
          <w:lang w:val="zh-CN" w:bidi="zh-CN"/>
        </w:rPr>
      </w:pPr>
      <w:r>
        <w:rPr>
          <w:rFonts w:hint="eastAsia" w:ascii="楷体_GB2312" w:hAnsi="楷体_GB2312" w:eastAsia="楷体_GB2312" w:cs="楷体_GB2312"/>
          <w:b/>
          <w:snapToGrid w:val="0"/>
          <w:color w:val="auto"/>
          <w:sz w:val="32"/>
          <w:szCs w:val="32"/>
          <w:lang w:val="zh-CN" w:bidi="zh-CN"/>
        </w:rPr>
        <w:t>（三）加强监督管理</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kern w:val="0"/>
          <w:sz w:val="32"/>
          <w:szCs w:val="22"/>
          <w:lang w:val="zh-CN" w:bidi="zh-CN"/>
        </w:rPr>
      </w:pPr>
      <w:r>
        <w:rPr>
          <w:rFonts w:hint="eastAsia" w:ascii="仿宋_GB2312" w:hAnsi="仿宋_GB2312" w:eastAsia="仿宋_GB2312" w:cs="仿宋_GB2312"/>
          <w:snapToGrid w:val="0"/>
          <w:color w:val="auto"/>
          <w:kern w:val="0"/>
          <w:sz w:val="32"/>
          <w:szCs w:val="22"/>
          <w:lang w:val="zh-CN" w:bidi="zh-CN"/>
        </w:rPr>
        <w:t>各街道要建立健全相关规章制度，落实工作责任制，加强各环节风险防控，严格实施过程管理，坚决防止虚报补助作业面积、降低作业标准、套取补助资金等问题发生。要切实加强对补助资金使用与监督管理，规范补助资金使用方向，确保专款专用，补助资金要及时足额拨付，杜绝任何形式的挤占、挪用等违规违纪行为。对于虚报冒领、挤占挪用补助资金的单位和个人，将按照《财政违法行为处罚处分条例》等国家有关规定追究责任。</w:t>
      </w:r>
    </w:p>
    <w:p>
      <w:pPr>
        <w:autoSpaceDE w:val="0"/>
        <w:autoSpaceDN w:val="0"/>
        <w:adjustRightInd w:val="0"/>
        <w:snapToGrid w:val="0"/>
        <w:spacing w:line="560" w:lineRule="exact"/>
        <w:ind w:firstLine="643" w:firstLineChars="200"/>
        <w:rPr>
          <w:rFonts w:ascii="仿宋_GB2312" w:hAnsi="仿宋_GB2312" w:eastAsia="仿宋_GB2312" w:cs="仿宋_GB2312"/>
          <w:b/>
          <w:snapToGrid w:val="0"/>
          <w:color w:val="auto"/>
          <w:sz w:val="32"/>
          <w:szCs w:val="32"/>
          <w:lang w:val="zh-CN" w:bidi="zh-CN"/>
        </w:rPr>
      </w:pPr>
      <w:r>
        <w:rPr>
          <w:rFonts w:hint="eastAsia" w:ascii="楷体_GB2312" w:hAnsi="楷体_GB2312" w:eastAsia="楷体_GB2312" w:cs="楷体_GB2312"/>
          <w:b/>
          <w:snapToGrid w:val="0"/>
          <w:color w:val="auto"/>
          <w:sz w:val="32"/>
          <w:szCs w:val="32"/>
          <w:lang w:val="zh-CN" w:bidi="zh-CN"/>
        </w:rPr>
        <w:t>（四）加强宣传引导</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val="zh-CN" w:bidi="zh-CN"/>
        </w:rPr>
      </w:pPr>
      <w:r>
        <w:rPr>
          <w:rFonts w:hint="eastAsia" w:ascii="仿宋_GB2312" w:hAnsi="仿宋_GB2312" w:eastAsia="仿宋_GB2312" w:cs="仿宋_GB2312"/>
          <w:snapToGrid w:val="0"/>
          <w:color w:val="auto"/>
          <w:sz w:val="32"/>
          <w:szCs w:val="32"/>
          <w:lang w:val="zh-CN" w:bidi="zh-CN"/>
        </w:rPr>
        <w:t>要通过多种渠道持续深入开展科普宣传和政策宣讲，要及时总结村级基地实施中的经验做法和典型案例，引领、配合本地保护性耕作全面实施，采取多种形式对保护性耕作成效明显的地方和推广应用先锋人物进行宣传表扬，凝聚社会共识，营造良好的社会环境和舆论氛围。</w:t>
      </w: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val="zh-CN" w:bidi="zh-CN"/>
        </w:rPr>
      </w:pPr>
    </w:p>
    <w:p>
      <w:pPr>
        <w:autoSpaceDE w:val="0"/>
        <w:autoSpaceDN w:val="0"/>
        <w:adjustRightInd w:val="0"/>
        <w:snapToGrid w:val="0"/>
        <w:spacing w:line="560" w:lineRule="exact"/>
        <w:ind w:firstLine="640" w:firstLineChars="200"/>
        <w:rPr>
          <w:rFonts w:ascii="仿宋_GB2312" w:hAnsi="仿宋_GB2312" w:eastAsia="仿宋_GB2312" w:cs="仿宋_GB2312"/>
          <w:snapToGrid w:val="0"/>
          <w:color w:val="auto"/>
          <w:sz w:val="32"/>
          <w:szCs w:val="32"/>
          <w:lang w:val="zh-CN" w:bidi="zh-CN"/>
        </w:rPr>
      </w:pPr>
      <w:r>
        <w:rPr>
          <w:rFonts w:hint="eastAsia" w:ascii="仿宋_GB2312" w:hAnsi="仿宋_GB2312" w:eastAsia="仿宋_GB2312" w:cs="仿宋_GB2312"/>
          <w:snapToGrid w:val="0"/>
          <w:color w:val="auto"/>
          <w:sz w:val="32"/>
          <w:szCs w:val="32"/>
          <w:lang w:val="zh-CN" w:bidi="zh-CN"/>
        </w:rPr>
        <w:t>附件：1.</w:t>
      </w:r>
      <w:r>
        <w:rPr>
          <w:rFonts w:hint="eastAsia" w:ascii="仿宋_GB2312" w:hAnsi="仿宋_GB2312" w:eastAsia="仿宋_GB2312" w:cs="仿宋_GB2312"/>
          <w:color w:val="auto"/>
          <w:sz w:val="32"/>
          <w:szCs w:val="32"/>
          <w:lang w:val="zh-CN" w:bidi="zh-CN"/>
        </w:rPr>
        <w:t>浑南区黑土地高标准保护性耕作基地拟建设名单</w:t>
      </w:r>
    </w:p>
    <w:p>
      <w:pPr>
        <w:autoSpaceDE w:val="0"/>
        <w:autoSpaceDN w:val="0"/>
        <w:adjustRightInd w:val="0"/>
        <w:snapToGrid w:val="0"/>
        <w:spacing w:line="560" w:lineRule="exact"/>
        <w:ind w:firstLine="1600" w:firstLineChars="500"/>
        <w:rPr>
          <w:rFonts w:ascii="仿宋_GB2312" w:hAnsi="仿宋_GB2312" w:eastAsia="仿宋_GB2312" w:cs="仿宋_GB2312"/>
          <w:color w:val="auto"/>
          <w:sz w:val="32"/>
          <w:szCs w:val="32"/>
          <w:lang w:val="zh-CN" w:bidi="zh-CN"/>
        </w:rPr>
      </w:pPr>
      <w:r>
        <w:rPr>
          <w:rFonts w:hint="eastAsia" w:ascii="仿宋_GB2312" w:hAnsi="仿宋_GB2312" w:eastAsia="仿宋_GB2312" w:cs="仿宋_GB2312"/>
          <w:color w:val="auto"/>
          <w:sz w:val="32"/>
          <w:szCs w:val="32"/>
          <w:lang w:val="en-US" w:bidi="zh-CN"/>
        </w:rPr>
        <w:t>2</w:t>
      </w:r>
      <w:r>
        <w:rPr>
          <w:rFonts w:hint="eastAsia" w:ascii="仿宋_GB2312" w:hAnsi="仿宋_GB2312" w:eastAsia="仿宋_GB2312" w:cs="仿宋_GB2312"/>
          <w:color w:val="auto"/>
          <w:sz w:val="32"/>
          <w:szCs w:val="32"/>
          <w:lang w:bidi="zh-CN"/>
        </w:rPr>
        <w:t>.</w:t>
      </w:r>
      <w:r>
        <w:rPr>
          <w:rFonts w:hint="eastAsia" w:ascii="仿宋_GB2312" w:hAnsi="仿宋_GB2312" w:eastAsia="仿宋_GB2312" w:cs="仿宋_GB2312"/>
          <w:color w:val="auto"/>
          <w:sz w:val="32"/>
          <w:szCs w:val="32"/>
          <w:lang w:val="zh-CN" w:bidi="zh-CN"/>
        </w:rPr>
        <w:t>沈阳市村级高标准保护性耕作应用基地建设标准</w:t>
      </w:r>
    </w:p>
    <w:p>
      <w:pPr>
        <w:autoSpaceDE w:val="0"/>
        <w:autoSpaceDN w:val="0"/>
        <w:adjustRightInd w:val="0"/>
        <w:snapToGrid w:val="0"/>
        <w:spacing w:line="560" w:lineRule="exact"/>
        <w:ind w:firstLine="1600" w:firstLineChars="500"/>
        <w:rPr>
          <w:rFonts w:ascii="仿宋_GB2312" w:hAnsi="仿宋_GB2312" w:eastAsia="仿宋_GB2312" w:cs="仿宋_GB2312"/>
          <w:color w:val="auto"/>
          <w:sz w:val="32"/>
          <w:szCs w:val="32"/>
          <w:lang w:val="zh-CN" w:bidi="zh-CN"/>
        </w:rPr>
      </w:pPr>
      <w:r>
        <w:rPr>
          <w:rFonts w:hint="eastAsia" w:ascii="仿宋_GB2312" w:hAnsi="仿宋_GB2312" w:eastAsia="仿宋_GB2312" w:cs="仿宋_GB2312"/>
          <w:color w:val="auto"/>
          <w:sz w:val="32"/>
          <w:szCs w:val="32"/>
          <w:lang w:val="en-US" w:bidi="zh-CN"/>
        </w:rPr>
        <w:t>3</w:t>
      </w:r>
      <w:r>
        <w:rPr>
          <w:rFonts w:hint="eastAsia" w:ascii="仿宋_GB2312" w:hAnsi="仿宋_GB2312" w:eastAsia="仿宋_GB2312" w:cs="仿宋_GB2312"/>
          <w:color w:val="auto"/>
          <w:sz w:val="32"/>
          <w:szCs w:val="32"/>
          <w:lang w:bidi="zh-CN"/>
        </w:rPr>
        <w:t>.沈阳市院府合作村级高标准保护性耕作应用基地建设技术服务与合作协议书</w:t>
      </w:r>
    </w:p>
    <w:p>
      <w:pPr>
        <w:autoSpaceDE w:val="0"/>
        <w:autoSpaceDN w:val="0"/>
        <w:adjustRightInd w:val="0"/>
        <w:snapToGrid w:val="0"/>
        <w:spacing w:line="560" w:lineRule="exact"/>
        <w:rPr>
          <w:rFonts w:ascii="仿宋_GB2312" w:hAnsi="仿宋_GB2312" w:eastAsia="仿宋_GB2312" w:cs="仿宋_GB2312"/>
          <w:snapToGrid w:val="0"/>
          <w:color w:val="auto"/>
          <w:sz w:val="32"/>
          <w:szCs w:val="32"/>
          <w:lang w:val="zh-CN" w:bidi="zh-CN"/>
        </w:rPr>
      </w:pPr>
    </w:p>
    <w:p>
      <w:pPr>
        <w:autoSpaceDE w:val="0"/>
        <w:autoSpaceDN w:val="0"/>
        <w:adjustRightInd w:val="0"/>
        <w:snapToGrid w:val="0"/>
        <w:spacing w:line="560" w:lineRule="exact"/>
        <w:rPr>
          <w:rFonts w:ascii="仿宋_GB2312" w:hAnsi="仿宋_GB2312" w:eastAsia="仿宋_GB2312" w:cs="仿宋_GB2312"/>
          <w:snapToGrid w:val="0"/>
          <w:color w:val="auto"/>
          <w:sz w:val="32"/>
          <w:szCs w:val="32"/>
          <w:lang w:val="zh-CN" w:bidi="zh-CN"/>
        </w:rPr>
      </w:pPr>
    </w:p>
    <w:p>
      <w:pPr>
        <w:autoSpaceDE w:val="0"/>
        <w:autoSpaceDN w:val="0"/>
        <w:jc w:val="left"/>
        <w:rPr>
          <w:rFonts w:ascii="仿宋_GB2312" w:hAnsi="仿宋_GB2312" w:eastAsia="仿宋_GB2312" w:cs="仿宋_GB2312"/>
          <w:kern w:val="0"/>
          <w:sz w:val="22"/>
          <w:szCs w:val="22"/>
          <w:lang w:val="zh-CN" w:bidi="zh-CN"/>
        </w:rPr>
      </w:pPr>
    </w:p>
    <w:p>
      <w:pPr>
        <w:rPr>
          <w:rFonts w:ascii="仿宋_GB2312" w:hAnsi="仿宋_GB2312" w:eastAsia="仿宋_GB2312" w:cs="仿宋_GB2312"/>
          <w:kern w:val="0"/>
          <w:sz w:val="22"/>
          <w:szCs w:val="22"/>
          <w:lang w:val="zh-CN" w:bidi="zh-CN"/>
        </w:rPr>
      </w:pPr>
      <w:r>
        <w:rPr>
          <w:rFonts w:hint="eastAsia" w:ascii="仿宋_GB2312" w:hAnsi="仿宋_GB2312" w:eastAsia="仿宋_GB2312" w:cs="仿宋_GB2312"/>
          <w:kern w:val="0"/>
          <w:sz w:val="22"/>
          <w:szCs w:val="22"/>
          <w:lang w:val="zh-CN" w:bidi="zh-CN"/>
        </w:rPr>
        <w:br w:type="page"/>
      </w:r>
    </w:p>
    <w:p>
      <w:pPr>
        <w:autoSpaceDE w:val="0"/>
        <w:autoSpaceDN w:val="0"/>
        <w:spacing w:line="560" w:lineRule="atLeast"/>
        <w:rPr>
          <w:rFonts w:ascii="黑体" w:hAnsi="仿宋" w:eastAsia="黑体" w:cs="仿宋"/>
          <w:snapToGrid w:val="0"/>
          <w:sz w:val="32"/>
          <w:szCs w:val="32"/>
          <w:lang w:val="zh-CN" w:bidi="zh-CN"/>
        </w:rPr>
      </w:pPr>
    </w:p>
    <w:p>
      <w:pPr>
        <w:autoSpaceDE w:val="0"/>
        <w:autoSpaceDN w:val="0"/>
        <w:spacing w:line="560" w:lineRule="atLeast"/>
        <w:rPr>
          <w:rFonts w:hint="eastAsia" w:ascii="仿宋_GB2312" w:hAnsi="仿宋_GB2312" w:eastAsia="仿宋_GB2312" w:cs="仿宋_GB2312"/>
          <w:snapToGrid w:val="0"/>
          <w:sz w:val="32"/>
          <w:szCs w:val="32"/>
          <w:lang w:bidi="zh-CN"/>
        </w:rPr>
      </w:pPr>
      <w:r>
        <w:rPr>
          <w:rFonts w:hint="eastAsia" w:ascii="仿宋_GB2312" w:hAnsi="仿宋_GB2312" w:eastAsia="仿宋_GB2312" w:cs="仿宋_GB2312"/>
          <w:snapToGrid w:val="0"/>
          <w:sz w:val="32"/>
          <w:szCs w:val="32"/>
          <w:lang w:val="zh-CN" w:bidi="zh-CN"/>
        </w:rPr>
        <w:t>附件</w:t>
      </w:r>
      <w:r>
        <w:rPr>
          <w:rFonts w:hint="eastAsia" w:ascii="仿宋_GB2312" w:hAnsi="仿宋_GB2312" w:eastAsia="仿宋_GB2312" w:cs="仿宋_GB2312"/>
          <w:snapToGrid w:val="0"/>
          <w:sz w:val="32"/>
          <w:szCs w:val="32"/>
          <w:lang w:bidi="zh-CN"/>
        </w:rPr>
        <w:t>1</w:t>
      </w:r>
    </w:p>
    <w:p>
      <w:pPr>
        <w:autoSpaceDE w:val="0"/>
        <w:autoSpaceDN w:val="0"/>
        <w:spacing w:line="560" w:lineRule="atLeast"/>
        <w:jc w:val="center"/>
        <w:rPr>
          <w:rFonts w:ascii="黑体" w:hAnsi="仿宋" w:eastAsia="黑体" w:cs="仿宋"/>
          <w:snapToGrid w:val="0"/>
          <w:sz w:val="32"/>
          <w:szCs w:val="32"/>
          <w:lang w:bidi="zh-CN"/>
        </w:rPr>
      </w:pPr>
    </w:p>
    <w:p>
      <w:pPr>
        <w:autoSpaceDE w:val="0"/>
        <w:autoSpaceDN w:val="0"/>
        <w:spacing w:line="560" w:lineRule="atLeast"/>
        <w:jc w:val="center"/>
        <w:rPr>
          <w:rFonts w:ascii="宋体" w:hAnsi="宋体" w:cs="宋体"/>
          <w:b/>
          <w:bCs/>
          <w:sz w:val="44"/>
          <w:szCs w:val="44"/>
          <w:lang w:val="zh-CN" w:bidi="zh-CN"/>
        </w:rPr>
      </w:pPr>
      <w:r>
        <w:rPr>
          <w:rFonts w:hint="eastAsia" w:ascii="宋体" w:hAnsi="宋体" w:cs="宋体"/>
          <w:b/>
          <w:bCs/>
          <w:sz w:val="44"/>
          <w:szCs w:val="44"/>
          <w:lang w:val="zh-CN" w:bidi="zh-CN"/>
        </w:rPr>
        <w:t>浑南区黑土地保护性耕作基地</w:t>
      </w:r>
    </w:p>
    <w:p>
      <w:pPr>
        <w:autoSpaceDE w:val="0"/>
        <w:autoSpaceDN w:val="0"/>
        <w:spacing w:line="560" w:lineRule="atLeast"/>
        <w:jc w:val="center"/>
        <w:rPr>
          <w:rFonts w:ascii="宋体" w:hAnsi="宋体" w:cs="宋体"/>
          <w:b/>
          <w:bCs/>
          <w:sz w:val="44"/>
          <w:szCs w:val="44"/>
          <w:lang w:val="zh-CN" w:bidi="zh-CN"/>
        </w:rPr>
      </w:pPr>
      <w:r>
        <w:rPr>
          <w:rFonts w:hint="eastAsia" w:ascii="宋体" w:hAnsi="宋体" w:cs="宋体"/>
          <w:b/>
          <w:bCs/>
          <w:sz w:val="44"/>
          <w:szCs w:val="44"/>
          <w:lang w:val="zh-CN" w:bidi="zh-CN"/>
        </w:rPr>
        <w:t>拟建设名单</w:t>
      </w:r>
    </w:p>
    <w:p>
      <w:pPr>
        <w:autoSpaceDE w:val="0"/>
        <w:autoSpaceDN w:val="0"/>
        <w:jc w:val="left"/>
        <w:rPr>
          <w:rFonts w:ascii="仿宋" w:hAnsi="仿宋" w:eastAsia="仿宋" w:cs="仿宋"/>
          <w:kern w:val="0"/>
          <w:sz w:val="22"/>
          <w:szCs w:val="22"/>
          <w:lang w:val="zh-CN" w:bidi="zh-CN"/>
        </w:rPr>
      </w:pPr>
    </w:p>
    <w:tbl>
      <w:tblPr>
        <w:tblStyle w:val="8"/>
        <w:tblW w:w="9061" w:type="dxa"/>
        <w:tblInd w:w="0" w:type="dxa"/>
        <w:tblLayout w:type="fixed"/>
        <w:tblCellMar>
          <w:top w:w="0" w:type="dxa"/>
          <w:left w:w="108" w:type="dxa"/>
          <w:bottom w:w="0" w:type="dxa"/>
          <w:right w:w="108" w:type="dxa"/>
        </w:tblCellMar>
      </w:tblPr>
      <w:tblGrid>
        <w:gridCol w:w="727"/>
        <w:gridCol w:w="1035"/>
        <w:gridCol w:w="2876"/>
        <w:gridCol w:w="3695"/>
        <w:gridCol w:w="728"/>
      </w:tblGrid>
      <w:tr>
        <w:tblPrEx>
          <w:tblCellMar>
            <w:top w:w="0" w:type="dxa"/>
            <w:left w:w="108" w:type="dxa"/>
            <w:bottom w:w="0" w:type="dxa"/>
            <w:right w:w="108" w:type="dxa"/>
          </w:tblCellMar>
        </w:tblPrEx>
        <w:trPr>
          <w:trHeight w:val="580" w:hRule="atLeast"/>
        </w:trPr>
        <w:tc>
          <w:tcPr>
            <w:tcW w:w="9061" w:type="dxa"/>
            <w:gridSpan w:val="5"/>
            <w:tcBorders>
              <w:top w:val="nil"/>
              <w:left w:val="nil"/>
              <w:bottom w:val="nil"/>
              <w:right w:val="nil"/>
            </w:tcBorders>
            <w:vAlign w:val="center"/>
          </w:tcPr>
          <w:p>
            <w:pPr>
              <w:widowControl/>
              <w:autoSpaceDE w:val="0"/>
              <w:autoSpaceDN w:val="0"/>
              <w:jc w:val="left"/>
              <w:textAlignment w:val="center"/>
              <w:rPr>
                <w:rFonts w:ascii="宋体" w:hAnsi="宋体" w:cs="宋体"/>
                <w:kern w:val="0"/>
                <w:sz w:val="24"/>
                <w:lang w:val="zh-CN" w:bidi="zh-CN"/>
              </w:rPr>
            </w:pPr>
          </w:p>
        </w:tc>
      </w:tr>
      <w:tr>
        <w:tblPrEx>
          <w:tblCellMar>
            <w:top w:w="0" w:type="dxa"/>
            <w:left w:w="108" w:type="dxa"/>
            <w:bottom w:w="0" w:type="dxa"/>
            <w:right w:w="108" w:type="dxa"/>
          </w:tblCellMar>
        </w:tblPrEx>
        <w:trPr>
          <w:trHeight w:val="1172"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30"/>
                <w:szCs w:val="30"/>
                <w:lang w:val="zh-CN" w:bidi="zh-CN"/>
              </w:rPr>
            </w:pPr>
            <w:r>
              <w:rPr>
                <w:rFonts w:hint="eastAsia" w:ascii="宋体" w:hAnsi="宋体" w:cs="宋体"/>
                <w:kern w:val="0"/>
                <w:sz w:val="30"/>
                <w:szCs w:val="30"/>
              </w:rPr>
              <w:t>序号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30"/>
                <w:szCs w:val="30"/>
                <w:lang w:val="zh-CN" w:bidi="zh-CN"/>
              </w:rPr>
            </w:pPr>
            <w:r>
              <w:rPr>
                <w:rFonts w:hint="eastAsia" w:ascii="宋体" w:hAnsi="宋体" w:cs="宋体"/>
                <w:kern w:val="0"/>
                <w:sz w:val="30"/>
                <w:szCs w:val="30"/>
              </w:rPr>
              <w:t>街道</w:t>
            </w:r>
          </w:p>
        </w:tc>
        <w:tc>
          <w:tcPr>
            <w:tcW w:w="2876"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30"/>
                <w:szCs w:val="30"/>
                <w:lang w:val="zh-CN" w:bidi="zh-CN"/>
              </w:rPr>
            </w:pPr>
            <w:r>
              <w:rPr>
                <w:rFonts w:hint="eastAsia" w:ascii="宋体" w:hAnsi="宋体" w:cs="宋体"/>
                <w:kern w:val="0"/>
                <w:sz w:val="30"/>
                <w:szCs w:val="30"/>
              </w:rPr>
              <w:t>地块位置</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30"/>
                <w:szCs w:val="30"/>
                <w:lang w:val="zh-CN" w:bidi="zh-CN"/>
              </w:rPr>
            </w:pPr>
            <w:r>
              <w:rPr>
                <w:rFonts w:hint="eastAsia" w:ascii="宋体" w:hAnsi="宋体" w:cs="宋体"/>
                <w:kern w:val="0"/>
                <w:sz w:val="30"/>
                <w:szCs w:val="30"/>
              </w:rPr>
              <w:t>实施主体</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30"/>
                <w:szCs w:val="30"/>
                <w:lang w:val="zh-CN" w:bidi="zh-CN"/>
              </w:rPr>
            </w:pPr>
            <w:r>
              <w:rPr>
                <w:rFonts w:hint="eastAsia" w:ascii="宋体" w:hAnsi="宋体" w:cs="宋体"/>
                <w:kern w:val="0"/>
                <w:sz w:val="30"/>
                <w:szCs w:val="30"/>
              </w:rPr>
              <w:t>备注</w:t>
            </w:r>
          </w:p>
        </w:tc>
      </w:tr>
      <w:tr>
        <w:tblPrEx>
          <w:tblCellMar>
            <w:top w:w="0" w:type="dxa"/>
            <w:left w:w="108" w:type="dxa"/>
            <w:bottom w:w="0" w:type="dxa"/>
            <w:right w:w="108" w:type="dxa"/>
          </w:tblCellMar>
        </w:tblPrEx>
        <w:trPr>
          <w:trHeight w:val="907"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kern w:val="0"/>
                <w:sz w:val="24"/>
                <w:lang w:eastAsia="zh-CN"/>
              </w:rPr>
            </w:pPr>
            <w:r>
              <w:rPr>
                <w:rFonts w:hint="eastAsia" w:ascii="宋体" w:hAnsi="宋体" w:cs="宋体"/>
                <w:kern w:val="0"/>
                <w:sz w:val="24"/>
                <w:lang w:val="en-US" w:eastAsia="zh-CN"/>
              </w:rPr>
              <w:t>1</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24"/>
              </w:rPr>
            </w:pPr>
            <w:r>
              <w:rPr>
                <w:rFonts w:hint="eastAsia" w:ascii="宋体" w:hAnsi="宋体" w:cs="宋体"/>
                <w:kern w:val="0"/>
                <w:sz w:val="24"/>
              </w:rPr>
              <w:t>桃仙街道</w:t>
            </w:r>
          </w:p>
        </w:tc>
        <w:tc>
          <w:tcPr>
            <w:tcW w:w="2876"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24"/>
              </w:rPr>
            </w:pPr>
            <w:r>
              <w:rPr>
                <w:rFonts w:hint="eastAsia" w:ascii="宋体" w:hAnsi="宋体" w:cs="宋体"/>
                <w:kern w:val="0"/>
                <w:sz w:val="24"/>
              </w:rPr>
              <w:t>桃仙一村、桃仙二村相连地块</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24"/>
              </w:rPr>
            </w:pPr>
            <w:r>
              <w:rPr>
                <w:rFonts w:hint="eastAsia" w:ascii="宋体" w:hAnsi="宋体" w:cs="宋体"/>
                <w:kern w:val="0"/>
                <w:sz w:val="24"/>
              </w:rPr>
              <w:t>沈阳市东陵区桃仙农机专业合作社申报</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24"/>
                <w:lang w:val="zh-CN"/>
              </w:rPr>
            </w:pPr>
            <w:r>
              <w:rPr>
                <w:rFonts w:hint="eastAsia" w:ascii="宋体" w:hAnsi="宋体" w:cs="宋体"/>
                <w:kern w:val="0"/>
                <w:sz w:val="24"/>
                <w:lang w:val="zh-CN"/>
              </w:rPr>
              <w:t>村级</w:t>
            </w:r>
          </w:p>
        </w:tc>
      </w:tr>
      <w:tr>
        <w:tblPrEx>
          <w:tblCellMar>
            <w:top w:w="0" w:type="dxa"/>
            <w:left w:w="108" w:type="dxa"/>
            <w:bottom w:w="0" w:type="dxa"/>
            <w:right w:w="108" w:type="dxa"/>
          </w:tblCellMar>
        </w:tblPrEx>
        <w:trPr>
          <w:trHeight w:val="907" w:hRule="atLeast"/>
        </w:trPr>
        <w:tc>
          <w:tcPr>
            <w:tcW w:w="727"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hint="eastAsia" w:ascii="宋体" w:hAnsi="宋体" w:eastAsia="宋体" w:cs="宋体"/>
                <w:kern w:val="0"/>
                <w:sz w:val="24"/>
                <w:lang w:val="zh-CN" w:eastAsia="zh-CN"/>
              </w:rPr>
            </w:pPr>
            <w:r>
              <w:rPr>
                <w:rFonts w:hint="eastAsia" w:ascii="宋体" w:hAnsi="宋体" w:cs="宋体"/>
                <w:kern w:val="0"/>
                <w:sz w:val="24"/>
                <w:lang w:val="en-US" w:eastAsia="zh-CN"/>
              </w:rPr>
              <w:t>2</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24"/>
                <w:lang w:val="zh-CN" w:bidi="zh-CN"/>
              </w:rPr>
            </w:pPr>
            <w:r>
              <w:rPr>
                <w:rFonts w:hint="eastAsia" w:ascii="宋体" w:hAnsi="宋体" w:cs="宋体"/>
                <w:kern w:val="0"/>
                <w:sz w:val="24"/>
              </w:rPr>
              <w:t>桃仙街道</w:t>
            </w:r>
          </w:p>
        </w:tc>
        <w:tc>
          <w:tcPr>
            <w:tcW w:w="2876"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24"/>
                <w:lang w:val="zh-CN" w:bidi="zh-CN"/>
              </w:rPr>
            </w:pPr>
            <w:r>
              <w:rPr>
                <w:rFonts w:hint="eastAsia" w:ascii="宋体" w:hAnsi="宋体" w:cs="宋体"/>
                <w:kern w:val="0"/>
                <w:sz w:val="24"/>
              </w:rPr>
              <w:t>富家村耕地</w:t>
            </w:r>
          </w:p>
        </w:tc>
        <w:tc>
          <w:tcPr>
            <w:tcW w:w="3695"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24"/>
                <w:lang w:val="zh-CN" w:bidi="zh-CN"/>
              </w:rPr>
            </w:pPr>
            <w:r>
              <w:rPr>
                <w:rFonts w:hint="eastAsia" w:ascii="宋体" w:hAnsi="宋体" w:cs="宋体"/>
                <w:kern w:val="0"/>
                <w:sz w:val="24"/>
              </w:rPr>
              <w:t>沈阳市东陵区富家农机专业合作社申报</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jc w:val="center"/>
              <w:textAlignment w:val="center"/>
              <w:rPr>
                <w:rFonts w:ascii="宋体" w:hAnsi="宋体" w:cs="宋体"/>
                <w:kern w:val="0"/>
                <w:sz w:val="24"/>
                <w:lang w:val="zh-CN"/>
              </w:rPr>
            </w:pPr>
            <w:r>
              <w:rPr>
                <w:rFonts w:hint="eastAsia" w:ascii="宋体" w:hAnsi="宋体" w:cs="宋体"/>
                <w:kern w:val="0"/>
                <w:sz w:val="24"/>
                <w:lang w:val="zh-CN"/>
              </w:rPr>
              <w:t>村级</w:t>
            </w:r>
          </w:p>
        </w:tc>
      </w:tr>
    </w:tbl>
    <w:p>
      <w:pPr>
        <w:autoSpaceDE w:val="0"/>
        <w:autoSpaceDN w:val="0"/>
        <w:jc w:val="left"/>
        <w:rPr>
          <w:rFonts w:ascii="宋体" w:hAnsi="宋体" w:cs="宋体"/>
          <w:b/>
          <w:bCs/>
          <w:kern w:val="0"/>
          <w:sz w:val="44"/>
          <w:szCs w:val="44"/>
          <w:lang w:val="zh-CN" w:bidi="zh-CN"/>
        </w:rPr>
      </w:pPr>
    </w:p>
    <w:p>
      <w:pPr>
        <w:autoSpaceDE w:val="0"/>
        <w:autoSpaceDN w:val="0"/>
        <w:adjustRightInd w:val="0"/>
        <w:snapToGrid w:val="0"/>
        <w:spacing w:line="560" w:lineRule="exact"/>
        <w:rPr>
          <w:rFonts w:ascii="黑体" w:hAnsi="仿宋" w:eastAsia="黑体" w:cs="仿宋"/>
          <w:snapToGrid w:val="0"/>
          <w:sz w:val="32"/>
          <w:szCs w:val="32"/>
          <w:lang w:val="zh-CN" w:bidi="zh-CN"/>
        </w:rPr>
      </w:pPr>
    </w:p>
    <w:p>
      <w:pPr>
        <w:autoSpaceDE w:val="0"/>
        <w:autoSpaceDN w:val="0"/>
        <w:rPr>
          <w:rFonts w:ascii="仿宋" w:hAnsi="仿宋" w:eastAsia="仿宋" w:cs="仿宋"/>
          <w:sz w:val="32"/>
          <w:szCs w:val="32"/>
          <w:lang w:val="zh-CN" w:bidi="zh-CN"/>
        </w:rPr>
      </w:pPr>
    </w:p>
    <w:p>
      <w:pPr>
        <w:autoSpaceDE w:val="0"/>
        <w:autoSpaceDN w:val="0"/>
        <w:jc w:val="left"/>
        <w:rPr>
          <w:rFonts w:ascii="仿宋" w:hAnsi="仿宋" w:eastAsia="仿宋" w:cs="仿宋"/>
          <w:kern w:val="0"/>
          <w:sz w:val="22"/>
          <w:szCs w:val="22"/>
          <w:lang w:val="zh-CN" w:bidi="zh-CN"/>
        </w:rPr>
      </w:pPr>
    </w:p>
    <w:p>
      <w:r>
        <w:rPr>
          <w:rFonts w:hint="eastAsia" w:ascii="仿宋" w:hAnsi="仿宋" w:eastAsia="仿宋" w:cs="仿宋"/>
          <w:sz w:val="32"/>
          <w:szCs w:val="32"/>
          <w:lang w:val="zh-CN" w:bidi="zh-CN"/>
        </w:rPr>
        <w:br w:type="page"/>
      </w:r>
    </w:p>
    <w:p>
      <w:pPr>
        <w:pStyle w:val="3"/>
        <w:spacing w:line="560" w:lineRule="exact"/>
        <w:ind w:left="0" w:right="0"/>
        <w:rPr>
          <w:rFonts w:hint="eastAsia" w:ascii="黑体" w:hAnsi="黑体" w:eastAsia="黑体" w:cs="黑体"/>
          <w:b w:val="0"/>
          <w:sz w:val="32"/>
          <w:szCs w:val="32"/>
          <w:lang w:eastAsia="zh-CN"/>
        </w:rPr>
      </w:pPr>
      <w:r>
        <w:rPr>
          <w:rFonts w:hint="eastAsia" w:ascii="仿宋_GB2312" w:hAnsi="仿宋_GB2312" w:eastAsia="仿宋_GB2312" w:cs="仿宋_GB2312"/>
          <w:b w:val="0"/>
          <w:sz w:val="32"/>
          <w:szCs w:val="32"/>
        </w:rPr>
        <w:t>附件</w:t>
      </w:r>
      <w:r>
        <w:rPr>
          <w:rFonts w:hint="eastAsia" w:ascii="仿宋_GB2312" w:hAnsi="仿宋_GB2312" w:eastAsia="仿宋_GB2312" w:cs="仿宋_GB2312"/>
          <w:b w:val="0"/>
          <w:sz w:val="32"/>
          <w:szCs w:val="32"/>
          <w:lang w:val="en-US" w:eastAsia="zh-CN"/>
        </w:rPr>
        <w:t>2</w:t>
      </w:r>
    </w:p>
    <w:p/>
    <w:p>
      <w:pPr>
        <w:pStyle w:val="3"/>
        <w:spacing w:line="560" w:lineRule="exact"/>
        <w:ind w:left="0" w:right="0"/>
        <w:jc w:val="center"/>
        <w:rPr>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rPr>
        <w:t>沈阳市村级高标准保护性耕作</w:t>
      </w:r>
    </w:p>
    <w:p>
      <w:pPr>
        <w:pStyle w:val="3"/>
        <w:spacing w:line="560" w:lineRule="exact"/>
        <w:ind w:left="0" w:right="0"/>
        <w:jc w:val="center"/>
        <w:rPr>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rPr>
        <w:t>应用基地建设标准</w:t>
      </w:r>
    </w:p>
    <w:p>
      <w:pPr>
        <w:pStyle w:val="2"/>
        <w:spacing w:line="560" w:lineRule="exact"/>
        <w:rPr>
          <w:rFonts w:ascii="宋体"/>
          <w:b/>
          <w:sz w:val="54"/>
        </w:rPr>
      </w:pP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为保障保护性耕作应用基地建设质量，村级保护性耕作应用基地建设应符合以下标准和条件。</w:t>
      </w:r>
    </w:p>
    <w:p>
      <w:pPr>
        <w:pStyle w:val="2"/>
        <w:spacing w:line="560" w:lineRule="exact"/>
        <w:ind w:firstLine="640" w:firstLineChars="200"/>
        <w:rPr>
          <w:rFonts w:ascii="CESI黑体-GB2312" w:hAnsi="CESI黑体-GB2312" w:eastAsia="CESI黑体-GB2312" w:cs="CESI黑体-GB2312"/>
          <w:sz w:val="32"/>
          <w:szCs w:val="32"/>
        </w:rPr>
      </w:pPr>
      <w:r>
        <w:rPr>
          <w:rFonts w:hint="eastAsia" w:ascii="黑体" w:hAnsi="黑体" w:eastAsia="黑体" w:cs="黑体"/>
          <w:sz w:val="32"/>
          <w:szCs w:val="32"/>
        </w:rPr>
        <w:t>一、建设主体</w:t>
      </w:r>
    </w:p>
    <w:p>
      <w:pPr>
        <w:pStyle w:val="2"/>
        <w:spacing w:line="560" w:lineRule="exact"/>
        <w:ind w:firstLine="640" w:firstLineChars="200"/>
        <w:rPr>
          <w:rFonts w:ascii="CESI仿宋-GB2312" w:hAnsi="CESI仿宋-GB2312" w:eastAsia="CESI仿宋-GB2312" w:cs="CESI仿宋-GB2312"/>
          <w:sz w:val="32"/>
          <w:szCs w:val="32"/>
        </w:rPr>
      </w:pPr>
      <w:r>
        <w:rPr>
          <w:rFonts w:hint="eastAsia" w:ascii="仿宋_GB2312" w:hAnsi="仿宋_GB2312" w:eastAsia="仿宋_GB2312" w:cs="仿宋_GB2312"/>
          <w:sz w:val="32"/>
          <w:szCs w:val="32"/>
        </w:rPr>
        <w:t>选择装备实力较强、技术应用较好、积极性较高、经营管理规范、社会信誉度高的农机合作社、家庭农场等新型农业经营主体及种粮大户、农机大户承担村级应用基地建设。实施建设主体须具备与建设要求相应的作业、技术等能力和条件。</w:t>
      </w:r>
    </w:p>
    <w:p>
      <w:pPr>
        <w:pStyle w:val="2"/>
        <w:spacing w:line="560" w:lineRule="exact"/>
        <w:ind w:firstLine="640" w:firstLineChars="200"/>
        <w:rPr>
          <w:rFonts w:ascii="CESI黑体-GB2312" w:hAnsi="CESI黑体-GB2312" w:eastAsia="CESI黑体-GB2312" w:cs="CESI黑体-GB2312"/>
          <w:sz w:val="32"/>
          <w:szCs w:val="32"/>
        </w:rPr>
      </w:pPr>
      <w:r>
        <w:rPr>
          <w:rFonts w:hint="eastAsia" w:ascii="黑体" w:hAnsi="黑体" w:eastAsia="黑体" w:cs="黑体"/>
          <w:sz w:val="32"/>
          <w:szCs w:val="32"/>
        </w:rPr>
        <w:t>二、建设规模</w:t>
      </w:r>
    </w:p>
    <w:p>
      <w:pPr>
        <w:pStyle w:val="2"/>
        <w:spacing w:line="560" w:lineRule="exact"/>
        <w:ind w:firstLine="640" w:firstLineChars="200"/>
        <w:rPr>
          <w:rFonts w:ascii="CESI仿宋-GB2312" w:hAnsi="CESI仿宋-GB2312" w:eastAsia="CESI仿宋-GB2312" w:cs="CESI仿宋-GB2312"/>
          <w:sz w:val="32"/>
          <w:szCs w:val="32"/>
        </w:rPr>
      </w:pPr>
      <w:r>
        <w:rPr>
          <w:rFonts w:hint="eastAsia" w:ascii="仿宋_GB2312" w:hAnsi="仿宋_GB2312" w:eastAsia="仿宋_GB2312" w:cs="仿宋_GB2312"/>
          <w:sz w:val="32"/>
          <w:szCs w:val="32"/>
        </w:rPr>
        <w:t>基地应相对集中，实施面积不少于100亩。要保障应用基地建设的持续性和稳定性，同一地块技术应用再连续实施3年以上。</w:t>
      </w:r>
    </w:p>
    <w:p>
      <w:pPr>
        <w:pStyle w:val="2"/>
        <w:spacing w:line="560" w:lineRule="exact"/>
        <w:ind w:firstLine="640" w:firstLineChars="200"/>
        <w:rPr>
          <w:rFonts w:ascii="CESI黑体-GB2312" w:hAnsi="CESI黑体-GB2312" w:eastAsia="CESI黑体-GB2312" w:cs="CESI黑体-GB2312"/>
          <w:sz w:val="32"/>
          <w:szCs w:val="32"/>
        </w:rPr>
      </w:pPr>
      <w:r>
        <w:rPr>
          <w:rFonts w:hint="eastAsia" w:ascii="黑体" w:hAnsi="黑体" w:eastAsia="黑体" w:cs="黑体"/>
          <w:sz w:val="32"/>
          <w:szCs w:val="32"/>
        </w:rPr>
        <w:t>三、技术应用</w:t>
      </w:r>
    </w:p>
    <w:p>
      <w:pPr>
        <w:pStyle w:val="2"/>
        <w:spacing w:line="560" w:lineRule="exact"/>
        <w:ind w:firstLine="640" w:firstLineChars="200"/>
        <w:rPr>
          <w:rFonts w:ascii="CESI仿宋-GB2312" w:hAnsi="CESI仿宋-GB2312" w:eastAsia="CESI仿宋-GB2312" w:cs="CESI仿宋-GB2312"/>
          <w:sz w:val="32"/>
          <w:szCs w:val="32"/>
        </w:rPr>
      </w:pPr>
      <w:r>
        <w:rPr>
          <w:rFonts w:hint="eastAsia" w:ascii="仿宋_GB2312" w:hAnsi="仿宋_GB2312" w:eastAsia="仿宋_GB2312" w:cs="仿宋_GB2312"/>
          <w:sz w:val="32"/>
          <w:szCs w:val="32"/>
        </w:rPr>
        <w:t>基地在秸秆覆盖上应做到高标准、严要求，原则上应以第三档秸秆覆盖标准（60%以上覆盖率）为主。鼓励多采取免耕播种方式，免耕播种应不少于基地面积的40%（不少于40亩）。</w:t>
      </w:r>
    </w:p>
    <w:p>
      <w:pPr>
        <w:pStyle w:val="2"/>
        <w:spacing w:line="560" w:lineRule="exact"/>
        <w:ind w:firstLine="640" w:firstLineChars="200"/>
        <w:rPr>
          <w:rFonts w:ascii="CESI黑体-GB2312" w:hAnsi="CESI黑体-GB2312" w:eastAsia="CESI黑体-GB2312" w:cs="CESI黑体-GB2312"/>
          <w:sz w:val="32"/>
          <w:szCs w:val="32"/>
        </w:rPr>
      </w:pPr>
      <w:r>
        <w:rPr>
          <w:rFonts w:hint="eastAsia" w:ascii="黑体" w:hAnsi="黑体" w:eastAsia="黑体" w:cs="黑体"/>
          <w:sz w:val="32"/>
          <w:szCs w:val="32"/>
        </w:rPr>
        <w:t>四、技术保障</w:t>
      </w:r>
    </w:p>
    <w:p>
      <w:pPr>
        <w:pStyle w:val="2"/>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驻沈科研和推广单位为依托，以适用性为基础，在模式选择、技术路线、指导应用、技术培训、宣传引导、应用效果监测等方面提供技术支撑和保障。加强对基地的技术指导，实行基地“1+1+2”技术指导方式，即每个基地配备1个技术支撑单位，1位技术指导专家，每位专家每年至少2次赴基地开展现场技术指导。</w:t>
      </w:r>
    </w:p>
    <w:p>
      <w:pPr>
        <w:pStyle w:val="2"/>
        <w:spacing w:line="560" w:lineRule="exact"/>
        <w:ind w:firstLine="640" w:firstLineChars="200"/>
        <w:rPr>
          <w:rFonts w:ascii="CESI黑体-GB2312" w:hAnsi="CESI黑体-GB2312" w:eastAsia="CESI黑体-GB2312" w:cs="CESI黑体-GB2312"/>
          <w:sz w:val="32"/>
          <w:szCs w:val="32"/>
        </w:rPr>
      </w:pPr>
      <w:r>
        <w:rPr>
          <w:rFonts w:hint="eastAsia" w:ascii="黑体" w:hAnsi="黑体" w:eastAsia="黑体" w:cs="黑体"/>
          <w:sz w:val="32"/>
          <w:szCs w:val="32"/>
        </w:rPr>
        <w:t>五、建设目标</w:t>
      </w:r>
    </w:p>
    <w:p>
      <w:pPr>
        <w:pStyle w:val="16"/>
        <w:tabs>
          <w:tab w:val="left" w:pos="2000"/>
        </w:tabs>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1.完善技术应用。明确适宜本区域的保护性耕作主推模式、技术路线和技术措施，制定完善相关技术方案、技术标准、操作规程等内容，有效指导技术应用。</w:t>
      </w:r>
    </w:p>
    <w:p>
      <w:pPr>
        <w:pStyle w:val="16"/>
        <w:tabs>
          <w:tab w:val="left" w:pos="1839"/>
        </w:tabs>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2.完善技术监测。持续开展耕地理化、生物性状、生产成本、作物产量、病虫草害、机具装备及技术适用性等情况的监测试验工作，优化技术措施，提升实施效果。</w:t>
      </w:r>
    </w:p>
    <w:p>
      <w:pPr>
        <w:pStyle w:val="16"/>
        <w:tabs>
          <w:tab w:val="left" w:pos="1840"/>
        </w:tabs>
        <w:spacing w:line="560" w:lineRule="exact"/>
        <w:ind w:left="0"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3.充分发挥示范功能和效果。打造集成果展示、指导培训、宣传推广、技术集成应用于一体的高标准保护性耕作示范应用基地，示范带动村域保护性耕作高标准高质量发展。</w:t>
      </w:r>
    </w:p>
    <w:p>
      <w:pPr>
        <w:pStyle w:val="16"/>
        <w:tabs>
          <w:tab w:val="left" w:pos="1840"/>
        </w:tabs>
        <w:spacing w:line="560" w:lineRule="atLeast"/>
        <w:ind w:left="0" w:firstLine="640" w:firstLineChars="200"/>
        <w:rPr>
          <w:rFonts w:ascii="CESI仿宋-GB2312" w:hAnsi="CESI仿宋-GB2312" w:eastAsia="CESI仿宋-GB2312" w:cs="CESI仿宋-GB2312"/>
          <w:sz w:val="32"/>
        </w:rPr>
      </w:pPr>
    </w:p>
    <w:p>
      <w:pPr>
        <w:pStyle w:val="16"/>
        <w:tabs>
          <w:tab w:val="left" w:pos="1840"/>
        </w:tabs>
        <w:spacing w:line="560" w:lineRule="atLeast"/>
        <w:ind w:left="0" w:firstLine="640" w:firstLineChars="200"/>
        <w:rPr>
          <w:rFonts w:ascii="CESI仿宋-GB2312" w:hAnsi="CESI仿宋-GB2312" w:eastAsia="CESI仿宋-GB2312" w:cs="CESI仿宋-GB2312"/>
          <w:sz w:val="32"/>
        </w:rPr>
      </w:pPr>
    </w:p>
    <w:p>
      <w:pPr>
        <w:rPr>
          <w:rFonts w:ascii="CESI仿宋-GB2312" w:hAnsi="CESI仿宋-GB2312" w:eastAsia="CESI仿宋-GB2312" w:cs="CESI仿宋-GB2312"/>
          <w:sz w:val="32"/>
        </w:rPr>
      </w:pPr>
      <w:r>
        <w:rPr>
          <w:rFonts w:hint="eastAsia" w:ascii="CESI仿宋-GB2312" w:hAnsi="CESI仿宋-GB2312" w:eastAsia="CESI仿宋-GB2312" w:cs="CESI仿宋-GB2312"/>
          <w:sz w:val="32"/>
        </w:rPr>
        <w:br w:type="page"/>
      </w:r>
    </w:p>
    <w:p>
      <w:pPr>
        <w:pStyle w:val="19"/>
        <w:keepNext/>
        <w:keepLines/>
        <w:spacing w:after="0" w:line="560" w:lineRule="atLeast"/>
        <w:jc w:val="left"/>
        <w:rPr>
          <w:color w:val="000000"/>
          <w:sz w:val="36"/>
          <w:szCs w:val="36"/>
          <w:lang w:val="en-US" w:eastAsia="zh-CN"/>
        </w:rPr>
      </w:pPr>
      <w:r>
        <w:rPr>
          <w:rFonts w:hint="eastAsia" w:ascii="方正黑体_GBK" w:hAnsi="方正黑体_GBK" w:eastAsia="方正黑体_GBK" w:cs="方正黑体_GBK"/>
          <w:color w:val="000000"/>
          <w:sz w:val="32"/>
          <w:szCs w:val="32"/>
          <w:lang w:val="en-US" w:eastAsia="zh-CN"/>
        </w:rPr>
        <w:t>附件</w:t>
      </w:r>
      <w:bookmarkStart w:id="0" w:name="bookmark10"/>
      <w:bookmarkStart w:id="1" w:name="bookmark11"/>
      <w:bookmarkStart w:id="2" w:name="bookmark9"/>
      <w:r>
        <w:rPr>
          <w:rFonts w:hint="eastAsia" w:ascii="方正黑体_GBK" w:hAnsi="方正黑体_GBK" w:eastAsia="方正黑体_GBK" w:cs="方正黑体_GBK"/>
          <w:color w:val="000000"/>
          <w:sz w:val="32"/>
          <w:szCs w:val="32"/>
          <w:lang w:val="en-US" w:eastAsia="zh-CN"/>
        </w:rPr>
        <w:t>3</w:t>
      </w:r>
    </w:p>
    <w:p>
      <w:pPr>
        <w:pStyle w:val="19"/>
        <w:keepNext/>
        <w:keepLines/>
        <w:spacing w:after="720" w:line="560" w:lineRule="atLeast"/>
        <w:rPr>
          <w:color w:val="000000"/>
          <w:sz w:val="36"/>
          <w:szCs w:val="36"/>
          <w:lang w:eastAsia="zh-CN"/>
        </w:rPr>
      </w:pPr>
    </w:p>
    <w:p>
      <w:pPr>
        <w:pStyle w:val="19"/>
        <w:keepNext/>
        <w:keepLines/>
        <w:spacing w:after="0" w:line="560" w:lineRule="exact"/>
        <w:rPr>
          <w:rFonts w:ascii="方正小标宋简体" w:hAnsi="方正小标宋简体" w:eastAsia="方正小标宋简体" w:cs="方正小标宋简体"/>
          <w:color w:val="000000"/>
        </w:rPr>
      </w:pPr>
      <w:r>
        <w:rPr>
          <w:rFonts w:hint="eastAsia" w:ascii="方正小标宋简体" w:hAnsi="方正小标宋简体" w:eastAsia="方正小标宋简体" w:cs="方正小标宋简体"/>
          <w:color w:val="000000"/>
          <w:lang w:eastAsia="zh-CN"/>
        </w:rPr>
        <w:t>沈阳市院府合作村</w:t>
      </w:r>
      <w:r>
        <w:rPr>
          <w:rFonts w:hint="eastAsia" w:ascii="方正小标宋简体" w:hAnsi="方正小标宋简体" w:eastAsia="方正小标宋简体" w:cs="方正小标宋简体"/>
          <w:color w:val="000000"/>
        </w:rPr>
        <w:t>级高标准保护性耕作</w:t>
      </w:r>
    </w:p>
    <w:p>
      <w:pPr>
        <w:pStyle w:val="19"/>
        <w:keepNext/>
        <w:keepLines/>
        <w:spacing w:after="0" w:line="560" w:lineRule="exact"/>
        <w:jc w:val="both"/>
        <w:rPr>
          <w:rFonts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rPr>
        <w:t>应用基地建设</w:t>
      </w:r>
      <w:bookmarkEnd w:id="0"/>
      <w:bookmarkEnd w:id="1"/>
      <w:bookmarkEnd w:id="2"/>
      <w:bookmarkStart w:id="3" w:name="bookmark12"/>
      <w:bookmarkStart w:id="4" w:name="bookmark14"/>
      <w:bookmarkStart w:id="5" w:name="bookmark13"/>
      <w:r>
        <w:rPr>
          <w:rFonts w:hint="eastAsia" w:ascii="方正小标宋简体" w:hAnsi="方正小标宋简体" w:eastAsia="方正小标宋简体" w:cs="方正小标宋简体"/>
          <w:color w:val="000000"/>
        </w:rPr>
        <w:t>技术服务与合作</w:t>
      </w:r>
      <w:r>
        <w:rPr>
          <w:rFonts w:hint="eastAsia" w:ascii="方正小标宋简体" w:hAnsi="方正小标宋简体" w:eastAsia="方正小标宋简体" w:cs="方正小标宋简体"/>
          <w:color w:val="000000"/>
          <w:lang w:eastAsia="zh-CN"/>
        </w:rPr>
        <w:t>协议书</w:t>
      </w:r>
      <w:r>
        <w:rPr>
          <w:rFonts w:hint="eastAsia" w:ascii="方正小标宋简体" w:hAnsi="方正小标宋简体" w:eastAsia="方正小标宋简体" w:cs="方正小标宋简体"/>
          <w:color w:val="000000"/>
        </w:rPr>
        <w:t>（样本）</w:t>
      </w:r>
      <w:bookmarkEnd w:id="3"/>
      <w:bookmarkEnd w:id="4"/>
      <w:bookmarkEnd w:id="5"/>
    </w:p>
    <w:p>
      <w:pPr>
        <w:pStyle w:val="20"/>
        <w:tabs>
          <w:tab w:val="left" w:leader="hyphen" w:pos="6317"/>
        </w:tabs>
        <w:spacing w:line="560" w:lineRule="atLeast"/>
        <w:jc w:val="center"/>
        <w:rPr>
          <w:color w:val="000000"/>
        </w:rPr>
      </w:pPr>
    </w:p>
    <w:p>
      <w:pPr>
        <w:pStyle w:val="20"/>
        <w:tabs>
          <w:tab w:val="left" w:leader="hyphen" w:pos="6317"/>
        </w:tabs>
        <w:spacing w:line="560" w:lineRule="atLeast"/>
        <w:jc w:val="center"/>
        <w:rPr>
          <w:color w:val="000000"/>
        </w:rPr>
      </w:pPr>
    </w:p>
    <w:p>
      <w:pPr>
        <w:pStyle w:val="20"/>
        <w:tabs>
          <w:tab w:val="left" w:leader="hyphen" w:pos="6317"/>
        </w:tabs>
        <w:spacing w:line="560" w:lineRule="atLeast"/>
        <w:jc w:val="center"/>
        <w:rPr>
          <w:color w:val="000000"/>
        </w:rPr>
      </w:pPr>
    </w:p>
    <w:p>
      <w:pPr>
        <w:pStyle w:val="20"/>
        <w:tabs>
          <w:tab w:val="left" w:leader="hyphen" w:pos="6317"/>
        </w:tabs>
        <w:spacing w:line="560" w:lineRule="atLeast"/>
        <w:jc w:val="center"/>
      </w:pPr>
      <w:r>
        <w:rPr>
          <w:color w:val="000000"/>
        </w:rPr>
        <w:t>基地建设实施主体（甲方）：</w:t>
      </w:r>
      <w:r>
        <w:rPr>
          <w:color w:val="000000"/>
        </w:rPr>
        <w:tab/>
      </w:r>
      <w:r>
        <w:rPr>
          <w:color w:val="000000"/>
        </w:rPr>
        <w:t>（盖章）</w:t>
      </w:r>
    </w:p>
    <w:p>
      <w:pPr>
        <w:pStyle w:val="20"/>
        <w:tabs>
          <w:tab w:val="left" w:leader="hyphen" w:pos="6317"/>
        </w:tabs>
        <w:spacing w:line="560" w:lineRule="atLeast"/>
        <w:jc w:val="center"/>
      </w:pPr>
      <w:r>
        <w:rPr>
          <w:color w:val="000000"/>
        </w:rPr>
        <w:t>技术支撑单位（乙方）：</w:t>
      </w:r>
      <w:r>
        <w:rPr>
          <w:color w:val="000000"/>
        </w:rPr>
        <w:tab/>
      </w:r>
      <w:r>
        <w:rPr>
          <w:color w:val="000000"/>
        </w:rPr>
        <w:t>（盖章）</w:t>
      </w:r>
    </w:p>
    <w:p>
      <w:pPr>
        <w:pStyle w:val="20"/>
        <w:tabs>
          <w:tab w:val="left" w:leader="hyphen" w:pos="6317"/>
        </w:tabs>
        <w:spacing w:after="2220" w:line="560" w:lineRule="atLeast"/>
        <w:jc w:val="center"/>
        <w:rPr>
          <w:color w:val="000000"/>
          <w:lang w:val="en-US" w:eastAsia="zh-CN"/>
        </w:rPr>
      </w:pPr>
      <w:r>
        <w:rPr>
          <w:color w:val="000000"/>
        </w:rPr>
        <w:t>县级农机管理部门：</w:t>
      </w:r>
      <w:r>
        <w:rPr>
          <w:color w:val="000000"/>
        </w:rPr>
        <w:tab/>
      </w:r>
      <w:r>
        <w:rPr>
          <w:color w:val="000000"/>
        </w:rPr>
        <w:t>（盖章）</w:t>
      </w:r>
    </w:p>
    <w:p>
      <w:pPr>
        <w:pStyle w:val="20"/>
        <w:tabs>
          <w:tab w:val="left" w:leader="hyphen" w:pos="6317"/>
        </w:tabs>
        <w:spacing w:after="2220" w:line="560" w:lineRule="atLeast"/>
        <w:jc w:val="center"/>
        <w:rPr>
          <w:rFonts w:eastAsia="仿宋"/>
          <w:color w:val="000000"/>
          <w:lang w:val="en-US" w:eastAsia="zh-CN"/>
        </w:rPr>
      </w:pPr>
      <w:r>
        <w:rPr>
          <w:color w:val="000000"/>
        </w:rPr>
        <w:t>年 月</w:t>
      </w:r>
      <w:r>
        <w:rPr>
          <w:rFonts w:hint="eastAsia"/>
          <w:color w:val="000000"/>
          <w:lang w:val="en-US" w:eastAsia="zh-CN"/>
        </w:rPr>
        <w:t xml:space="preserve"> </w:t>
      </w:r>
      <w:r>
        <w:rPr>
          <w:rFonts w:hint="eastAsia"/>
          <w:color w:val="000000"/>
        </w:rPr>
        <w:t>日</w:t>
      </w:r>
    </w:p>
    <w:p>
      <w:pPr>
        <w:pStyle w:val="2"/>
        <w:spacing w:line="560" w:lineRule="atLeast"/>
        <w:jc w:val="center"/>
        <w:rPr>
          <w:color w:val="000000"/>
        </w:rPr>
      </w:pPr>
    </w:p>
    <w:p>
      <w:pPr>
        <w:pStyle w:val="21"/>
        <w:keepNext/>
        <w:keepLines/>
        <w:spacing w:after="0" w:line="560" w:lineRule="exact"/>
        <w:rPr>
          <w:rFonts w:ascii="方正小标宋简体" w:hAnsi="方正小标宋简体" w:eastAsia="方正小标宋简体" w:cs="方正小标宋简体"/>
          <w:color w:val="000000"/>
        </w:rPr>
      </w:pPr>
      <w:bookmarkStart w:id="6" w:name="bookmark17"/>
      <w:bookmarkStart w:id="7" w:name="bookmark16"/>
      <w:bookmarkStart w:id="8" w:name="bookmark15"/>
      <w:r>
        <w:rPr>
          <w:rFonts w:hint="eastAsia" w:ascii="方正小标宋简体" w:hAnsi="方正小标宋简体" w:eastAsia="方正小标宋简体" w:cs="方正小标宋简体"/>
          <w:color w:val="000000"/>
          <w:lang w:eastAsia="zh-CN"/>
        </w:rPr>
        <w:t>沈阳市院府合作村</w:t>
      </w:r>
      <w:r>
        <w:rPr>
          <w:rFonts w:hint="eastAsia" w:ascii="方正小标宋简体" w:hAnsi="方正小标宋简体" w:eastAsia="方正小标宋简体" w:cs="方正小标宋简体"/>
          <w:color w:val="000000"/>
        </w:rPr>
        <w:t>级高标准保护性耕作应用</w:t>
      </w:r>
    </w:p>
    <w:p>
      <w:pPr>
        <w:pStyle w:val="21"/>
        <w:keepNext/>
        <w:keepLines/>
        <w:spacing w:after="0" w:line="560" w:lineRule="exact"/>
        <w:rPr>
          <w:rFonts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rPr>
        <w:t>基地建设技术服务与合作协议书</w:t>
      </w:r>
      <w:bookmarkEnd w:id="6"/>
      <w:bookmarkEnd w:id="7"/>
      <w:bookmarkEnd w:id="8"/>
    </w:p>
    <w:p>
      <w:pPr>
        <w:pStyle w:val="2"/>
        <w:autoSpaceDE w:val="0"/>
        <w:autoSpaceDN w:val="0"/>
        <w:spacing w:before="3" w:line="560" w:lineRule="atLeast"/>
        <w:ind w:firstLine="436" w:firstLineChars="200"/>
        <w:rPr>
          <w:rFonts w:ascii="CESI仿宋-GB2312" w:hAnsi="CESI仿宋-GB2312" w:eastAsia="CESI仿宋-GB2312" w:cs="CESI仿宋-GB2312"/>
          <w:spacing w:val="4"/>
        </w:rPr>
      </w:pP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按照《沈阳市2024年黑土地保护性耕作实施方案》和村级高标准保护性耕作应用基地建设要求，保障基地建设质量和水平，******合作社（以下简称甲方）聘请******（以下简称乙方）为村级基地建设技术支撑单位。甲乙双方经协商达成以下技术服务与合作协议：</w:t>
      </w:r>
    </w:p>
    <w:p>
      <w:pPr>
        <w:pStyle w:val="17"/>
        <w:autoSpaceDE w:val="0"/>
        <w:autoSpaceDN w:val="0"/>
        <w:spacing w:line="560" w:lineRule="atLeast"/>
        <w:ind w:firstLine="870" w:firstLineChars="272"/>
        <w:rPr>
          <w:rFonts w:ascii="黑体" w:hAnsi="黑体" w:eastAsia="黑体" w:cs="黑体"/>
        </w:rPr>
      </w:pPr>
      <w:r>
        <w:rPr>
          <w:rFonts w:hint="eastAsia" w:ascii="黑体" w:hAnsi="黑体" w:eastAsia="黑体" w:cs="黑体"/>
          <w:color w:val="000000"/>
          <w:lang w:eastAsia="zh-CN"/>
        </w:rPr>
        <w:t>一、</w:t>
      </w:r>
      <w:r>
        <w:rPr>
          <w:rFonts w:hint="eastAsia" w:ascii="黑体" w:hAnsi="黑体" w:eastAsia="黑体" w:cs="黑体"/>
          <w:color w:val="000000"/>
        </w:rPr>
        <w:t>服务与合作内容</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在村级基地建设过程中，甲、乙双方开展技术合作，乙方为甲方在优化确定主推技术模式和技术路线、开展技术指导和培训示范、对比试验、技术应用效果监测等方面提供技术支撑服务。</w:t>
      </w:r>
    </w:p>
    <w:p>
      <w:pPr>
        <w:pStyle w:val="17"/>
        <w:autoSpaceDE w:val="0"/>
        <w:autoSpaceDN w:val="0"/>
        <w:spacing w:line="560" w:lineRule="atLeast"/>
        <w:ind w:firstLine="870" w:firstLineChars="272"/>
        <w:rPr>
          <w:rFonts w:ascii="黑体" w:hAnsi="黑体" w:eastAsia="黑体" w:cs="黑体"/>
        </w:rPr>
      </w:pPr>
      <w:r>
        <w:rPr>
          <w:rFonts w:hint="eastAsia" w:ascii="黑体" w:hAnsi="黑体" w:eastAsia="黑体" w:cs="黑体"/>
          <w:color w:val="000000"/>
          <w:lang w:val="zh-CN" w:eastAsia="zh-CN" w:bidi="zh-CN"/>
        </w:rPr>
        <w:t>二、</w:t>
      </w:r>
      <w:r>
        <w:rPr>
          <w:rFonts w:hint="eastAsia" w:ascii="黑体" w:hAnsi="黑体" w:eastAsia="黑体" w:cs="黑体"/>
          <w:color w:val="000000"/>
        </w:rPr>
        <w:t>有关权利与义务</w:t>
      </w:r>
    </w:p>
    <w:p>
      <w:pPr>
        <w:pStyle w:val="17"/>
        <w:autoSpaceDE w:val="0"/>
        <w:autoSpaceDN w:val="0"/>
        <w:spacing w:line="560" w:lineRule="atLeast"/>
        <w:ind w:firstLine="870" w:firstLineChars="272"/>
        <w:rPr>
          <w:rFonts w:ascii="楷体_GB2312" w:hAnsi="楷体_GB2312" w:eastAsia="楷体_GB2312" w:cs="楷体_GB2312"/>
        </w:rPr>
      </w:pPr>
      <w:bookmarkStart w:id="9" w:name="bookmark18"/>
      <w:r>
        <w:rPr>
          <w:rFonts w:hint="eastAsia" w:ascii="楷体_GB2312" w:hAnsi="楷体_GB2312" w:eastAsia="楷体_GB2312" w:cs="楷体_GB2312"/>
          <w:color w:val="000000"/>
        </w:rPr>
        <w:t>（</w:t>
      </w:r>
      <w:bookmarkEnd w:id="9"/>
      <w:r>
        <w:rPr>
          <w:rFonts w:hint="eastAsia" w:ascii="楷体_GB2312" w:hAnsi="楷体_GB2312" w:eastAsia="楷体_GB2312" w:cs="楷体_GB2312"/>
          <w:color w:val="000000"/>
        </w:rPr>
        <w:t>一）甲方</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10" w:name="bookmark19"/>
      <w:bookmarkEnd w:id="10"/>
      <w:r>
        <w:rPr>
          <w:rFonts w:hint="eastAsia" w:ascii="仿宋_GB2312" w:hAnsi="仿宋_GB2312" w:eastAsia="仿宋_GB2312" w:cs="仿宋_GB2312"/>
          <w:spacing w:val="4"/>
          <w:sz w:val="32"/>
          <w:szCs w:val="32"/>
        </w:rPr>
        <w:t>1.认真按照《沈阳市2024年黑土地保护性耕作实施方案》和《村级高标准保护性耕作应用基地建设标准要求》开展应用基地建设工作，符合建设条件，保障建设质量，实现建设目标。</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11" w:name="bookmark20"/>
      <w:bookmarkEnd w:id="11"/>
      <w:r>
        <w:rPr>
          <w:rFonts w:hint="eastAsia" w:ascii="仿宋_GB2312" w:hAnsi="仿宋_GB2312" w:eastAsia="仿宋_GB2312" w:cs="仿宋_GB2312"/>
          <w:spacing w:val="4"/>
          <w:sz w:val="32"/>
          <w:szCs w:val="32"/>
        </w:rPr>
        <w:t>2.按照村级高标准保护性耕作应用基地建设技术内容要求和技术支撑服务内容要求，为乙方提供100亩及以上耕地、工作场地、作业机具、人员等必备条件，保证播种前地表秸秆覆盖率60%以上，积极配合乙方开展技术服务工作。</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12" w:name="bookmark21"/>
      <w:bookmarkEnd w:id="12"/>
      <w:r>
        <w:rPr>
          <w:rFonts w:hint="eastAsia" w:ascii="仿宋_GB2312" w:hAnsi="仿宋_GB2312" w:eastAsia="仿宋_GB2312" w:cs="仿宋_GB2312"/>
          <w:spacing w:val="4"/>
          <w:sz w:val="32"/>
          <w:szCs w:val="32"/>
        </w:rPr>
        <w:t>3.建立保护性耕作示范展示基地，开展不少于2种技术模式的对比试验，承担保护性耕作技术观摩培训示范，宣传推广保护性耕作技术，展示保护性耕作实施效果。</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13" w:name="bookmark22"/>
      <w:bookmarkEnd w:id="13"/>
      <w:r>
        <w:rPr>
          <w:rFonts w:hint="eastAsia" w:ascii="仿宋_GB2312" w:hAnsi="仿宋_GB2312" w:eastAsia="仿宋_GB2312" w:cs="仿宋_GB2312"/>
          <w:spacing w:val="4"/>
          <w:sz w:val="32"/>
          <w:szCs w:val="32"/>
        </w:rPr>
        <w:t>4.建立专门的村级基地建设项目档案，并完整保存。</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14" w:name="bookmark23"/>
      <w:bookmarkEnd w:id="14"/>
      <w:r>
        <w:rPr>
          <w:rFonts w:hint="eastAsia" w:ascii="仿宋_GB2312" w:hAnsi="仿宋_GB2312" w:eastAsia="仿宋_GB2312" w:cs="仿宋_GB2312"/>
          <w:spacing w:val="4"/>
          <w:sz w:val="32"/>
          <w:szCs w:val="32"/>
        </w:rPr>
        <w:t>5.甲方根据技术支撑服务内容为乙方提供有偿技术服务费用，技术服务费用为1万元。</w:t>
      </w:r>
      <w:bookmarkStart w:id="15" w:name="bookmark24"/>
    </w:p>
    <w:p>
      <w:pPr>
        <w:pStyle w:val="2"/>
        <w:autoSpaceDE w:val="0"/>
        <w:autoSpaceDN w:val="0"/>
        <w:spacing w:before="3" w:line="560" w:lineRule="atLeast"/>
        <w:ind w:firstLine="640" w:firstLineChars="200"/>
        <w:rPr>
          <w:rFonts w:ascii="楷体_GB2312" w:hAnsi="楷体_GB2312" w:eastAsia="楷体_GB2312" w:cs="楷体_GB2312"/>
          <w:sz w:val="32"/>
          <w:szCs w:val="32"/>
        </w:rPr>
      </w:pPr>
      <w:r>
        <w:rPr>
          <w:rFonts w:hint="eastAsia" w:ascii="楷体_GB2312" w:hAnsi="楷体_GB2312" w:eastAsia="楷体_GB2312" w:cs="楷体_GB2312"/>
          <w:color w:val="000000"/>
          <w:sz w:val="32"/>
          <w:szCs w:val="32"/>
        </w:rPr>
        <w:t>（</w:t>
      </w:r>
      <w:bookmarkEnd w:id="15"/>
      <w:r>
        <w:rPr>
          <w:rFonts w:hint="eastAsia" w:ascii="楷体_GB2312" w:hAnsi="楷体_GB2312" w:eastAsia="楷体_GB2312" w:cs="楷体_GB2312"/>
          <w:color w:val="000000"/>
          <w:sz w:val="32"/>
          <w:szCs w:val="32"/>
        </w:rPr>
        <w:t>二）乙方</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16" w:name="bookmark25"/>
      <w:bookmarkEnd w:id="16"/>
      <w:r>
        <w:rPr>
          <w:rFonts w:hint="eastAsia" w:ascii="仿宋_GB2312" w:hAnsi="仿宋_GB2312" w:eastAsia="仿宋_GB2312" w:cs="仿宋_GB2312"/>
          <w:spacing w:val="4"/>
          <w:sz w:val="32"/>
          <w:szCs w:val="32"/>
        </w:rPr>
        <w:t>1.为甲方100亩及以上耕地提供秸秆大量还田免少耕播种技术方案，优化确定不少于2种主推技术模式和技术路线，制定具体的作业技术操作规程等技术标准文件，指导技术应用。</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17" w:name="bookmark26"/>
      <w:bookmarkEnd w:id="17"/>
      <w:r>
        <w:rPr>
          <w:rFonts w:hint="eastAsia" w:ascii="仿宋_GB2312" w:hAnsi="仿宋_GB2312" w:eastAsia="仿宋_GB2312" w:cs="仿宋_GB2312"/>
          <w:spacing w:val="4"/>
          <w:sz w:val="32"/>
          <w:szCs w:val="32"/>
        </w:rPr>
        <w:t>2.为甲方提供保护性耕作培训示范、技术咨询和作业技术指导服务。</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18" w:name="bookmark27"/>
      <w:bookmarkEnd w:id="18"/>
      <w:r>
        <w:rPr>
          <w:rFonts w:hint="eastAsia" w:ascii="仿宋_GB2312" w:hAnsi="仿宋_GB2312" w:eastAsia="仿宋_GB2312" w:cs="仿宋_GB2312"/>
          <w:spacing w:val="4"/>
          <w:sz w:val="32"/>
          <w:szCs w:val="32"/>
        </w:rPr>
        <w:t>3.结合实际，针对性地开展相关技术应用的对比试验研究，为甲方提供对比试验报告，完善作业技术操作规程，不断优化适应当地条件的技术模式和技术路线，提高技术应用水平。</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19" w:name="bookmark28"/>
      <w:bookmarkEnd w:id="19"/>
      <w:r>
        <w:rPr>
          <w:rFonts w:hint="eastAsia" w:ascii="仿宋_GB2312" w:hAnsi="仿宋_GB2312" w:eastAsia="仿宋_GB2312" w:cs="仿宋_GB2312"/>
          <w:spacing w:val="4"/>
          <w:sz w:val="32"/>
          <w:szCs w:val="32"/>
        </w:rPr>
        <w:t>4.根据技术应用特点和重要时间节点，适时组织开展土壤理化、生物性状、生产成本、作物产量、病虫草害、机具装备及技术适用性等实施效果的监测试验工作，提供监测试验报告，促进技术应用优化升级。</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20" w:name="bookmark29"/>
      <w:bookmarkEnd w:id="20"/>
      <w:r>
        <w:rPr>
          <w:rFonts w:hint="eastAsia" w:ascii="仿宋_GB2312" w:hAnsi="仿宋_GB2312" w:eastAsia="仿宋_GB2312" w:cs="仿宋_GB2312"/>
          <w:spacing w:val="4"/>
          <w:sz w:val="32"/>
          <w:szCs w:val="32"/>
        </w:rPr>
        <w:t>5.按照技术支撑协议和相关技术应用要求，完成技术服务项目内容，提供有效技术保障。</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bookmarkStart w:id="21" w:name="bookmark30"/>
      <w:bookmarkEnd w:id="21"/>
      <w:r>
        <w:rPr>
          <w:rFonts w:hint="eastAsia" w:ascii="仿宋_GB2312" w:hAnsi="仿宋_GB2312" w:eastAsia="仿宋_GB2312" w:cs="仿宋_GB2312"/>
          <w:spacing w:val="4"/>
          <w:sz w:val="32"/>
          <w:szCs w:val="32"/>
        </w:rPr>
        <w:t>6.建立技术支撑服务相关影像资料、监测和研究成果等档案，并保存完整。</w:t>
      </w:r>
      <w:bookmarkStart w:id="22" w:name="bookmark31"/>
      <w:bookmarkEnd w:id="22"/>
      <w:r>
        <w:rPr>
          <w:rFonts w:hint="eastAsia" w:ascii="仿宋_GB2312" w:hAnsi="仿宋_GB2312" w:eastAsia="仿宋_GB2312" w:cs="仿宋_GB2312"/>
          <w:spacing w:val="4"/>
          <w:sz w:val="32"/>
          <w:szCs w:val="32"/>
        </w:rPr>
        <w:t>于11月20日前完成村级基地实施效果监测报告，并提交乙方和县级农机管理部门。</w:t>
      </w:r>
      <w:bookmarkStart w:id="23" w:name="bookmark32"/>
    </w:p>
    <w:p>
      <w:pPr>
        <w:pStyle w:val="2"/>
        <w:autoSpaceDE w:val="0"/>
        <w:autoSpaceDN w:val="0"/>
        <w:spacing w:before="3" w:line="560" w:lineRule="atLeast"/>
        <w:ind w:firstLine="640" w:firstLineChars="200"/>
        <w:rPr>
          <w:rFonts w:ascii="楷体_GB2312" w:hAnsi="楷体_GB2312" w:eastAsia="楷体_GB2312" w:cs="楷体_GB2312"/>
          <w:sz w:val="32"/>
          <w:szCs w:val="32"/>
        </w:rPr>
      </w:pPr>
      <w:r>
        <w:rPr>
          <w:rFonts w:hint="eastAsia" w:ascii="楷体_GB2312" w:hAnsi="楷体_GB2312" w:eastAsia="楷体_GB2312" w:cs="楷体_GB2312"/>
          <w:color w:val="000000"/>
          <w:sz w:val="32"/>
          <w:szCs w:val="32"/>
        </w:rPr>
        <w:t>（</w:t>
      </w:r>
      <w:bookmarkEnd w:id="23"/>
      <w:r>
        <w:rPr>
          <w:rFonts w:hint="eastAsia" w:ascii="楷体_GB2312" w:hAnsi="楷体_GB2312" w:eastAsia="楷体_GB2312" w:cs="楷体_GB2312"/>
          <w:color w:val="000000"/>
          <w:sz w:val="32"/>
          <w:szCs w:val="32"/>
        </w:rPr>
        <w:t>三）县级农机管理部门</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按照《沈阳市2024年黑土地保护性耕作实施方案》要求，对村级基地建设项目负总责，落实建设工作，做好村级基地建设项目核查验收等工作，协调管理村级基地建设和技术支撑服务的相关工作，保障村级基地建设项目顺利实施。</w:t>
      </w:r>
    </w:p>
    <w:p>
      <w:pPr>
        <w:pStyle w:val="2"/>
        <w:autoSpaceDE w:val="0"/>
        <w:autoSpaceDN w:val="0"/>
        <w:spacing w:before="3" w:line="560" w:lineRule="atLeast"/>
        <w:ind w:firstLine="656"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本协议一式三份，甲、乙双方和县级农机管理部门各一份。</w:t>
      </w:r>
    </w:p>
    <w:p>
      <w:pPr>
        <w:pStyle w:val="18"/>
        <w:autoSpaceDE w:val="0"/>
        <w:autoSpaceDN w:val="0"/>
        <w:spacing w:line="560" w:lineRule="atLeast"/>
        <w:rPr>
          <w:rFonts w:ascii="仿宋_GB2312" w:hAnsi="仿宋_GB2312" w:eastAsia="仿宋_GB2312" w:cs="仿宋_GB2312"/>
          <w:color w:val="000000"/>
          <w:sz w:val="32"/>
          <w:szCs w:val="32"/>
        </w:rPr>
      </w:pPr>
    </w:p>
    <w:p>
      <w:pPr>
        <w:pStyle w:val="18"/>
        <w:autoSpaceDE w:val="0"/>
        <w:autoSpaceDN w:val="0"/>
        <w:spacing w:line="560" w:lineRule="atLeast"/>
        <w:jc w:val="both"/>
        <w:rPr>
          <w:rFonts w:ascii="仿宋_GB2312" w:hAnsi="仿宋_GB2312" w:eastAsia="仿宋_GB2312" w:cs="仿宋_GB2312"/>
          <w:color w:val="000000"/>
          <w:sz w:val="32"/>
          <w:szCs w:val="32"/>
          <w:lang w:val="en-US" w:eastAsia="zh-CN" w:bidi="zh-CN"/>
        </w:rPr>
      </w:pP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zh-CN" w:eastAsia="zh-CN" w:bidi="zh-CN"/>
        </w:rPr>
        <w:t>月日</w:t>
      </w:r>
    </w:p>
    <w:p>
      <w:pPr>
        <w:spacing w:line="560" w:lineRule="exact"/>
        <w:jc w:val="center"/>
        <w:rPr>
          <w:rFonts w:ascii="仿宋_GB2312" w:hAnsi="仿宋_GB2312" w:eastAsia="仿宋_GB2312" w:cs="仿宋_GB2312"/>
          <w:color w:val="000000"/>
          <w:sz w:val="32"/>
          <w:szCs w:val="32"/>
        </w:rPr>
      </w:pPr>
    </w:p>
    <w:p>
      <w:pPr>
        <w:spacing w:line="560" w:lineRule="exact"/>
        <w:jc w:val="center"/>
        <w:rPr>
          <w:rFonts w:ascii="方正小标宋简体" w:hAnsi="方正小标宋简体" w:eastAsia="方正小标宋简体" w:cs="方正小标宋简体"/>
          <w:color w:val="000000"/>
          <w:sz w:val="32"/>
          <w:szCs w:val="32"/>
        </w:rPr>
      </w:pPr>
    </w:p>
    <w:p>
      <w:pPr>
        <w:rPr>
          <w:sz w:val="32"/>
          <w:szCs w:val="32"/>
        </w:rPr>
      </w:pPr>
    </w:p>
    <w:p>
      <w:pPr>
        <w:widowControl/>
        <w:adjustRightInd w:val="0"/>
        <w:snapToGrid w:val="0"/>
        <w:spacing w:line="560" w:lineRule="exact"/>
        <w:rPr>
          <w:sz w:val="32"/>
          <w:szCs w:val="32"/>
        </w:rPr>
      </w:pPr>
    </w:p>
    <w:sectPr>
      <w:footerReference r:id="rId3" w:type="default"/>
      <w:pgSz w:w="11906" w:h="16838"/>
      <w:pgMar w:top="1440" w:right="1474" w:bottom="1440"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6C3EC2-32FF-4C47-8341-E0AD697CE33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2" w:fontKey="{CA09ACC2-2EC7-44C9-AE8E-D60957FE2B2B}"/>
  </w:font>
  <w:font w:name="仿宋_GB2312">
    <w:altName w:val="仿宋"/>
    <w:panose1 w:val="02010609030101010101"/>
    <w:charset w:val="86"/>
    <w:family w:val="modern"/>
    <w:pitch w:val="default"/>
    <w:sig w:usb0="00000000" w:usb1="00000000" w:usb2="00000000" w:usb3="00000000" w:csb0="00040000" w:csb1="00000000"/>
    <w:embedRegular r:id="rId3" w:fontKey="{EA661F81-897B-46D6-B46C-9AC0D904E037}"/>
  </w:font>
  <w:font w:name="楷体_GB2312">
    <w:altName w:val="楷体"/>
    <w:panose1 w:val="02010609030101010101"/>
    <w:charset w:val="86"/>
    <w:family w:val="modern"/>
    <w:pitch w:val="default"/>
    <w:sig w:usb0="00000000" w:usb1="00000000" w:usb2="00000000" w:usb3="00000000" w:csb0="00040000" w:csb1="00000000"/>
    <w:embedRegular r:id="rId4" w:fontKey="{F66CF3E9-6B95-4DB7-9AD2-176E4C59C4CF}"/>
  </w:font>
  <w:font w:name="方正小标宋简体">
    <w:panose1 w:val="02000000000000000000"/>
    <w:charset w:val="86"/>
    <w:family w:val="script"/>
    <w:pitch w:val="default"/>
    <w:sig w:usb0="00000001" w:usb1="08000000" w:usb2="00000000" w:usb3="00000000" w:csb0="00040000" w:csb1="00000000"/>
    <w:embedRegular r:id="rId5" w:fontKey="{9776728A-0678-4C6F-817F-908D18B8BBA6}"/>
  </w:font>
  <w:font w:name="CESI黑体-GB2312">
    <w:altName w:val="黑体"/>
    <w:panose1 w:val="00000000000000000000"/>
    <w:charset w:val="86"/>
    <w:family w:val="auto"/>
    <w:pitch w:val="default"/>
    <w:sig w:usb0="00000000" w:usb1="00000000" w:usb2="00000012" w:usb3="00000000" w:csb0="0004000F" w:csb1="00000000"/>
    <w:embedRegular r:id="rId6" w:fontKey="{6618F10E-7B90-449A-855E-D08140048011}"/>
  </w:font>
  <w:font w:name="CESI仿宋-GB2312">
    <w:altName w:val="仿宋"/>
    <w:panose1 w:val="00000000000000000000"/>
    <w:charset w:val="86"/>
    <w:family w:val="auto"/>
    <w:pitch w:val="default"/>
    <w:sig w:usb0="00000000" w:usb1="00000000" w:usb2="00000010" w:usb3="00000000" w:csb0="0004000F" w:csb1="00000000"/>
    <w:embedRegular r:id="rId7" w:fontKey="{45F56D89-A1BD-40FF-A9CD-1133F924B964}"/>
  </w:font>
  <w:font w:name="方正黑体_GBK">
    <w:altName w:val="微软雅黑"/>
    <w:panose1 w:val="00000000000000000000"/>
    <w:charset w:val="86"/>
    <w:family w:val="auto"/>
    <w:pitch w:val="default"/>
    <w:sig w:usb0="00000000" w:usb1="00000000" w:usb2="00000000" w:usb3="00000000" w:csb0="00040000" w:csb1="00000000"/>
    <w:embedRegular r:id="rId8" w:fontKey="{344B5004-9756-4EE5-B7BE-4E719439D15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2"/>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2E46C7"/>
    <w:multiLevelType w:val="singleLevel"/>
    <w:tmpl w:val="6F2E46C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ZTQ3ZmI1OTFmODUzNzgwMGRlNDBmMWZiZDQzMjEifQ=="/>
  </w:docVars>
  <w:rsids>
    <w:rsidRoot w:val="00AA08F1"/>
    <w:rsid w:val="00072D7E"/>
    <w:rsid w:val="000A34A7"/>
    <w:rsid w:val="000B1554"/>
    <w:rsid w:val="000E71C1"/>
    <w:rsid w:val="000E7B6D"/>
    <w:rsid w:val="000F370A"/>
    <w:rsid w:val="000F66BF"/>
    <w:rsid w:val="00127E9E"/>
    <w:rsid w:val="00163EE9"/>
    <w:rsid w:val="001A0E86"/>
    <w:rsid w:val="00255FBE"/>
    <w:rsid w:val="00312E1C"/>
    <w:rsid w:val="0032632A"/>
    <w:rsid w:val="0036673A"/>
    <w:rsid w:val="00384B3C"/>
    <w:rsid w:val="00427AE6"/>
    <w:rsid w:val="00473175"/>
    <w:rsid w:val="00482496"/>
    <w:rsid w:val="004A46D2"/>
    <w:rsid w:val="004F4DCC"/>
    <w:rsid w:val="00501D0F"/>
    <w:rsid w:val="00536B69"/>
    <w:rsid w:val="00633BA1"/>
    <w:rsid w:val="006460E5"/>
    <w:rsid w:val="00687EB6"/>
    <w:rsid w:val="006B3B24"/>
    <w:rsid w:val="007964FE"/>
    <w:rsid w:val="007B65C4"/>
    <w:rsid w:val="00824671"/>
    <w:rsid w:val="0088782C"/>
    <w:rsid w:val="008A4552"/>
    <w:rsid w:val="008B3CC5"/>
    <w:rsid w:val="00902869"/>
    <w:rsid w:val="00940666"/>
    <w:rsid w:val="009A0775"/>
    <w:rsid w:val="009F4E07"/>
    <w:rsid w:val="00A87B84"/>
    <w:rsid w:val="00A9413C"/>
    <w:rsid w:val="00AA08F1"/>
    <w:rsid w:val="00AA3A99"/>
    <w:rsid w:val="00AB784D"/>
    <w:rsid w:val="00AD653D"/>
    <w:rsid w:val="00B87FE0"/>
    <w:rsid w:val="00BB30DB"/>
    <w:rsid w:val="00BC1CD2"/>
    <w:rsid w:val="00C32415"/>
    <w:rsid w:val="00C43A84"/>
    <w:rsid w:val="00C46357"/>
    <w:rsid w:val="00C479CC"/>
    <w:rsid w:val="00CF238E"/>
    <w:rsid w:val="00D03CD3"/>
    <w:rsid w:val="00D16E16"/>
    <w:rsid w:val="00D72040"/>
    <w:rsid w:val="00D72210"/>
    <w:rsid w:val="00D77B14"/>
    <w:rsid w:val="00D8490D"/>
    <w:rsid w:val="00DE77D6"/>
    <w:rsid w:val="00DF09D0"/>
    <w:rsid w:val="00F11488"/>
    <w:rsid w:val="02F31E10"/>
    <w:rsid w:val="030F641C"/>
    <w:rsid w:val="05EC26B0"/>
    <w:rsid w:val="062005AC"/>
    <w:rsid w:val="06B8213A"/>
    <w:rsid w:val="09886B94"/>
    <w:rsid w:val="0B8B64C8"/>
    <w:rsid w:val="0C8026AF"/>
    <w:rsid w:val="0D325939"/>
    <w:rsid w:val="0D7C07BE"/>
    <w:rsid w:val="102D3FF1"/>
    <w:rsid w:val="160F19EF"/>
    <w:rsid w:val="17F815C3"/>
    <w:rsid w:val="1A8A746B"/>
    <w:rsid w:val="1BBC1712"/>
    <w:rsid w:val="1D1A7363"/>
    <w:rsid w:val="1DAD0520"/>
    <w:rsid w:val="1EAE6631"/>
    <w:rsid w:val="232B2F99"/>
    <w:rsid w:val="279A17E1"/>
    <w:rsid w:val="2969051B"/>
    <w:rsid w:val="29F40322"/>
    <w:rsid w:val="2B0247FD"/>
    <w:rsid w:val="2BE465CE"/>
    <w:rsid w:val="321A3EF5"/>
    <w:rsid w:val="336C3722"/>
    <w:rsid w:val="33EF11EB"/>
    <w:rsid w:val="342D7DC0"/>
    <w:rsid w:val="34EA2F64"/>
    <w:rsid w:val="36883480"/>
    <w:rsid w:val="374E267F"/>
    <w:rsid w:val="37A10C9D"/>
    <w:rsid w:val="37DD5DED"/>
    <w:rsid w:val="38991974"/>
    <w:rsid w:val="3A6925FB"/>
    <w:rsid w:val="3ACA43EF"/>
    <w:rsid w:val="3B3F7EB5"/>
    <w:rsid w:val="3E725AAA"/>
    <w:rsid w:val="3EE945C3"/>
    <w:rsid w:val="3FEA0D08"/>
    <w:rsid w:val="402023DC"/>
    <w:rsid w:val="41535165"/>
    <w:rsid w:val="43403503"/>
    <w:rsid w:val="43FD1A8A"/>
    <w:rsid w:val="44C520EC"/>
    <w:rsid w:val="483B65A4"/>
    <w:rsid w:val="4A2166D4"/>
    <w:rsid w:val="4BB902B7"/>
    <w:rsid w:val="4C8A6123"/>
    <w:rsid w:val="4D8818D5"/>
    <w:rsid w:val="50ED070D"/>
    <w:rsid w:val="518C4A84"/>
    <w:rsid w:val="5406140D"/>
    <w:rsid w:val="549A4669"/>
    <w:rsid w:val="56D3069F"/>
    <w:rsid w:val="581A46ED"/>
    <w:rsid w:val="58693CF1"/>
    <w:rsid w:val="58F94165"/>
    <w:rsid w:val="590729EE"/>
    <w:rsid w:val="59774CD6"/>
    <w:rsid w:val="59EF71EF"/>
    <w:rsid w:val="5A2275C4"/>
    <w:rsid w:val="5DEF5A0F"/>
    <w:rsid w:val="5E061B3A"/>
    <w:rsid w:val="5F5A11F7"/>
    <w:rsid w:val="5F895B49"/>
    <w:rsid w:val="60545FFD"/>
    <w:rsid w:val="60914A7B"/>
    <w:rsid w:val="612E684E"/>
    <w:rsid w:val="66742F55"/>
    <w:rsid w:val="69E53387"/>
    <w:rsid w:val="6AC915DD"/>
    <w:rsid w:val="6EDF596B"/>
    <w:rsid w:val="6EFA67A1"/>
    <w:rsid w:val="717D386B"/>
    <w:rsid w:val="740C7844"/>
    <w:rsid w:val="75377382"/>
    <w:rsid w:val="75DF01F4"/>
    <w:rsid w:val="76F55DB9"/>
    <w:rsid w:val="796D1474"/>
    <w:rsid w:val="7AE12C85"/>
    <w:rsid w:val="7C1310C4"/>
    <w:rsid w:val="7EC2263A"/>
    <w:rsid w:val="7FBBC498"/>
    <w:rsid w:val="DEFBCCE2"/>
    <w:rsid w:val="F7BF5D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1"/>
    <w:pPr>
      <w:ind w:left="1569" w:right="1246"/>
      <w:outlineLvl w:val="0"/>
    </w:pPr>
    <w:rPr>
      <w:rFonts w:ascii="宋体" w:hAnsi="宋体" w:cs="宋体"/>
      <w:b/>
      <w:bCs/>
      <w:sz w:val="44"/>
      <w:szCs w:val="44"/>
    </w:rPr>
  </w:style>
  <w:style w:type="paragraph" w:styleId="4">
    <w:name w:val="heading 2"/>
    <w:basedOn w:val="1"/>
    <w:next w:val="1"/>
    <w:autoRedefine/>
    <w:qFormat/>
    <w:uiPriority w:val="1"/>
    <w:pPr>
      <w:ind w:left="1674"/>
      <w:outlineLvl w:val="1"/>
    </w:pPr>
    <w:rPr>
      <w:rFonts w:ascii="楷体" w:hAnsi="楷体" w:eastAsia="楷体" w:cs="楷体"/>
      <w:b/>
      <w:bCs/>
      <w:sz w:val="32"/>
      <w:szCs w:val="32"/>
    </w:rPr>
  </w:style>
  <w:style w:type="character" w:default="1" w:styleId="9">
    <w:name w:val="Default Paragraph Font"/>
    <w:autoRedefine/>
    <w:unhideWhenUsed/>
    <w:qFormat/>
    <w:uiPriority w:val="1"/>
  </w:style>
  <w:style w:type="table" w:default="1" w:styleId="8">
    <w:name w:val="Normal Table"/>
    <w:autoRedefine/>
    <w:unhideWhenUsed/>
    <w:qFormat/>
    <w:uiPriority w:val="99"/>
    <w:tblPr>
      <w:tblCellMar>
        <w:top w:w="0" w:type="dxa"/>
        <w:left w:w="108" w:type="dxa"/>
        <w:bottom w:w="0" w:type="dxa"/>
        <w:right w:w="108" w:type="dxa"/>
      </w:tblCellMar>
    </w:tblPr>
  </w:style>
  <w:style w:type="paragraph" w:styleId="2">
    <w:name w:val="Body Text"/>
    <w:basedOn w:val="1"/>
    <w:next w:val="1"/>
    <w:link w:val="11"/>
    <w:autoRedefine/>
    <w:unhideWhenUsed/>
    <w:qFormat/>
    <w:uiPriority w:val="99"/>
    <w:pPr>
      <w:spacing w:after="120"/>
    </w:pPr>
  </w:style>
  <w:style w:type="paragraph" w:styleId="5">
    <w:name w:val="Balloon Text"/>
    <w:basedOn w:val="1"/>
    <w:link w:val="14"/>
    <w:autoRedefine/>
    <w:unhideWhenUsed/>
    <w:qFormat/>
    <w:uiPriority w:val="99"/>
    <w:rPr>
      <w:sz w:val="18"/>
      <w:szCs w:val="18"/>
    </w:rPr>
  </w:style>
  <w:style w:type="paragraph" w:styleId="6">
    <w:name w:val="footer"/>
    <w:basedOn w:val="1"/>
    <w:link w:val="12"/>
    <w:autoRedefine/>
    <w:qFormat/>
    <w:uiPriority w:val="99"/>
    <w:pPr>
      <w:tabs>
        <w:tab w:val="center" w:pos="4153"/>
        <w:tab w:val="right" w:pos="8306"/>
      </w:tabs>
      <w:snapToGrid w:val="0"/>
      <w:jc w:val="left"/>
    </w:pPr>
    <w:rPr>
      <w:sz w:val="18"/>
      <w:szCs w:val="18"/>
    </w:rPr>
  </w:style>
  <w:style w:type="paragraph" w:styleId="7">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autoRedefine/>
    <w:qFormat/>
    <w:uiPriority w:val="0"/>
  </w:style>
  <w:style w:type="character" w:customStyle="1" w:styleId="11">
    <w:name w:val="正文文本 Char"/>
    <w:basedOn w:val="9"/>
    <w:link w:val="2"/>
    <w:autoRedefine/>
    <w:qFormat/>
    <w:uiPriority w:val="99"/>
    <w:rPr>
      <w:rFonts w:ascii="Times New Roman" w:hAnsi="Times New Roman" w:eastAsia="宋体" w:cs="Times New Roman"/>
      <w:szCs w:val="24"/>
    </w:rPr>
  </w:style>
  <w:style w:type="character" w:customStyle="1" w:styleId="12">
    <w:name w:val="页脚 Char"/>
    <w:basedOn w:val="9"/>
    <w:link w:val="6"/>
    <w:autoRedefine/>
    <w:qFormat/>
    <w:uiPriority w:val="99"/>
    <w:rPr>
      <w:rFonts w:ascii="Times New Roman" w:hAnsi="Times New Roman" w:eastAsia="宋体" w:cs="Times New Roman"/>
      <w:sz w:val="18"/>
      <w:szCs w:val="18"/>
    </w:rPr>
  </w:style>
  <w:style w:type="character" w:customStyle="1" w:styleId="13">
    <w:name w:val="页眉 Char"/>
    <w:basedOn w:val="9"/>
    <w:link w:val="7"/>
    <w:autoRedefine/>
    <w:qFormat/>
    <w:uiPriority w:val="0"/>
    <w:rPr>
      <w:rFonts w:ascii="Times New Roman" w:hAnsi="Times New Roman" w:eastAsia="宋体" w:cs="Times New Roman"/>
      <w:sz w:val="18"/>
      <w:szCs w:val="18"/>
    </w:rPr>
  </w:style>
  <w:style w:type="character" w:customStyle="1" w:styleId="14">
    <w:name w:val="批注框文本 Char"/>
    <w:basedOn w:val="9"/>
    <w:link w:val="5"/>
    <w:autoRedefine/>
    <w:semiHidden/>
    <w:qFormat/>
    <w:uiPriority w:val="99"/>
    <w:rPr>
      <w:rFonts w:ascii="Times New Roman" w:hAnsi="Times New Roman" w:eastAsia="宋体" w:cs="Times New Roman"/>
      <w:sz w:val="18"/>
      <w:szCs w:val="18"/>
    </w:rPr>
  </w:style>
  <w:style w:type="paragraph" w:customStyle="1" w:styleId="15">
    <w:name w:val="列出段落1"/>
    <w:basedOn w:val="1"/>
    <w:autoRedefine/>
    <w:qFormat/>
    <w:uiPriority w:val="34"/>
    <w:pPr>
      <w:ind w:firstLine="420" w:firstLineChars="200"/>
    </w:pPr>
  </w:style>
  <w:style w:type="paragraph" w:customStyle="1" w:styleId="16">
    <w:name w:val="List Paragraph"/>
    <w:basedOn w:val="1"/>
    <w:autoRedefine/>
    <w:qFormat/>
    <w:uiPriority w:val="1"/>
    <w:pPr>
      <w:ind w:left="954" w:firstLine="643"/>
    </w:pPr>
  </w:style>
  <w:style w:type="paragraph" w:customStyle="1" w:styleId="17">
    <w:name w:val="Body text|1"/>
    <w:basedOn w:val="1"/>
    <w:autoRedefine/>
    <w:qFormat/>
    <w:uiPriority w:val="0"/>
    <w:pPr>
      <w:spacing w:line="360" w:lineRule="auto"/>
      <w:ind w:firstLine="160"/>
    </w:pPr>
    <w:rPr>
      <w:rFonts w:ascii="宋体" w:hAnsi="宋体" w:cs="宋体"/>
      <w:sz w:val="32"/>
      <w:szCs w:val="32"/>
      <w:lang w:val="zh-TW" w:eastAsia="zh-TW" w:bidi="zh-TW"/>
    </w:rPr>
  </w:style>
  <w:style w:type="paragraph" w:customStyle="1" w:styleId="18">
    <w:name w:val="Body text|2"/>
    <w:basedOn w:val="1"/>
    <w:autoRedefine/>
    <w:qFormat/>
    <w:uiPriority w:val="0"/>
    <w:pPr>
      <w:spacing w:after="420"/>
      <w:jc w:val="center"/>
    </w:pPr>
    <w:rPr>
      <w:rFonts w:ascii="宋体" w:hAnsi="宋体" w:cs="宋体"/>
      <w:sz w:val="30"/>
      <w:szCs w:val="30"/>
      <w:lang w:val="zh-TW" w:eastAsia="zh-TW" w:bidi="zh-TW"/>
    </w:rPr>
  </w:style>
  <w:style w:type="paragraph" w:customStyle="1" w:styleId="19">
    <w:name w:val="Heading #2|1"/>
    <w:basedOn w:val="1"/>
    <w:autoRedefine/>
    <w:qFormat/>
    <w:uiPriority w:val="0"/>
    <w:pPr>
      <w:spacing w:after="560" w:line="526" w:lineRule="exact"/>
      <w:jc w:val="center"/>
      <w:outlineLvl w:val="1"/>
    </w:pPr>
    <w:rPr>
      <w:rFonts w:ascii="宋体" w:hAnsi="宋体" w:cs="宋体"/>
      <w:sz w:val="44"/>
      <w:szCs w:val="44"/>
      <w:lang w:val="zh-TW" w:eastAsia="zh-TW" w:bidi="zh-TW"/>
    </w:rPr>
  </w:style>
  <w:style w:type="paragraph" w:customStyle="1" w:styleId="20">
    <w:name w:val="Body text|3"/>
    <w:basedOn w:val="1"/>
    <w:autoRedefine/>
    <w:qFormat/>
    <w:uiPriority w:val="0"/>
    <w:pPr>
      <w:spacing w:after="540"/>
    </w:pPr>
    <w:rPr>
      <w:rFonts w:ascii="宋体" w:hAnsi="宋体" w:cs="宋体"/>
      <w:sz w:val="36"/>
      <w:szCs w:val="36"/>
      <w:lang w:val="zh-TW" w:eastAsia="zh-TW" w:bidi="zh-TW"/>
    </w:rPr>
  </w:style>
  <w:style w:type="paragraph" w:customStyle="1" w:styleId="21">
    <w:name w:val="Heading #3|1"/>
    <w:basedOn w:val="1"/>
    <w:autoRedefine/>
    <w:qFormat/>
    <w:uiPriority w:val="0"/>
    <w:pPr>
      <w:spacing w:after="680" w:line="590" w:lineRule="exact"/>
      <w:jc w:val="center"/>
      <w:outlineLvl w:val="2"/>
    </w:pPr>
    <w:rPr>
      <w:rFonts w:ascii="宋体" w:hAnsi="宋体" w:cs="宋体"/>
      <w:sz w:val="44"/>
      <w:szCs w:val="44"/>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1097</Words>
  <Characters>6259</Characters>
  <Lines>52</Lines>
  <Paragraphs>14</Paragraphs>
  <TotalTime>112</TotalTime>
  <ScaleCrop>false</ScaleCrop>
  <LinksUpToDate>false</LinksUpToDate>
  <CharactersWithSpaces>7342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2023-04-04T07:06:00Z</dcterms:created>
  <dc:creator>yoo</dc:creator>
  <cp:lastModifiedBy>杨洋</cp:lastModifiedBy>
  <cp:lastPrinted>2024-04-12T02:03:00Z</cp:lastPrinted>
  <dcterms:modified xsi:type="dcterms:W3CDTF">2024-04-17T02:05:27Z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577CB5C0212B4293939D78E81AA1FD09_13</vt:lpwstr>
  </property>
</Properties>
</file>